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98D06" w14:textId="67C3559B" w:rsidR="007D1DCD" w:rsidRPr="00036051" w:rsidRDefault="00AA6D9F" w:rsidP="00AA6D9F">
      <w:pPr>
        <w:ind w:firstLine="624"/>
        <w:jc w:val="right"/>
        <w:rPr>
          <w:sz w:val="32"/>
          <w:u w:val="single"/>
        </w:rPr>
      </w:pPr>
      <w:r>
        <w:rPr>
          <w:sz w:val="32"/>
          <w:u w:val="single"/>
        </w:rPr>
        <w:t xml:space="preserve"> </w:t>
      </w:r>
      <w:r w:rsidR="00B746CC" w:rsidRPr="00036051">
        <w:rPr>
          <w:noProof/>
          <w:lang w:eastAsia="en-GB"/>
        </w:rPr>
        <w:drawing>
          <wp:inline distT="0" distB="0" distL="0" distR="0" wp14:anchorId="3BB1CEBD" wp14:editId="2F54FA1C">
            <wp:extent cx="6626611" cy="2975212"/>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land Ba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17045" cy="2970917"/>
                    </a:xfrm>
                    <a:prstGeom prst="rect">
                      <a:avLst/>
                    </a:prstGeom>
                  </pic:spPr>
                </pic:pic>
              </a:graphicData>
            </a:graphic>
          </wp:inline>
        </w:drawing>
      </w:r>
    </w:p>
    <w:p w14:paraId="168402C3" w14:textId="77777777" w:rsidR="00927BE2" w:rsidRPr="00036051" w:rsidRDefault="00927BE2" w:rsidP="00B746CC">
      <w:pPr>
        <w:jc w:val="center"/>
        <w:rPr>
          <w:sz w:val="32"/>
          <w:u w:val="single"/>
        </w:rPr>
      </w:pPr>
      <w:bookmarkStart w:id="0" w:name="_Ref277516754"/>
      <w:bookmarkEnd w:id="0"/>
    </w:p>
    <w:p w14:paraId="616AB5AD" w14:textId="77777777" w:rsidR="00927BE2" w:rsidRPr="00036051" w:rsidRDefault="00927BE2" w:rsidP="00C737C8">
      <w:pPr>
        <w:jc w:val="both"/>
        <w:rPr>
          <w:sz w:val="32"/>
          <w:u w:val="single"/>
        </w:rPr>
      </w:pPr>
    </w:p>
    <w:p w14:paraId="55C88896" w14:textId="77777777" w:rsidR="00927BE2" w:rsidRPr="00036051" w:rsidRDefault="00927BE2" w:rsidP="00C737C8">
      <w:pPr>
        <w:jc w:val="both"/>
        <w:rPr>
          <w:sz w:val="32"/>
          <w:u w:val="single"/>
        </w:rPr>
      </w:pPr>
    </w:p>
    <w:p w14:paraId="092CBB10" w14:textId="77777777" w:rsidR="004B7B5C" w:rsidRPr="00036051" w:rsidRDefault="004B7B5C" w:rsidP="00C737C8">
      <w:pPr>
        <w:jc w:val="both"/>
        <w:rPr>
          <w:sz w:val="32"/>
          <w:u w:val="single"/>
        </w:rPr>
      </w:pPr>
    </w:p>
    <w:p w14:paraId="1410FCC1" w14:textId="77777777" w:rsidR="00927BE2" w:rsidRPr="00036051" w:rsidRDefault="00927BE2" w:rsidP="00C737C8">
      <w:pPr>
        <w:jc w:val="both"/>
        <w:rPr>
          <w:sz w:val="32"/>
          <w:u w:val="single"/>
        </w:rPr>
      </w:pPr>
    </w:p>
    <w:p w14:paraId="6ABD2478" w14:textId="77777777" w:rsidR="00AF3303" w:rsidRPr="000127EF" w:rsidRDefault="00AF3303" w:rsidP="00AF3303">
      <w:pPr>
        <w:spacing w:before="120" w:after="120" w:line="360" w:lineRule="auto"/>
        <w:jc w:val="center"/>
        <w:outlineLvl w:val="0"/>
        <w:rPr>
          <w:sz w:val="96"/>
          <w:szCs w:val="96"/>
        </w:rPr>
      </w:pPr>
      <w:bookmarkStart w:id="1" w:name="_Toc411583309"/>
      <w:r w:rsidRPr="000127EF">
        <w:rPr>
          <w:sz w:val="96"/>
          <w:szCs w:val="96"/>
        </w:rPr>
        <w:t>Statement of Accounts</w:t>
      </w:r>
      <w:bookmarkEnd w:id="1"/>
      <w:r w:rsidRPr="000127EF">
        <w:rPr>
          <w:sz w:val="96"/>
          <w:szCs w:val="96"/>
        </w:rPr>
        <w:t xml:space="preserve"> </w:t>
      </w:r>
    </w:p>
    <w:p w14:paraId="752CFDCF" w14:textId="5B22729D" w:rsidR="00AF3303" w:rsidRPr="000127EF" w:rsidRDefault="00AF3303" w:rsidP="00AF3303">
      <w:pPr>
        <w:spacing w:before="120" w:after="120" w:line="360" w:lineRule="auto"/>
        <w:jc w:val="center"/>
        <w:outlineLvl w:val="0"/>
        <w:rPr>
          <w:sz w:val="96"/>
          <w:szCs w:val="96"/>
        </w:rPr>
      </w:pPr>
      <w:bookmarkStart w:id="2" w:name="YrDate"/>
      <w:bookmarkStart w:id="3" w:name="_Toc411583310"/>
      <w:r w:rsidRPr="000127EF">
        <w:rPr>
          <w:sz w:val="96"/>
          <w:szCs w:val="96"/>
        </w:rPr>
        <w:t>201</w:t>
      </w:r>
      <w:bookmarkEnd w:id="2"/>
      <w:r w:rsidR="00303875">
        <w:rPr>
          <w:sz w:val="96"/>
          <w:szCs w:val="96"/>
        </w:rPr>
        <w:t>9</w:t>
      </w:r>
      <w:r w:rsidRPr="000127EF">
        <w:rPr>
          <w:sz w:val="96"/>
          <w:szCs w:val="96"/>
        </w:rPr>
        <w:t>/</w:t>
      </w:r>
      <w:bookmarkEnd w:id="3"/>
      <w:r w:rsidR="00303875">
        <w:rPr>
          <w:sz w:val="96"/>
          <w:szCs w:val="96"/>
        </w:rPr>
        <w:t>20</w:t>
      </w:r>
    </w:p>
    <w:p w14:paraId="5A11F5D1" w14:textId="77777777" w:rsidR="004B7B5C" w:rsidRPr="000127EF" w:rsidRDefault="004B7B5C" w:rsidP="00C737C8">
      <w:pPr>
        <w:pStyle w:val="Heading1SoA"/>
        <w:jc w:val="both"/>
        <w:sectPr w:rsidR="004B7B5C" w:rsidRPr="000127EF" w:rsidSect="008C78E8">
          <w:type w:val="nextColumn"/>
          <w:pgSz w:w="11907" w:h="16840" w:code="9"/>
          <w:pgMar w:top="1440" w:right="850" w:bottom="1440" w:left="709" w:header="567" w:footer="851" w:gutter="0"/>
          <w:paperSrc w:first="7" w:other="7"/>
          <w:pgNumType w:start="1"/>
          <w:cols w:space="720"/>
          <w:docGrid w:linePitch="299"/>
        </w:sectPr>
      </w:pPr>
    </w:p>
    <w:p w14:paraId="7E104A6F" w14:textId="77777777" w:rsidR="008523EB" w:rsidRPr="000127EF" w:rsidRDefault="008523EB" w:rsidP="00C737C8">
      <w:pPr>
        <w:pStyle w:val="Heading1SoA"/>
        <w:spacing w:after="0"/>
        <w:jc w:val="both"/>
      </w:pPr>
    </w:p>
    <w:p w14:paraId="520479A9" w14:textId="77777777" w:rsidR="00AF3303" w:rsidRPr="000127EF" w:rsidRDefault="00AF3303" w:rsidP="00AF3303">
      <w:pPr>
        <w:autoSpaceDE w:val="0"/>
        <w:autoSpaceDN w:val="0"/>
        <w:adjustRightInd w:val="0"/>
        <w:spacing w:after="60"/>
        <w:jc w:val="both"/>
        <w:rPr>
          <w:rFonts w:cs="Arial"/>
          <w:color w:val="231F20"/>
          <w:szCs w:val="22"/>
        </w:rPr>
      </w:pPr>
    </w:p>
    <w:p w14:paraId="10BC339F" w14:textId="77777777" w:rsidR="00AF3303" w:rsidRPr="000127EF" w:rsidRDefault="00AF3303" w:rsidP="00AF3303">
      <w:pPr>
        <w:autoSpaceDE w:val="0"/>
        <w:autoSpaceDN w:val="0"/>
        <w:adjustRightInd w:val="0"/>
        <w:spacing w:after="60"/>
        <w:jc w:val="both"/>
        <w:rPr>
          <w:rFonts w:cs="Arial"/>
          <w:color w:val="231F20"/>
          <w:szCs w:val="22"/>
        </w:rPr>
      </w:pPr>
    </w:p>
    <w:p w14:paraId="1F150B78" w14:textId="77777777" w:rsidR="00AF3303" w:rsidRPr="000127EF" w:rsidRDefault="00AF3303" w:rsidP="00AF3303">
      <w:pPr>
        <w:autoSpaceDE w:val="0"/>
        <w:autoSpaceDN w:val="0"/>
        <w:adjustRightInd w:val="0"/>
        <w:spacing w:after="60"/>
        <w:jc w:val="both"/>
        <w:rPr>
          <w:rFonts w:cs="Arial"/>
          <w:color w:val="231F20"/>
          <w:szCs w:val="22"/>
        </w:rPr>
      </w:pPr>
    </w:p>
    <w:p w14:paraId="0565B09F" w14:textId="77777777" w:rsidR="00AF3303" w:rsidRPr="000127EF" w:rsidRDefault="00AF3303" w:rsidP="00AF3303">
      <w:pPr>
        <w:autoSpaceDE w:val="0"/>
        <w:autoSpaceDN w:val="0"/>
        <w:adjustRightInd w:val="0"/>
        <w:spacing w:after="60"/>
        <w:jc w:val="both"/>
        <w:rPr>
          <w:rFonts w:cs="Arial"/>
          <w:color w:val="231F20"/>
          <w:szCs w:val="22"/>
        </w:rPr>
      </w:pPr>
    </w:p>
    <w:p w14:paraId="293575D1" w14:textId="77777777" w:rsidR="00AF3303" w:rsidRPr="000127EF" w:rsidRDefault="00AF3303" w:rsidP="00AF3303">
      <w:pPr>
        <w:autoSpaceDE w:val="0"/>
        <w:autoSpaceDN w:val="0"/>
        <w:adjustRightInd w:val="0"/>
        <w:spacing w:after="60"/>
        <w:jc w:val="both"/>
        <w:rPr>
          <w:rFonts w:cs="Arial"/>
          <w:color w:val="231F20"/>
          <w:szCs w:val="22"/>
        </w:rPr>
      </w:pPr>
    </w:p>
    <w:p w14:paraId="02F5934B" w14:textId="77777777" w:rsidR="00AF3303" w:rsidRPr="000127EF" w:rsidRDefault="00AF3303" w:rsidP="00AF3303">
      <w:pPr>
        <w:autoSpaceDE w:val="0"/>
        <w:autoSpaceDN w:val="0"/>
        <w:adjustRightInd w:val="0"/>
        <w:spacing w:after="60"/>
        <w:jc w:val="both"/>
        <w:rPr>
          <w:rFonts w:cs="Arial"/>
          <w:color w:val="231F20"/>
          <w:szCs w:val="22"/>
        </w:rPr>
      </w:pPr>
    </w:p>
    <w:p w14:paraId="222058D9" w14:textId="77777777" w:rsidR="00AF3303" w:rsidRPr="000127EF" w:rsidRDefault="00AF3303" w:rsidP="00AF3303">
      <w:pPr>
        <w:autoSpaceDE w:val="0"/>
        <w:autoSpaceDN w:val="0"/>
        <w:adjustRightInd w:val="0"/>
        <w:spacing w:after="60"/>
        <w:jc w:val="both"/>
        <w:rPr>
          <w:rFonts w:cs="Arial"/>
          <w:color w:val="231F20"/>
          <w:szCs w:val="22"/>
        </w:rPr>
      </w:pPr>
    </w:p>
    <w:p w14:paraId="4DFD43F1" w14:textId="77777777" w:rsidR="00AF3303" w:rsidRPr="000127EF" w:rsidRDefault="00AF3303" w:rsidP="00AF3303">
      <w:pPr>
        <w:autoSpaceDE w:val="0"/>
        <w:autoSpaceDN w:val="0"/>
        <w:adjustRightInd w:val="0"/>
        <w:spacing w:after="60"/>
        <w:jc w:val="both"/>
        <w:rPr>
          <w:rFonts w:cs="Arial"/>
          <w:color w:val="231F20"/>
          <w:szCs w:val="22"/>
        </w:rPr>
      </w:pPr>
    </w:p>
    <w:p w14:paraId="08244D7F" w14:textId="77777777" w:rsidR="00AF3303" w:rsidRPr="000127EF" w:rsidRDefault="00AF3303" w:rsidP="00AF3303">
      <w:pPr>
        <w:autoSpaceDE w:val="0"/>
        <w:autoSpaceDN w:val="0"/>
        <w:adjustRightInd w:val="0"/>
        <w:spacing w:after="60"/>
        <w:jc w:val="both"/>
        <w:rPr>
          <w:rFonts w:cs="Arial"/>
          <w:color w:val="231F20"/>
          <w:szCs w:val="22"/>
        </w:rPr>
      </w:pPr>
    </w:p>
    <w:p w14:paraId="73BDA58D" w14:textId="77777777" w:rsidR="00AF3303" w:rsidRPr="000127EF" w:rsidRDefault="00AF3303" w:rsidP="00AF3303">
      <w:pPr>
        <w:autoSpaceDE w:val="0"/>
        <w:autoSpaceDN w:val="0"/>
        <w:adjustRightInd w:val="0"/>
        <w:spacing w:after="60"/>
        <w:jc w:val="both"/>
        <w:rPr>
          <w:rFonts w:cs="Arial"/>
          <w:color w:val="231F20"/>
          <w:szCs w:val="22"/>
        </w:rPr>
      </w:pPr>
    </w:p>
    <w:p w14:paraId="4D84F6B3" w14:textId="77777777" w:rsidR="00AF3303" w:rsidRPr="000127EF" w:rsidRDefault="00AF3303" w:rsidP="00AF3303">
      <w:pPr>
        <w:autoSpaceDE w:val="0"/>
        <w:autoSpaceDN w:val="0"/>
        <w:adjustRightInd w:val="0"/>
        <w:spacing w:after="60"/>
        <w:jc w:val="both"/>
        <w:rPr>
          <w:rFonts w:cs="Arial"/>
          <w:color w:val="231F20"/>
          <w:szCs w:val="22"/>
        </w:rPr>
      </w:pPr>
    </w:p>
    <w:p w14:paraId="00F92133" w14:textId="77777777" w:rsidR="00AF3303" w:rsidRPr="000127EF" w:rsidRDefault="00AF3303" w:rsidP="00AF3303">
      <w:pPr>
        <w:autoSpaceDE w:val="0"/>
        <w:autoSpaceDN w:val="0"/>
        <w:adjustRightInd w:val="0"/>
        <w:spacing w:after="60"/>
        <w:jc w:val="both"/>
        <w:rPr>
          <w:rFonts w:cs="Arial"/>
          <w:color w:val="231F20"/>
          <w:szCs w:val="22"/>
        </w:rPr>
      </w:pPr>
    </w:p>
    <w:p w14:paraId="707B51C7" w14:textId="77777777" w:rsidR="00AF3303" w:rsidRPr="000127EF" w:rsidRDefault="00AF3303" w:rsidP="00AF3303">
      <w:pPr>
        <w:autoSpaceDE w:val="0"/>
        <w:autoSpaceDN w:val="0"/>
        <w:adjustRightInd w:val="0"/>
        <w:spacing w:after="60"/>
        <w:jc w:val="both"/>
        <w:rPr>
          <w:rFonts w:cs="Arial"/>
          <w:color w:val="231F20"/>
          <w:szCs w:val="22"/>
        </w:rPr>
      </w:pPr>
    </w:p>
    <w:p w14:paraId="45FD3E99" w14:textId="77777777" w:rsidR="00AF3303" w:rsidRPr="000127EF" w:rsidRDefault="00AF3303" w:rsidP="00AF3303">
      <w:pPr>
        <w:autoSpaceDE w:val="0"/>
        <w:autoSpaceDN w:val="0"/>
        <w:adjustRightInd w:val="0"/>
        <w:spacing w:after="60"/>
        <w:jc w:val="both"/>
        <w:rPr>
          <w:rFonts w:cs="Arial"/>
          <w:color w:val="231F20"/>
          <w:szCs w:val="22"/>
        </w:rPr>
      </w:pPr>
    </w:p>
    <w:p w14:paraId="1F5749FA" w14:textId="77777777" w:rsidR="00AF3303" w:rsidRPr="000127EF" w:rsidRDefault="00AF3303" w:rsidP="00AF3303">
      <w:pPr>
        <w:autoSpaceDE w:val="0"/>
        <w:autoSpaceDN w:val="0"/>
        <w:adjustRightInd w:val="0"/>
        <w:spacing w:after="60"/>
        <w:jc w:val="both"/>
        <w:rPr>
          <w:rFonts w:cs="Arial"/>
          <w:color w:val="231F20"/>
          <w:szCs w:val="22"/>
        </w:rPr>
      </w:pPr>
    </w:p>
    <w:p w14:paraId="72BDBFDA" w14:textId="77777777" w:rsidR="00AF3303" w:rsidRPr="000127EF" w:rsidRDefault="00AF3303" w:rsidP="00AF3303">
      <w:pPr>
        <w:autoSpaceDE w:val="0"/>
        <w:autoSpaceDN w:val="0"/>
        <w:adjustRightInd w:val="0"/>
        <w:spacing w:after="60"/>
        <w:jc w:val="both"/>
        <w:rPr>
          <w:rFonts w:cs="Arial"/>
          <w:color w:val="231F20"/>
          <w:szCs w:val="22"/>
        </w:rPr>
      </w:pPr>
    </w:p>
    <w:p w14:paraId="74760BB3" w14:textId="77777777" w:rsidR="00AF3303" w:rsidRPr="000127EF" w:rsidRDefault="00AF3303" w:rsidP="00AF3303">
      <w:pPr>
        <w:autoSpaceDE w:val="0"/>
        <w:autoSpaceDN w:val="0"/>
        <w:adjustRightInd w:val="0"/>
        <w:spacing w:after="60"/>
        <w:jc w:val="both"/>
        <w:rPr>
          <w:rFonts w:cs="Arial"/>
          <w:color w:val="231F20"/>
          <w:szCs w:val="22"/>
        </w:rPr>
      </w:pPr>
    </w:p>
    <w:p w14:paraId="6FABB574" w14:textId="77777777" w:rsidR="00AF3303" w:rsidRPr="000127EF" w:rsidRDefault="00AF3303" w:rsidP="00AF3303">
      <w:pPr>
        <w:autoSpaceDE w:val="0"/>
        <w:autoSpaceDN w:val="0"/>
        <w:adjustRightInd w:val="0"/>
        <w:spacing w:after="60"/>
        <w:jc w:val="both"/>
        <w:rPr>
          <w:rFonts w:cs="Arial"/>
          <w:color w:val="231F20"/>
          <w:szCs w:val="22"/>
        </w:rPr>
      </w:pPr>
    </w:p>
    <w:p w14:paraId="295D24D8" w14:textId="77777777" w:rsidR="00AF3303" w:rsidRPr="000127EF" w:rsidRDefault="00AF3303" w:rsidP="00AF3303">
      <w:pPr>
        <w:autoSpaceDE w:val="0"/>
        <w:autoSpaceDN w:val="0"/>
        <w:adjustRightInd w:val="0"/>
        <w:spacing w:after="60"/>
        <w:jc w:val="both"/>
        <w:rPr>
          <w:rFonts w:cs="Arial"/>
          <w:color w:val="231F20"/>
          <w:szCs w:val="22"/>
        </w:rPr>
      </w:pPr>
    </w:p>
    <w:p w14:paraId="755B3620" w14:textId="77777777" w:rsidR="00AF3303" w:rsidRPr="000127EF" w:rsidRDefault="00AF3303" w:rsidP="00AF3303">
      <w:pPr>
        <w:autoSpaceDE w:val="0"/>
        <w:autoSpaceDN w:val="0"/>
        <w:adjustRightInd w:val="0"/>
        <w:spacing w:after="60"/>
        <w:jc w:val="both"/>
        <w:rPr>
          <w:rFonts w:cs="Arial"/>
          <w:color w:val="231F20"/>
          <w:szCs w:val="22"/>
        </w:rPr>
      </w:pPr>
    </w:p>
    <w:p w14:paraId="47386AA7" w14:textId="77777777" w:rsidR="00AF3303" w:rsidRPr="000127EF" w:rsidRDefault="00AF3303" w:rsidP="00AF3303">
      <w:pPr>
        <w:autoSpaceDE w:val="0"/>
        <w:autoSpaceDN w:val="0"/>
        <w:adjustRightInd w:val="0"/>
        <w:spacing w:after="60"/>
        <w:jc w:val="both"/>
        <w:rPr>
          <w:rFonts w:cs="Arial"/>
          <w:color w:val="231F20"/>
          <w:szCs w:val="22"/>
        </w:rPr>
      </w:pPr>
    </w:p>
    <w:p w14:paraId="5A605A6A" w14:textId="77777777" w:rsidR="00AF3303" w:rsidRPr="000127EF" w:rsidRDefault="00AF3303" w:rsidP="00AF3303">
      <w:pPr>
        <w:autoSpaceDE w:val="0"/>
        <w:autoSpaceDN w:val="0"/>
        <w:adjustRightInd w:val="0"/>
        <w:spacing w:after="60"/>
        <w:jc w:val="both"/>
        <w:rPr>
          <w:rFonts w:cs="Arial"/>
          <w:color w:val="231F20"/>
          <w:szCs w:val="22"/>
        </w:rPr>
      </w:pPr>
    </w:p>
    <w:p w14:paraId="3D7974DE" w14:textId="77777777" w:rsidR="00AF3303" w:rsidRPr="000127EF" w:rsidRDefault="00AF3303" w:rsidP="00AF3303">
      <w:pPr>
        <w:autoSpaceDE w:val="0"/>
        <w:autoSpaceDN w:val="0"/>
        <w:adjustRightInd w:val="0"/>
        <w:spacing w:after="60"/>
        <w:jc w:val="both"/>
        <w:rPr>
          <w:rFonts w:cs="Arial"/>
          <w:color w:val="231F20"/>
          <w:szCs w:val="22"/>
        </w:rPr>
      </w:pPr>
    </w:p>
    <w:p w14:paraId="778532C0" w14:textId="77777777" w:rsidR="00AF3303" w:rsidRPr="000127EF" w:rsidRDefault="00AF3303" w:rsidP="00AF3303">
      <w:pPr>
        <w:autoSpaceDE w:val="0"/>
        <w:autoSpaceDN w:val="0"/>
        <w:adjustRightInd w:val="0"/>
        <w:spacing w:after="60"/>
        <w:jc w:val="both"/>
        <w:rPr>
          <w:rFonts w:cs="Arial"/>
          <w:color w:val="231F20"/>
          <w:szCs w:val="22"/>
        </w:rPr>
      </w:pPr>
    </w:p>
    <w:p w14:paraId="4BF8E23D" w14:textId="77777777" w:rsidR="00AF3303" w:rsidRPr="000127EF" w:rsidRDefault="00AF3303" w:rsidP="00AF3303">
      <w:pPr>
        <w:autoSpaceDE w:val="0"/>
        <w:autoSpaceDN w:val="0"/>
        <w:adjustRightInd w:val="0"/>
        <w:spacing w:after="60"/>
        <w:jc w:val="both"/>
        <w:rPr>
          <w:rFonts w:cs="Arial"/>
          <w:color w:val="231F20"/>
          <w:szCs w:val="22"/>
        </w:rPr>
      </w:pPr>
    </w:p>
    <w:p w14:paraId="260C2CFB" w14:textId="77777777" w:rsidR="00AF3303" w:rsidRPr="000127EF" w:rsidRDefault="00AF3303" w:rsidP="00AF3303">
      <w:pPr>
        <w:autoSpaceDE w:val="0"/>
        <w:autoSpaceDN w:val="0"/>
        <w:adjustRightInd w:val="0"/>
        <w:spacing w:after="60"/>
        <w:jc w:val="both"/>
        <w:rPr>
          <w:rFonts w:cs="Arial"/>
          <w:color w:val="231F20"/>
          <w:szCs w:val="22"/>
        </w:rPr>
      </w:pPr>
    </w:p>
    <w:p w14:paraId="3C266576" w14:textId="77777777" w:rsidR="00AF3303" w:rsidRPr="000127EF" w:rsidRDefault="00AF3303" w:rsidP="00AF3303">
      <w:pPr>
        <w:autoSpaceDE w:val="0"/>
        <w:autoSpaceDN w:val="0"/>
        <w:adjustRightInd w:val="0"/>
        <w:spacing w:after="60"/>
        <w:jc w:val="both"/>
        <w:rPr>
          <w:rFonts w:cs="Arial"/>
          <w:color w:val="231F20"/>
          <w:szCs w:val="22"/>
        </w:rPr>
      </w:pPr>
    </w:p>
    <w:p w14:paraId="280F3643" w14:textId="77777777" w:rsidR="00AF3303" w:rsidRPr="000127EF" w:rsidRDefault="00AF3303" w:rsidP="00AF3303">
      <w:pPr>
        <w:autoSpaceDE w:val="0"/>
        <w:autoSpaceDN w:val="0"/>
        <w:adjustRightInd w:val="0"/>
        <w:spacing w:after="60"/>
        <w:jc w:val="both"/>
        <w:rPr>
          <w:rFonts w:cs="Arial"/>
          <w:color w:val="231F20"/>
          <w:szCs w:val="22"/>
        </w:rPr>
      </w:pPr>
    </w:p>
    <w:p w14:paraId="6AA16C5F" w14:textId="77777777" w:rsidR="00AF3303" w:rsidRPr="000127EF" w:rsidRDefault="00AF3303" w:rsidP="00AF3303">
      <w:pPr>
        <w:autoSpaceDE w:val="0"/>
        <w:autoSpaceDN w:val="0"/>
        <w:adjustRightInd w:val="0"/>
        <w:spacing w:after="60"/>
        <w:jc w:val="both"/>
        <w:rPr>
          <w:rFonts w:cs="Arial"/>
          <w:color w:val="231F20"/>
          <w:szCs w:val="22"/>
        </w:rPr>
      </w:pPr>
    </w:p>
    <w:p w14:paraId="4DC77604" w14:textId="77777777" w:rsidR="00AF3303" w:rsidRPr="000127EF" w:rsidRDefault="00AF3303" w:rsidP="00AF3303">
      <w:pPr>
        <w:autoSpaceDE w:val="0"/>
        <w:autoSpaceDN w:val="0"/>
        <w:adjustRightInd w:val="0"/>
        <w:spacing w:after="60"/>
        <w:jc w:val="both"/>
        <w:rPr>
          <w:rFonts w:cs="Arial"/>
          <w:color w:val="231F20"/>
          <w:szCs w:val="22"/>
        </w:rPr>
      </w:pPr>
    </w:p>
    <w:p w14:paraId="78075ACE" w14:textId="77777777" w:rsidR="00AF3303" w:rsidRPr="000127EF" w:rsidRDefault="00AF3303" w:rsidP="00AF3303">
      <w:pPr>
        <w:autoSpaceDE w:val="0"/>
        <w:autoSpaceDN w:val="0"/>
        <w:adjustRightInd w:val="0"/>
        <w:spacing w:after="60"/>
        <w:jc w:val="both"/>
        <w:rPr>
          <w:rFonts w:cs="Arial"/>
          <w:color w:val="231F20"/>
          <w:szCs w:val="22"/>
        </w:rPr>
      </w:pPr>
    </w:p>
    <w:p w14:paraId="4D338B7E" w14:textId="77777777" w:rsidR="00AF3303" w:rsidRPr="000127EF" w:rsidRDefault="00AF3303" w:rsidP="00AF3303">
      <w:pPr>
        <w:autoSpaceDE w:val="0"/>
        <w:autoSpaceDN w:val="0"/>
        <w:adjustRightInd w:val="0"/>
        <w:spacing w:after="60"/>
        <w:jc w:val="both"/>
        <w:rPr>
          <w:rFonts w:cs="Arial"/>
          <w:color w:val="231F20"/>
          <w:szCs w:val="22"/>
        </w:rPr>
      </w:pPr>
    </w:p>
    <w:p w14:paraId="4D7B47F3" w14:textId="77777777" w:rsidR="00AF3303" w:rsidRPr="000127EF" w:rsidRDefault="00AF3303" w:rsidP="00AF3303">
      <w:pPr>
        <w:autoSpaceDE w:val="0"/>
        <w:autoSpaceDN w:val="0"/>
        <w:adjustRightInd w:val="0"/>
        <w:spacing w:after="60"/>
        <w:jc w:val="both"/>
        <w:rPr>
          <w:rFonts w:cs="Arial"/>
          <w:color w:val="231F20"/>
          <w:szCs w:val="22"/>
        </w:rPr>
      </w:pPr>
    </w:p>
    <w:p w14:paraId="0D8413B1" w14:textId="77777777" w:rsidR="00AF3303" w:rsidRPr="000127EF" w:rsidRDefault="00AF3303" w:rsidP="00AF3303">
      <w:pPr>
        <w:autoSpaceDE w:val="0"/>
        <w:autoSpaceDN w:val="0"/>
        <w:adjustRightInd w:val="0"/>
        <w:spacing w:after="60"/>
        <w:jc w:val="both"/>
        <w:rPr>
          <w:rFonts w:cs="Arial"/>
          <w:color w:val="231F20"/>
          <w:szCs w:val="22"/>
        </w:rPr>
      </w:pPr>
    </w:p>
    <w:p w14:paraId="1EF41BAF" w14:textId="77777777" w:rsidR="005E594F" w:rsidRPr="000127EF" w:rsidRDefault="005E594F" w:rsidP="00AF3303">
      <w:pPr>
        <w:autoSpaceDE w:val="0"/>
        <w:autoSpaceDN w:val="0"/>
        <w:adjustRightInd w:val="0"/>
        <w:spacing w:after="60"/>
        <w:jc w:val="both"/>
        <w:rPr>
          <w:rFonts w:cs="Arial"/>
          <w:color w:val="231F20"/>
          <w:szCs w:val="22"/>
        </w:rPr>
      </w:pPr>
      <w:r w:rsidRPr="000127EF">
        <w:rPr>
          <w:rFonts w:cs="Arial"/>
          <w:color w:val="231F20"/>
          <w:szCs w:val="22"/>
        </w:rPr>
        <w:t>For further copies of this document or questions about it please contact:</w:t>
      </w:r>
    </w:p>
    <w:p w14:paraId="15D6CCC3" w14:textId="414FDA12" w:rsidR="005E594F" w:rsidRPr="000127EF" w:rsidRDefault="00CC2EC1" w:rsidP="00AF3303">
      <w:pPr>
        <w:autoSpaceDE w:val="0"/>
        <w:autoSpaceDN w:val="0"/>
        <w:adjustRightInd w:val="0"/>
        <w:jc w:val="both"/>
        <w:rPr>
          <w:rFonts w:cs="Arial"/>
          <w:color w:val="231F20"/>
          <w:szCs w:val="22"/>
        </w:rPr>
      </w:pPr>
      <w:r w:rsidRPr="000127EF">
        <w:rPr>
          <w:rFonts w:cs="Arial"/>
          <w:color w:val="231F20"/>
          <w:szCs w:val="22"/>
        </w:rPr>
        <w:t>Strategic Director for Resources</w:t>
      </w:r>
    </w:p>
    <w:p w14:paraId="6C7A138D" w14:textId="77777777" w:rsidR="005E594F" w:rsidRPr="000127EF" w:rsidRDefault="00AF3303" w:rsidP="00AF3303">
      <w:pPr>
        <w:autoSpaceDE w:val="0"/>
        <w:autoSpaceDN w:val="0"/>
        <w:adjustRightInd w:val="0"/>
        <w:jc w:val="both"/>
        <w:rPr>
          <w:rFonts w:cs="Arial"/>
          <w:color w:val="231F20"/>
          <w:szCs w:val="22"/>
        </w:rPr>
      </w:pPr>
      <w:r w:rsidRPr="000127EF">
        <w:rPr>
          <w:rFonts w:cs="Arial"/>
          <w:color w:val="231F20"/>
          <w:szCs w:val="22"/>
        </w:rPr>
        <w:t>Rutland County</w:t>
      </w:r>
      <w:r w:rsidR="005E594F" w:rsidRPr="000127EF">
        <w:rPr>
          <w:rFonts w:cs="Arial"/>
          <w:color w:val="231F20"/>
          <w:szCs w:val="22"/>
        </w:rPr>
        <w:t xml:space="preserve"> Council</w:t>
      </w:r>
    </w:p>
    <w:p w14:paraId="224D09B3" w14:textId="77777777" w:rsidR="0096689A" w:rsidRPr="000127EF" w:rsidRDefault="00AC596F" w:rsidP="00AF3303">
      <w:pPr>
        <w:autoSpaceDE w:val="0"/>
        <w:autoSpaceDN w:val="0"/>
        <w:adjustRightInd w:val="0"/>
        <w:jc w:val="both"/>
        <w:rPr>
          <w:rFonts w:cs="Arial"/>
          <w:color w:val="231F20"/>
          <w:szCs w:val="22"/>
        </w:rPr>
      </w:pPr>
      <w:r w:rsidRPr="000127EF">
        <w:rPr>
          <w:rFonts w:cs="Arial"/>
          <w:color w:val="231F20"/>
          <w:szCs w:val="22"/>
        </w:rPr>
        <w:t>Catmose House</w:t>
      </w:r>
    </w:p>
    <w:p w14:paraId="0079ED13" w14:textId="77777777" w:rsidR="00A1120F" w:rsidRPr="000127EF" w:rsidRDefault="00AC596F" w:rsidP="00AF3303">
      <w:pPr>
        <w:autoSpaceDE w:val="0"/>
        <w:autoSpaceDN w:val="0"/>
        <w:adjustRightInd w:val="0"/>
        <w:jc w:val="both"/>
        <w:rPr>
          <w:rFonts w:cs="Arial"/>
          <w:color w:val="231F20"/>
          <w:szCs w:val="22"/>
        </w:rPr>
      </w:pPr>
      <w:r w:rsidRPr="000127EF">
        <w:rPr>
          <w:rFonts w:cs="Arial"/>
          <w:color w:val="231F20"/>
          <w:szCs w:val="22"/>
        </w:rPr>
        <w:t>Oakham</w:t>
      </w:r>
    </w:p>
    <w:p w14:paraId="6088AB98" w14:textId="77777777" w:rsidR="0096689A" w:rsidRPr="000127EF" w:rsidRDefault="00AC596F" w:rsidP="00AF3303">
      <w:pPr>
        <w:autoSpaceDE w:val="0"/>
        <w:autoSpaceDN w:val="0"/>
        <w:adjustRightInd w:val="0"/>
        <w:jc w:val="both"/>
        <w:rPr>
          <w:rFonts w:cs="Arial"/>
          <w:color w:val="231F20"/>
          <w:szCs w:val="22"/>
        </w:rPr>
      </w:pPr>
      <w:r w:rsidRPr="000127EF">
        <w:rPr>
          <w:rFonts w:cs="Arial"/>
          <w:color w:val="231F20"/>
          <w:szCs w:val="22"/>
        </w:rPr>
        <w:t>Rutland</w:t>
      </w:r>
    </w:p>
    <w:p w14:paraId="762BE12D" w14:textId="77777777" w:rsidR="0096689A" w:rsidRPr="000127EF" w:rsidRDefault="00AC596F" w:rsidP="00AF3303">
      <w:pPr>
        <w:autoSpaceDE w:val="0"/>
        <w:autoSpaceDN w:val="0"/>
        <w:adjustRightInd w:val="0"/>
        <w:jc w:val="both"/>
        <w:rPr>
          <w:rFonts w:cs="Arial"/>
          <w:color w:val="231F20"/>
          <w:szCs w:val="22"/>
        </w:rPr>
      </w:pPr>
      <w:r w:rsidRPr="000127EF">
        <w:rPr>
          <w:rFonts w:cs="Arial"/>
          <w:color w:val="231F20"/>
          <w:szCs w:val="22"/>
        </w:rPr>
        <w:t>LE15 6HP</w:t>
      </w:r>
    </w:p>
    <w:p w14:paraId="0C6A636D" w14:textId="32FE3ADD" w:rsidR="005E594F" w:rsidRPr="000127EF" w:rsidRDefault="005E594F" w:rsidP="00AF3303">
      <w:pPr>
        <w:autoSpaceDE w:val="0"/>
        <w:autoSpaceDN w:val="0"/>
        <w:adjustRightInd w:val="0"/>
        <w:spacing w:after="60"/>
        <w:jc w:val="both"/>
        <w:rPr>
          <w:rFonts w:cs="Arial"/>
          <w:color w:val="231F20"/>
          <w:szCs w:val="22"/>
        </w:rPr>
      </w:pPr>
      <w:r w:rsidRPr="000127EF">
        <w:rPr>
          <w:rFonts w:cs="Arial"/>
          <w:color w:val="231F20"/>
          <w:szCs w:val="22"/>
        </w:rPr>
        <w:t xml:space="preserve">email: </w:t>
      </w:r>
      <w:r w:rsidR="000F5532" w:rsidRPr="000127EF">
        <w:rPr>
          <w:rFonts w:cs="Arial"/>
          <w:color w:val="231F20"/>
          <w:szCs w:val="22"/>
        </w:rPr>
        <w:t>RCC</w:t>
      </w:r>
      <w:r w:rsidR="00CE71E3" w:rsidRPr="000127EF">
        <w:rPr>
          <w:rFonts w:cs="Arial"/>
          <w:color w:val="231F20"/>
          <w:szCs w:val="22"/>
        </w:rPr>
        <w:t>Finance</w:t>
      </w:r>
      <w:r w:rsidRPr="000127EF">
        <w:rPr>
          <w:rFonts w:cs="Arial"/>
          <w:color w:val="231F20"/>
          <w:szCs w:val="22"/>
        </w:rPr>
        <w:t>@</w:t>
      </w:r>
      <w:r w:rsidR="00AF3303" w:rsidRPr="000127EF">
        <w:rPr>
          <w:rFonts w:cs="Arial"/>
          <w:color w:val="231F20"/>
          <w:szCs w:val="22"/>
        </w:rPr>
        <w:t>rutland</w:t>
      </w:r>
      <w:r w:rsidRPr="000127EF">
        <w:rPr>
          <w:rFonts w:cs="Arial"/>
          <w:color w:val="231F20"/>
          <w:szCs w:val="22"/>
        </w:rPr>
        <w:t>.gov.uk</w:t>
      </w:r>
    </w:p>
    <w:p w14:paraId="68750B9C" w14:textId="77777777" w:rsidR="005E594F" w:rsidRPr="000127EF" w:rsidRDefault="00766555" w:rsidP="00AF3303">
      <w:pPr>
        <w:autoSpaceDE w:val="0"/>
        <w:autoSpaceDN w:val="0"/>
        <w:adjustRightInd w:val="0"/>
        <w:spacing w:after="60"/>
        <w:jc w:val="both"/>
        <w:rPr>
          <w:rFonts w:cs="Arial"/>
          <w:szCs w:val="22"/>
        </w:rPr>
      </w:pPr>
      <w:r w:rsidRPr="000127EF">
        <w:rPr>
          <w:rFonts w:cs="Arial"/>
          <w:szCs w:val="22"/>
        </w:rPr>
        <w:t xml:space="preserve">Tel: </w:t>
      </w:r>
      <w:r w:rsidR="00AC596F" w:rsidRPr="000127EF">
        <w:rPr>
          <w:rFonts w:cs="Arial"/>
          <w:szCs w:val="22"/>
        </w:rPr>
        <w:t>01572 722577</w:t>
      </w:r>
    </w:p>
    <w:p w14:paraId="6D4B56A8" w14:textId="77777777" w:rsidR="008523EB" w:rsidRPr="000127EF" w:rsidRDefault="00661E70" w:rsidP="00AF3303">
      <w:pPr>
        <w:autoSpaceDE w:val="0"/>
        <w:autoSpaceDN w:val="0"/>
        <w:adjustRightInd w:val="0"/>
        <w:spacing w:after="60"/>
        <w:jc w:val="both"/>
      </w:pPr>
      <w:hyperlink r:id="rId9" w:history="1">
        <w:r w:rsidR="00AC596F" w:rsidRPr="000127EF">
          <w:rPr>
            <w:rStyle w:val="Hyperlink"/>
          </w:rPr>
          <w:t>www.rutland.gov.uk</w:t>
        </w:r>
      </w:hyperlink>
      <w:r w:rsidR="004A54D8" w:rsidRPr="000127EF">
        <w:t xml:space="preserve"> </w:t>
      </w:r>
    </w:p>
    <w:p w14:paraId="7E4855F3" w14:textId="77777777" w:rsidR="00F238EF" w:rsidRPr="000127EF" w:rsidRDefault="00F238EF" w:rsidP="00C737C8">
      <w:pPr>
        <w:pStyle w:val="Heading1SoA"/>
        <w:spacing w:after="0"/>
        <w:jc w:val="both"/>
        <w:sectPr w:rsidR="00F238EF" w:rsidRPr="000127EF" w:rsidSect="008C78E8">
          <w:headerReference w:type="default" r:id="rId10"/>
          <w:footerReference w:type="default" r:id="rId11"/>
          <w:pgSz w:w="11907" w:h="16840" w:code="9"/>
          <w:pgMar w:top="1440" w:right="850" w:bottom="1440" w:left="709" w:header="567" w:footer="851" w:gutter="0"/>
          <w:paperSrc w:first="7" w:other="7"/>
          <w:pgNumType w:start="1"/>
          <w:cols w:space="720"/>
          <w:docGrid w:linePitch="299"/>
        </w:sectPr>
      </w:pPr>
    </w:p>
    <w:p w14:paraId="38165346" w14:textId="77777777" w:rsidR="00C3703B" w:rsidRPr="000127EF" w:rsidRDefault="00661E70" w:rsidP="00AC596F">
      <w:pPr>
        <w:spacing w:after="120"/>
        <w:jc w:val="both"/>
        <w:outlineLvl w:val="0"/>
      </w:pPr>
      <w:bookmarkStart w:id="4" w:name="_Toc411583311"/>
      <w:r>
        <w:lastRenderedPageBreak/>
        <w:pict w14:anchorId="6A0BC8A7">
          <v:rect id="_x0000_i1025" style="width:510.3pt;height:2pt" o:hralign="center" o:hrstd="t" o:hrnoshade="t" o:hr="t" fillcolor="#a8d08d [1945]" stroked="f"/>
        </w:pict>
      </w:r>
      <w:bookmarkEnd w:id="4"/>
    </w:p>
    <w:p w14:paraId="4B8571FB" w14:textId="77777777" w:rsidR="007D09B9" w:rsidRPr="000127EF" w:rsidRDefault="00C3703B" w:rsidP="00C3703B">
      <w:pPr>
        <w:spacing w:after="120"/>
        <w:jc w:val="center"/>
        <w:outlineLvl w:val="0"/>
        <w:rPr>
          <w:sz w:val="48"/>
          <w:szCs w:val="48"/>
        </w:rPr>
      </w:pPr>
      <w:bookmarkStart w:id="5" w:name="_Toc411583312"/>
      <w:r w:rsidRPr="000127EF">
        <w:rPr>
          <w:sz w:val="48"/>
          <w:szCs w:val="48"/>
        </w:rPr>
        <w:t>Rutland County Council</w:t>
      </w:r>
      <w:bookmarkEnd w:id="5"/>
    </w:p>
    <w:p w14:paraId="597283F2" w14:textId="2979F3D5" w:rsidR="005F7042" w:rsidRPr="000127EF" w:rsidRDefault="00F61CB3" w:rsidP="00C3703B">
      <w:pPr>
        <w:spacing w:after="120"/>
        <w:jc w:val="center"/>
        <w:outlineLvl w:val="0"/>
        <w:rPr>
          <w:sz w:val="48"/>
          <w:szCs w:val="48"/>
        </w:rPr>
      </w:pPr>
      <w:bookmarkStart w:id="6" w:name="_Toc411583313"/>
      <w:r w:rsidRPr="000127EF">
        <w:rPr>
          <w:sz w:val="48"/>
          <w:szCs w:val="48"/>
        </w:rPr>
        <w:t>Statement of Accounts 201</w:t>
      </w:r>
      <w:bookmarkStart w:id="7" w:name="_Toc411583314"/>
      <w:bookmarkEnd w:id="6"/>
      <w:r w:rsidR="00303875">
        <w:rPr>
          <w:sz w:val="48"/>
          <w:szCs w:val="48"/>
        </w:rPr>
        <w:t>9/20</w:t>
      </w:r>
      <w:r w:rsidR="00661E70">
        <w:pict w14:anchorId="611DAF9E">
          <v:rect id="_x0000_i1026" style="width:510.3pt;height:2pt" o:hralign="center" o:hrstd="t" o:hrnoshade="t" o:hr="t" fillcolor="#a8d08d [1945]" stroked="f"/>
        </w:pict>
      </w:r>
      <w:bookmarkEnd w:id="7"/>
    </w:p>
    <w:p w14:paraId="193CCBFC" w14:textId="77777777" w:rsidR="00C3703B" w:rsidRPr="000127EF" w:rsidRDefault="005F7042" w:rsidP="00A05D1D">
      <w:pPr>
        <w:tabs>
          <w:tab w:val="left" w:pos="8505"/>
        </w:tabs>
        <w:spacing w:after="120"/>
        <w:jc w:val="center"/>
        <w:outlineLvl w:val="0"/>
        <w:rPr>
          <w:b/>
          <w:sz w:val="28"/>
          <w:szCs w:val="28"/>
        </w:rPr>
      </w:pPr>
      <w:bookmarkStart w:id="8" w:name="_Toc411583315"/>
      <w:r w:rsidRPr="000127EF">
        <w:rPr>
          <w:b/>
          <w:sz w:val="28"/>
          <w:szCs w:val="28"/>
        </w:rPr>
        <w:t>Contents</w:t>
      </w:r>
      <w:r w:rsidRPr="000127EF">
        <w:rPr>
          <w:b/>
          <w:sz w:val="28"/>
          <w:szCs w:val="28"/>
        </w:rPr>
        <w:tab/>
        <w:t>Page</w:t>
      </w:r>
      <w:bookmarkEnd w:id="8"/>
    </w:p>
    <w:p w14:paraId="4C6A39B2" w14:textId="77777777" w:rsidR="005F7042" w:rsidRPr="000127EF" w:rsidRDefault="005F7042" w:rsidP="00A05D1D">
      <w:pPr>
        <w:tabs>
          <w:tab w:val="left" w:pos="8505"/>
        </w:tabs>
        <w:spacing w:after="120"/>
        <w:jc w:val="center"/>
        <w:outlineLvl w:val="0"/>
        <w:rPr>
          <w:b/>
          <w:sz w:val="28"/>
          <w:szCs w:val="28"/>
        </w:rPr>
      </w:pPr>
    </w:p>
    <w:p w14:paraId="329BC240" w14:textId="77777777" w:rsidR="00EA7422" w:rsidRDefault="00BF4EB2">
      <w:pPr>
        <w:pStyle w:val="TOC1"/>
        <w:rPr>
          <w:rFonts w:asciiTheme="minorHAnsi" w:eastAsiaTheme="minorEastAsia" w:hAnsiTheme="minorHAnsi" w:cstheme="minorBidi"/>
          <w:color w:val="auto"/>
          <w:sz w:val="22"/>
          <w:szCs w:val="22"/>
          <w:lang w:eastAsia="en-GB"/>
        </w:rPr>
      </w:pPr>
      <w:r w:rsidRPr="000127EF">
        <w:rPr>
          <w:b/>
          <w:sz w:val="28"/>
          <w:szCs w:val="28"/>
        </w:rPr>
        <w:fldChar w:fldCharType="begin"/>
      </w:r>
      <w:r w:rsidRPr="000127EF">
        <w:rPr>
          <w:b/>
          <w:sz w:val="28"/>
          <w:szCs w:val="28"/>
        </w:rPr>
        <w:instrText xml:space="preserve"> TOC \h \z \t "Main SoA Heading,1" </w:instrText>
      </w:r>
      <w:r w:rsidRPr="000127EF">
        <w:rPr>
          <w:b/>
          <w:sz w:val="28"/>
          <w:szCs w:val="28"/>
        </w:rPr>
        <w:fldChar w:fldCharType="separate"/>
      </w:r>
      <w:hyperlink w:anchor="_Toc54886652" w:history="1">
        <w:r w:rsidR="00EA7422" w:rsidRPr="00694584">
          <w:rPr>
            <w:rStyle w:val="Hyperlink"/>
          </w:rPr>
          <w:t>Narrative Report</w:t>
        </w:r>
        <w:r w:rsidR="00EA7422">
          <w:rPr>
            <w:webHidden/>
          </w:rPr>
          <w:tab/>
        </w:r>
        <w:r w:rsidR="00EA7422">
          <w:rPr>
            <w:webHidden/>
          </w:rPr>
          <w:fldChar w:fldCharType="begin"/>
        </w:r>
        <w:r w:rsidR="00EA7422">
          <w:rPr>
            <w:webHidden/>
          </w:rPr>
          <w:instrText xml:space="preserve"> PAGEREF _Toc54886652 \h </w:instrText>
        </w:r>
        <w:r w:rsidR="00EA7422">
          <w:rPr>
            <w:webHidden/>
          </w:rPr>
        </w:r>
        <w:r w:rsidR="00EA7422">
          <w:rPr>
            <w:webHidden/>
          </w:rPr>
          <w:fldChar w:fldCharType="separate"/>
        </w:r>
        <w:r w:rsidR="001D7F74">
          <w:rPr>
            <w:webHidden/>
          </w:rPr>
          <w:t>2</w:t>
        </w:r>
        <w:r w:rsidR="00EA7422">
          <w:rPr>
            <w:webHidden/>
          </w:rPr>
          <w:fldChar w:fldCharType="end"/>
        </w:r>
      </w:hyperlink>
    </w:p>
    <w:p w14:paraId="1C77E1E0" w14:textId="77777777" w:rsidR="00EA7422" w:rsidRDefault="00661E70">
      <w:pPr>
        <w:pStyle w:val="TOC1"/>
        <w:rPr>
          <w:rFonts w:asciiTheme="minorHAnsi" w:eastAsiaTheme="minorEastAsia" w:hAnsiTheme="minorHAnsi" w:cstheme="minorBidi"/>
          <w:color w:val="auto"/>
          <w:sz w:val="22"/>
          <w:szCs w:val="22"/>
          <w:lang w:eastAsia="en-GB"/>
        </w:rPr>
      </w:pPr>
      <w:hyperlink w:anchor="_Toc54886653" w:history="1">
        <w:r w:rsidR="00EA7422" w:rsidRPr="00694584">
          <w:rPr>
            <w:rStyle w:val="Hyperlink"/>
          </w:rPr>
          <w:t>Statement of Responsibilities</w:t>
        </w:r>
        <w:r w:rsidR="00EA7422">
          <w:rPr>
            <w:webHidden/>
          </w:rPr>
          <w:tab/>
        </w:r>
        <w:r w:rsidR="00EA7422">
          <w:rPr>
            <w:webHidden/>
          </w:rPr>
          <w:fldChar w:fldCharType="begin"/>
        </w:r>
        <w:r w:rsidR="00EA7422">
          <w:rPr>
            <w:webHidden/>
          </w:rPr>
          <w:instrText xml:space="preserve"> PAGEREF _Toc54886653 \h </w:instrText>
        </w:r>
        <w:r w:rsidR="00EA7422">
          <w:rPr>
            <w:webHidden/>
          </w:rPr>
        </w:r>
        <w:r w:rsidR="00EA7422">
          <w:rPr>
            <w:webHidden/>
          </w:rPr>
          <w:fldChar w:fldCharType="separate"/>
        </w:r>
        <w:r w:rsidR="001D7F74">
          <w:rPr>
            <w:webHidden/>
          </w:rPr>
          <w:t>15</w:t>
        </w:r>
        <w:r w:rsidR="00EA7422">
          <w:rPr>
            <w:webHidden/>
          </w:rPr>
          <w:fldChar w:fldCharType="end"/>
        </w:r>
      </w:hyperlink>
    </w:p>
    <w:p w14:paraId="3E2112EF" w14:textId="77777777" w:rsidR="00EA7422" w:rsidRDefault="00661E70">
      <w:pPr>
        <w:pStyle w:val="TOC1"/>
        <w:rPr>
          <w:rFonts w:asciiTheme="minorHAnsi" w:eastAsiaTheme="minorEastAsia" w:hAnsiTheme="minorHAnsi" w:cstheme="minorBidi"/>
          <w:color w:val="auto"/>
          <w:sz w:val="22"/>
          <w:szCs w:val="22"/>
          <w:lang w:eastAsia="en-GB"/>
        </w:rPr>
      </w:pPr>
      <w:hyperlink w:anchor="_Toc54886654" w:history="1">
        <w:r w:rsidR="00EA7422" w:rsidRPr="00694584">
          <w:rPr>
            <w:rStyle w:val="Hyperlink"/>
          </w:rPr>
          <w:t>Comprehensive Income and Expenditure Statement (CIES)CIES</w:t>
        </w:r>
        <w:r w:rsidR="00EA7422">
          <w:rPr>
            <w:webHidden/>
          </w:rPr>
          <w:tab/>
        </w:r>
        <w:r w:rsidR="00EA7422">
          <w:rPr>
            <w:webHidden/>
          </w:rPr>
          <w:fldChar w:fldCharType="begin"/>
        </w:r>
        <w:r w:rsidR="00EA7422">
          <w:rPr>
            <w:webHidden/>
          </w:rPr>
          <w:instrText xml:space="preserve"> PAGEREF _Toc54886654 \h </w:instrText>
        </w:r>
        <w:r w:rsidR="00EA7422">
          <w:rPr>
            <w:webHidden/>
          </w:rPr>
        </w:r>
        <w:r w:rsidR="00EA7422">
          <w:rPr>
            <w:webHidden/>
          </w:rPr>
          <w:fldChar w:fldCharType="separate"/>
        </w:r>
        <w:r w:rsidR="001D7F74">
          <w:rPr>
            <w:webHidden/>
          </w:rPr>
          <w:t>16</w:t>
        </w:r>
        <w:r w:rsidR="00EA7422">
          <w:rPr>
            <w:webHidden/>
          </w:rPr>
          <w:fldChar w:fldCharType="end"/>
        </w:r>
      </w:hyperlink>
    </w:p>
    <w:p w14:paraId="15E03C62" w14:textId="77777777" w:rsidR="00EA7422" w:rsidRDefault="00661E70">
      <w:pPr>
        <w:pStyle w:val="TOC1"/>
        <w:rPr>
          <w:rFonts w:asciiTheme="minorHAnsi" w:eastAsiaTheme="minorEastAsia" w:hAnsiTheme="minorHAnsi" w:cstheme="minorBidi"/>
          <w:color w:val="auto"/>
          <w:sz w:val="22"/>
          <w:szCs w:val="22"/>
          <w:lang w:eastAsia="en-GB"/>
        </w:rPr>
      </w:pPr>
      <w:hyperlink w:anchor="_Toc54886655" w:history="1">
        <w:r w:rsidR="00EA7422" w:rsidRPr="00694584">
          <w:rPr>
            <w:rStyle w:val="Hyperlink"/>
          </w:rPr>
          <w:t>Movement in Reserves Statement</w:t>
        </w:r>
        <w:r w:rsidR="00EA7422">
          <w:rPr>
            <w:webHidden/>
          </w:rPr>
          <w:tab/>
        </w:r>
        <w:r w:rsidR="00EA7422">
          <w:rPr>
            <w:webHidden/>
          </w:rPr>
          <w:fldChar w:fldCharType="begin"/>
        </w:r>
        <w:r w:rsidR="00EA7422">
          <w:rPr>
            <w:webHidden/>
          </w:rPr>
          <w:instrText xml:space="preserve"> PAGEREF _Toc54886655 \h </w:instrText>
        </w:r>
        <w:r w:rsidR="00EA7422">
          <w:rPr>
            <w:webHidden/>
          </w:rPr>
        </w:r>
        <w:r w:rsidR="00EA7422">
          <w:rPr>
            <w:webHidden/>
          </w:rPr>
          <w:fldChar w:fldCharType="separate"/>
        </w:r>
        <w:r w:rsidR="001D7F74">
          <w:rPr>
            <w:webHidden/>
          </w:rPr>
          <w:t>17</w:t>
        </w:r>
        <w:r w:rsidR="00EA7422">
          <w:rPr>
            <w:webHidden/>
          </w:rPr>
          <w:fldChar w:fldCharType="end"/>
        </w:r>
      </w:hyperlink>
    </w:p>
    <w:p w14:paraId="5679421C" w14:textId="77777777" w:rsidR="00EA7422" w:rsidRDefault="00661E70">
      <w:pPr>
        <w:pStyle w:val="TOC1"/>
        <w:rPr>
          <w:rFonts w:asciiTheme="minorHAnsi" w:eastAsiaTheme="minorEastAsia" w:hAnsiTheme="minorHAnsi" w:cstheme="minorBidi"/>
          <w:color w:val="auto"/>
          <w:sz w:val="22"/>
          <w:szCs w:val="22"/>
          <w:lang w:eastAsia="en-GB"/>
        </w:rPr>
      </w:pPr>
      <w:hyperlink w:anchor="_Toc54886656" w:history="1">
        <w:r w:rsidR="00EA7422" w:rsidRPr="00694584">
          <w:rPr>
            <w:rStyle w:val="Hyperlink"/>
          </w:rPr>
          <w:t>Balance Sheet</w:t>
        </w:r>
        <w:r w:rsidR="00EA7422">
          <w:rPr>
            <w:webHidden/>
          </w:rPr>
          <w:tab/>
        </w:r>
        <w:r w:rsidR="00EA7422">
          <w:rPr>
            <w:webHidden/>
          </w:rPr>
          <w:fldChar w:fldCharType="begin"/>
        </w:r>
        <w:r w:rsidR="00EA7422">
          <w:rPr>
            <w:webHidden/>
          </w:rPr>
          <w:instrText xml:space="preserve"> PAGEREF _Toc54886656 \h </w:instrText>
        </w:r>
        <w:r w:rsidR="00EA7422">
          <w:rPr>
            <w:webHidden/>
          </w:rPr>
        </w:r>
        <w:r w:rsidR="00EA7422">
          <w:rPr>
            <w:webHidden/>
          </w:rPr>
          <w:fldChar w:fldCharType="separate"/>
        </w:r>
        <w:r w:rsidR="001D7F74">
          <w:rPr>
            <w:webHidden/>
          </w:rPr>
          <w:t>18</w:t>
        </w:r>
        <w:r w:rsidR="00EA7422">
          <w:rPr>
            <w:webHidden/>
          </w:rPr>
          <w:fldChar w:fldCharType="end"/>
        </w:r>
      </w:hyperlink>
    </w:p>
    <w:p w14:paraId="04EA0318" w14:textId="77777777" w:rsidR="00EA7422" w:rsidRDefault="00661E70">
      <w:pPr>
        <w:pStyle w:val="TOC1"/>
        <w:rPr>
          <w:rFonts w:asciiTheme="minorHAnsi" w:eastAsiaTheme="minorEastAsia" w:hAnsiTheme="minorHAnsi" w:cstheme="minorBidi"/>
          <w:color w:val="auto"/>
          <w:sz w:val="22"/>
          <w:szCs w:val="22"/>
          <w:lang w:eastAsia="en-GB"/>
        </w:rPr>
      </w:pPr>
      <w:hyperlink w:anchor="_Toc54886657" w:history="1">
        <w:r w:rsidR="00EA7422" w:rsidRPr="00694584">
          <w:rPr>
            <w:rStyle w:val="Hyperlink"/>
          </w:rPr>
          <w:t>Cash Flow Statement</w:t>
        </w:r>
        <w:r w:rsidR="00EA7422">
          <w:rPr>
            <w:webHidden/>
          </w:rPr>
          <w:tab/>
        </w:r>
        <w:r w:rsidR="00EA7422">
          <w:rPr>
            <w:webHidden/>
          </w:rPr>
          <w:fldChar w:fldCharType="begin"/>
        </w:r>
        <w:r w:rsidR="00EA7422">
          <w:rPr>
            <w:webHidden/>
          </w:rPr>
          <w:instrText xml:space="preserve"> PAGEREF _Toc54886657 \h </w:instrText>
        </w:r>
        <w:r w:rsidR="00EA7422">
          <w:rPr>
            <w:webHidden/>
          </w:rPr>
        </w:r>
        <w:r w:rsidR="00EA7422">
          <w:rPr>
            <w:webHidden/>
          </w:rPr>
          <w:fldChar w:fldCharType="separate"/>
        </w:r>
        <w:r w:rsidR="001D7F74">
          <w:rPr>
            <w:webHidden/>
          </w:rPr>
          <w:t>19</w:t>
        </w:r>
        <w:r w:rsidR="00EA7422">
          <w:rPr>
            <w:webHidden/>
          </w:rPr>
          <w:fldChar w:fldCharType="end"/>
        </w:r>
      </w:hyperlink>
    </w:p>
    <w:p w14:paraId="208557CF" w14:textId="77777777" w:rsidR="00EA7422" w:rsidRDefault="00661E70">
      <w:pPr>
        <w:pStyle w:val="TOC1"/>
        <w:rPr>
          <w:rFonts w:asciiTheme="minorHAnsi" w:eastAsiaTheme="minorEastAsia" w:hAnsiTheme="minorHAnsi" w:cstheme="minorBidi"/>
          <w:color w:val="auto"/>
          <w:sz w:val="22"/>
          <w:szCs w:val="22"/>
          <w:lang w:eastAsia="en-GB"/>
        </w:rPr>
      </w:pPr>
      <w:hyperlink w:anchor="_Toc54886658" w:history="1">
        <w:r w:rsidR="00EA7422" w:rsidRPr="00694584">
          <w:rPr>
            <w:rStyle w:val="Hyperlink"/>
          </w:rPr>
          <w:t>Notes to the Accounts</w:t>
        </w:r>
        <w:r w:rsidR="00EA7422">
          <w:rPr>
            <w:webHidden/>
          </w:rPr>
          <w:tab/>
        </w:r>
        <w:r w:rsidR="00EA7422">
          <w:rPr>
            <w:webHidden/>
          </w:rPr>
          <w:fldChar w:fldCharType="begin"/>
        </w:r>
        <w:r w:rsidR="00EA7422">
          <w:rPr>
            <w:webHidden/>
          </w:rPr>
          <w:instrText xml:space="preserve"> PAGEREF _Toc54886658 \h </w:instrText>
        </w:r>
        <w:r w:rsidR="00EA7422">
          <w:rPr>
            <w:webHidden/>
          </w:rPr>
        </w:r>
        <w:r w:rsidR="00EA7422">
          <w:rPr>
            <w:webHidden/>
          </w:rPr>
          <w:fldChar w:fldCharType="separate"/>
        </w:r>
        <w:r w:rsidR="001D7F74">
          <w:rPr>
            <w:webHidden/>
          </w:rPr>
          <w:t>20</w:t>
        </w:r>
        <w:r w:rsidR="00EA7422">
          <w:rPr>
            <w:webHidden/>
          </w:rPr>
          <w:fldChar w:fldCharType="end"/>
        </w:r>
      </w:hyperlink>
    </w:p>
    <w:p w14:paraId="36865A7F" w14:textId="77777777" w:rsidR="00EA7422" w:rsidRDefault="00661E70">
      <w:pPr>
        <w:pStyle w:val="TOC1"/>
        <w:rPr>
          <w:rFonts w:asciiTheme="minorHAnsi" w:eastAsiaTheme="minorEastAsia" w:hAnsiTheme="minorHAnsi" w:cstheme="minorBidi"/>
          <w:color w:val="auto"/>
          <w:sz w:val="22"/>
          <w:szCs w:val="22"/>
          <w:lang w:eastAsia="en-GB"/>
        </w:rPr>
      </w:pPr>
      <w:hyperlink w:anchor="_Toc54886659" w:history="1">
        <w:r w:rsidR="00EA7422" w:rsidRPr="00694584">
          <w:rPr>
            <w:rStyle w:val="Hyperlink"/>
          </w:rPr>
          <w:t>Collection Fund</w:t>
        </w:r>
        <w:r w:rsidR="00EA7422">
          <w:rPr>
            <w:webHidden/>
          </w:rPr>
          <w:tab/>
        </w:r>
        <w:r w:rsidR="00EA7422">
          <w:rPr>
            <w:webHidden/>
          </w:rPr>
          <w:fldChar w:fldCharType="begin"/>
        </w:r>
        <w:r w:rsidR="00EA7422">
          <w:rPr>
            <w:webHidden/>
          </w:rPr>
          <w:instrText xml:space="preserve"> PAGEREF _Toc54886659 \h </w:instrText>
        </w:r>
        <w:r w:rsidR="00EA7422">
          <w:rPr>
            <w:webHidden/>
          </w:rPr>
        </w:r>
        <w:r w:rsidR="00EA7422">
          <w:rPr>
            <w:webHidden/>
          </w:rPr>
          <w:fldChar w:fldCharType="separate"/>
        </w:r>
        <w:r w:rsidR="001D7F74">
          <w:rPr>
            <w:webHidden/>
          </w:rPr>
          <w:t>59</w:t>
        </w:r>
        <w:r w:rsidR="00EA7422">
          <w:rPr>
            <w:webHidden/>
          </w:rPr>
          <w:fldChar w:fldCharType="end"/>
        </w:r>
      </w:hyperlink>
    </w:p>
    <w:p w14:paraId="5B4A79C0" w14:textId="77777777" w:rsidR="00EA7422" w:rsidRDefault="00661E70">
      <w:pPr>
        <w:pStyle w:val="TOC1"/>
        <w:rPr>
          <w:rFonts w:asciiTheme="minorHAnsi" w:eastAsiaTheme="minorEastAsia" w:hAnsiTheme="minorHAnsi" w:cstheme="minorBidi"/>
          <w:color w:val="auto"/>
          <w:sz w:val="22"/>
          <w:szCs w:val="22"/>
          <w:lang w:eastAsia="en-GB"/>
        </w:rPr>
      </w:pPr>
      <w:hyperlink w:anchor="_Toc54886660" w:history="1">
        <w:r w:rsidR="00EA7422" w:rsidRPr="00694584">
          <w:rPr>
            <w:rStyle w:val="Hyperlink"/>
          </w:rPr>
          <w:t>Statement of Accounting Policies</w:t>
        </w:r>
        <w:r w:rsidR="00EA7422">
          <w:rPr>
            <w:webHidden/>
          </w:rPr>
          <w:tab/>
        </w:r>
        <w:r w:rsidR="00EA7422">
          <w:rPr>
            <w:webHidden/>
          </w:rPr>
          <w:fldChar w:fldCharType="begin"/>
        </w:r>
        <w:r w:rsidR="00EA7422">
          <w:rPr>
            <w:webHidden/>
          </w:rPr>
          <w:instrText xml:space="preserve"> PAGEREF _Toc54886660 \h </w:instrText>
        </w:r>
        <w:r w:rsidR="00EA7422">
          <w:rPr>
            <w:webHidden/>
          </w:rPr>
        </w:r>
        <w:r w:rsidR="00EA7422">
          <w:rPr>
            <w:webHidden/>
          </w:rPr>
          <w:fldChar w:fldCharType="separate"/>
        </w:r>
        <w:r w:rsidR="001D7F74">
          <w:rPr>
            <w:webHidden/>
          </w:rPr>
          <w:t>62</w:t>
        </w:r>
        <w:r w:rsidR="00EA7422">
          <w:rPr>
            <w:webHidden/>
          </w:rPr>
          <w:fldChar w:fldCharType="end"/>
        </w:r>
      </w:hyperlink>
    </w:p>
    <w:p w14:paraId="532D9CC1" w14:textId="77777777" w:rsidR="00EA7422" w:rsidRDefault="00661E70">
      <w:pPr>
        <w:pStyle w:val="TOC1"/>
        <w:rPr>
          <w:rFonts w:asciiTheme="minorHAnsi" w:eastAsiaTheme="minorEastAsia" w:hAnsiTheme="minorHAnsi" w:cstheme="minorBidi"/>
          <w:color w:val="auto"/>
          <w:sz w:val="22"/>
          <w:szCs w:val="22"/>
          <w:lang w:eastAsia="en-GB"/>
        </w:rPr>
      </w:pPr>
      <w:hyperlink w:anchor="_Toc54886661" w:history="1">
        <w:r w:rsidR="00EA7422" w:rsidRPr="00694584">
          <w:rPr>
            <w:rStyle w:val="Hyperlink"/>
          </w:rPr>
          <w:t>Glossary</w:t>
        </w:r>
        <w:r w:rsidR="00EA7422">
          <w:rPr>
            <w:webHidden/>
          </w:rPr>
          <w:tab/>
        </w:r>
        <w:r w:rsidR="00EA7422">
          <w:rPr>
            <w:webHidden/>
          </w:rPr>
          <w:fldChar w:fldCharType="begin"/>
        </w:r>
        <w:r w:rsidR="00EA7422">
          <w:rPr>
            <w:webHidden/>
          </w:rPr>
          <w:instrText xml:space="preserve"> PAGEREF _Toc54886661 \h </w:instrText>
        </w:r>
        <w:r w:rsidR="00EA7422">
          <w:rPr>
            <w:webHidden/>
          </w:rPr>
        </w:r>
        <w:r w:rsidR="00EA7422">
          <w:rPr>
            <w:webHidden/>
          </w:rPr>
          <w:fldChar w:fldCharType="separate"/>
        </w:r>
        <w:r w:rsidR="001D7F74">
          <w:rPr>
            <w:webHidden/>
          </w:rPr>
          <w:t>77</w:t>
        </w:r>
        <w:r w:rsidR="00EA7422">
          <w:rPr>
            <w:webHidden/>
          </w:rPr>
          <w:fldChar w:fldCharType="end"/>
        </w:r>
      </w:hyperlink>
    </w:p>
    <w:p w14:paraId="17E3886F" w14:textId="77777777" w:rsidR="00EA7422" w:rsidRDefault="00661E70">
      <w:pPr>
        <w:pStyle w:val="TOC1"/>
        <w:rPr>
          <w:rFonts w:asciiTheme="minorHAnsi" w:eastAsiaTheme="minorEastAsia" w:hAnsiTheme="minorHAnsi" w:cstheme="minorBidi"/>
          <w:color w:val="auto"/>
          <w:sz w:val="22"/>
          <w:szCs w:val="22"/>
          <w:lang w:eastAsia="en-GB"/>
        </w:rPr>
      </w:pPr>
      <w:hyperlink w:anchor="_Toc54886662" w:history="1">
        <w:r w:rsidR="00EA7422" w:rsidRPr="00694584">
          <w:rPr>
            <w:rStyle w:val="Hyperlink"/>
          </w:rPr>
          <w:t>Independent Auditor’s Report</w:t>
        </w:r>
        <w:r w:rsidR="00EA7422">
          <w:rPr>
            <w:webHidden/>
          </w:rPr>
          <w:tab/>
        </w:r>
        <w:r w:rsidR="00EA7422">
          <w:rPr>
            <w:webHidden/>
          </w:rPr>
          <w:fldChar w:fldCharType="begin"/>
        </w:r>
        <w:r w:rsidR="00EA7422">
          <w:rPr>
            <w:webHidden/>
          </w:rPr>
          <w:instrText xml:space="preserve"> PAGEREF _Toc54886662 \h </w:instrText>
        </w:r>
        <w:r w:rsidR="00EA7422">
          <w:rPr>
            <w:webHidden/>
          </w:rPr>
        </w:r>
        <w:r w:rsidR="00EA7422">
          <w:rPr>
            <w:webHidden/>
          </w:rPr>
          <w:fldChar w:fldCharType="separate"/>
        </w:r>
        <w:r w:rsidR="001D7F74">
          <w:rPr>
            <w:webHidden/>
          </w:rPr>
          <w:t>81</w:t>
        </w:r>
        <w:r w:rsidR="00EA7422">
          <w:rPr>
            <w:webHidden/>
          </w:rPr>
          <w:fldChar w:fldCharType="end"/>
        </w:r>
      </w:hyperlink>
    </w:p>
    <w:p w14:paraId="0EF5C885" w14:textId="77777777" w:rsidR="00EA7422" w:rsidRDefault="00661E70">
      <w:pPr>
        <w:pStyle w:val="TOC1"/>
        <w:rPr>
          <w:rFonts w:asciiTheme="minorHAnsi" w:eastAsiaTheme="minorEastAsia" w:hAnsiTheme="minorHAnsi" w:cstheme="minorBidi"/>
          <w:color w:val="auto"/>
          <w:sz w:val="22"/>
          <w:szCs w:val="22"/>
          <w:lang w:eastAsia="en-GB"/>
        </w:rPr>
      </w:pPr>
      <w:hyperlink w:anchor="_Toc54886663" w:history="1">
        <w:r w:rsidR="00EA7422" w:rsidRPr="00694584">
          <w:rPr>
            <w:rStyle w:val="Hyperlink"/>
          </w:rPr>
          <w:t>Annual Governance Statement 2019/20</w:t>
        </w:r>
        <w:r w:rsidR="00EA7422">
          <w:rPr>
            <w:webHidden/>
          </w:rPr>
          <w:tab/>
        </w:r>
        <w:r w:rsidR="00EA7422">
          <w:rPr>
            <w:webHidden/>
          </w:rPr>
          <w:fldChar w:fldCharType="begin"/>
        </w:r>
        <w:r w:rsidR="00EA7422">
          <w:rPr>
            <w:webHidden/>
          </w:rPr>
          <w:instrText xml:space="preserve"> PAGEREF _Toc54886663 \h </w:instrText>
        </w:r>
        <w:r w:rsidR="00EA7422">
          <w:rPr>
            <w:webHidden/>
          </w:rPr>
        </w:r>
        <w:r w:rsidR="00EA7422">
          <w:rPr>
            <w:webHidden/>
          </w:rPr>
          <w:fldChar w:fldCharType="separate"/>
        </w:r>
        <w:r w:rsidR="001D7F74">
          <w:rPr>
            <w:webHidden/>
          </w:rPr>
          <w:t>85</w:t>
        </w:r>
        <w:r w:rsidR="00EA7422">
          <w:rPr>
            <w:webHidden/>
          </w:rPr>
          <w:fldChar w:fldCharType="end"/>
        </w:r>
      </w:hyperlink>
    </w:p>
    <w:p w14:paraId="64FB4BF4" w14:textId="77777777" w:rsidR="00BF4EB2" w:rsidRPr="000127EF" w:rsidRDefault="00BF4EB2" w:rsidP="00A05D1D">
      <w:pPr>
        <w:tabs>
          <w:tab w:val="left" w:pos="8505"/>
        </w:tabs>
        <w:spacing w:after="120"/>
        <w:jc w:val="center"/>
        <w:outlineLvl w:val="0"/>
        <w:rPr>
          <w:b/>
          <w:sz w:val="28"/>
          <w:szCs w:val="28"/>
        </w:rPr>
        <w:sectPr w:rsidR="00BF4EB2" w:rsidRPr="000127EF" w:rsidSect="008C78E8">
          <w:footerReference w:type="default" r:id="rId12"/>
          <w:pgSz w:w="11907" w:h="16840" w:code="9"/>
          <w:pgMar w:top="1135" w:right="992" w:bottom="1440" w:left="709" w:header="567" w:footer="851" w:gutter="0"/>
          <w:paperSrc w:first="7" w:other="7"/>
          <w:pgNumType w:start="1"/>
          <w:cols w:space="720"/>
          <w:docGrid w:linePitch="299"/>
        </w:sectPr>
      </w:pPr>
      <w:r w:rsidRPr="000127EF">
        <w:rPr>
          <w:b/>
          <w:sz w:val="28"/>
          <w:szCs w:val="28"/>
        </w:rPr>
        <w:fldChar w:fldCharType="end"/>
      </w:r>
    </w:p>
    <w:p w14:paraId="179DC295" w14:textId="77777777" w:rsidR="005F7042" w:rsidRPr="000127EF" w:rsidRDefault="00A375FD" w:rsidP="005F7042">
      <w:pPr>
        <w:pStyle w:val="MainSoAHeading"/>
      </w:pPr>
      <w:bookmarkStart w:id="9" w:name="_Toc54886652"/>
      <w:r w:rsidRPr="000127EF">
        <w:lastRenderedPageBreak/>
        <w:t xml:space="preserve">Narrative </w:t>
      </w:r>
      <w:r w:rsidR="000D3DEC" w:rsidRPr="000127EF">
        <w:t>Report</w:t>
      </w:r>
      <w:bookmarkEnd w:id="9"/>
    </w:p>
    <w:p w14:paraId="1A3E9A09" w14:textId="77777777" w:rsidR="005F7042" w:rsidRPr="000127EF" w:rsidRDefault="00661E70" w:rsidP="00BF4EB2">
      <w:bookmarkStart w:id="10" w:name="_Toc411583317"/>
      <w:r>
        <w:pict w14:anchorId="4AE73164">
          <v:rect id="_x0000_i1028" style="width:510.3pt;height:2pt" o:hralign="center" o:hrstd="t" o:hrnoshade="t" o:hr="t" fillcolor="#a8d08d [1945]" stroked="f"/>
        </w:pict>
      </w:r>
      <w:bookmarkEnd w:id="10"/>
    </w:p>
    <w:p w14:paraId="6EA7FED1" w14:textId="1C7D175F" w:rsidR="001F2D6B" w:rsidRPr="000127EF" w:rsidRDefault="001F2D6B" w:rsidP="001F2D6B">
      <w:pPr>
        <w:spacing w:before="120" w:after="240"/>
        <w:jc w:val="both"/>
        <w:rPr>
          <w:rFonts w:cs="Arial"/>
          <w:b/>
          <w:bCs/>
          <w:szCs w:val="22"/>
          <w:lang w:eastAsia="en-GB"/>
        </w:rPr>
      </w:pPr>
      <w:r w:rsidRPr="000127EF">
        <w:rPr>
          <w:rFonts w:cs="Arial"/>
          <w:b/>
          <w:bCs/>
          <w:szCs w:val="22"/>
          <w:lang w:eastAsia="en-GB"/>
        </w:rPr>
        <w:t xml:space="preserve">Introduction to the Accounts by the </w:t>
      </w:r>
      <w:r w:rsidR="009333D0" w:rsidRPr="000127EF">
        <w:rPr>
          <w:rFonts w:cs="Arial"/>
          <w:b/>
          <w:bCs/>
          <w:szCs w:val="22"/>
          <w:lang w:eastAsia="en-GB"/>
        </w:rPr>
        <w:t>Strategic Director for Resources</w:t>
      </w:r>
      <w:r w:rsidRPr="000127EF">
        <w:rPr>
          <w:rFonts w:cs="Arial"/>
          <w:b/>
          <w:bCs/>
          <w:szCs w:val="22"/>
          <w:lang w:eastAsia="en-GB"/>
        </w:rPr>
        <w:t>, Mr Saverio Della Rocca</w:t>
      </w:r>
    </w:p>
    <w:p w14:paraId="3DE796EE" w14:textId="7421349B" w:rsidR="00304E07" w:rsidRPr="007A1321" w:rsidRDefault="00304E07" w:rsidP="00304E07">
      <w:pPr>
        <w:spacing w:after="120"/>
        <w:jc w:val="both"/>
        <w:rPr>
          <w:rFonts w:cs="Arial"/>
          <w:bCs/>
          <w:szCs w:val="22"/>
          <w:lang w:eastAsia="en-GB"/>
        </w:rPr>
      </w:pPr>
      <w:r w:rsidRPr="007A1321">
        <w:rPr>
          <w:rFonts w:cs="Arial"/>
          <w:bCs/>
          <w:szCs w:val="22"/>
          <w:lang w:eastAsia="en-GB"/>
        </w:rPr>
        <w:t>I have prepared this Narrative Report to provide an easily understandable guide to the most significant matters reported in Rutland County Council’s Statement of Accounts f</w:t>
      </w:r>
      <w:r w:rsidR="0040125E" w:rsidRPr="007A1321">
        <w:rPr>
          <w:rFonts w:cs="Arial"/>
          <w:bCs/>
          <w:szCs w:val="22"/>
          <w:lang w:eastAsia="en-GB"/>
        </w:rPr>
        <w:t>or the year ended 31st March 2020</w:t>
      </w:r>
      <w:r w:rsidRPr="007A1321">
        <w:rPr>
          <w:rFonts w:cs="Arial"/>
          <w:bCs/>
          <w:szCs w:val="22"/>
          <w:lang w:eastAsia="en-GB"/>
        </w:rPr>
        <w:t>.  My intention in producing this report is to give electors, local residents, Council Members, partners, stakeholders and other interested parties the assurance that the public money received and spent has been properly accounted for and that the financial position of the Council is secure, to give a brief summary of the overall financial position of the Council, to give details of how the Council’s budget is spent and financed, and to explain the purpose of the financial statements contained within the Council’s accounts.</w:t>
      </w:r>
    </w:p>
    <w:p w14:paraId="7895FDCD" w14:textId="77777777" w:rsidR="00304E07" w:rsidRPr="007A1321" w:rsidRDefault="00304E07" w:rsidP="00304E07">
      <w:pPr>
        <w:spacing w:after="120"/>
        <w:jc w:val="both"/>
        <w:rPr>
          <w:rFonts w:cs="Arial"/>
          <w:bCs/>
          <w:szCs w:val="22"/>
          <w:lang w:eastAsia="en-GB"/>
        </w:rPr>
      </w:pPr>
      <w:r w:rsidRPr="007A1321">
        <w:rPr>
          <w:rFonts w:cs="Arial"/>
          <w:bCs/>
          <w:szCs w:val="22"/>
          <w:lang w:eastAsia="en-GB"/>
        </w:rPr>
        <w:t>The Narrative Report is structured as follows:</w:t>
      </w:r>
    </w:p>
    <w:p w14:paraId="2D369D68" w14:textId="77777777" w:rsidR="00304E07" w:rsidRPr="007A1321" w:rsidRDefault="00304E07" w:rsidP="005676B7">
      <w:pPr>
        <w:pStyle w:val="ListParagraph"/>
        <w:numPr>
          <w:ilvl w:val="0"/>
          <w:numId w:val="13"/>
        </w:numPr>
        <w:spacing w:after="120"/>
        <w:jc w:val="both"/>
        <w:rPr>
          <w:rFonts w:cs="Arial"/>
          <w:szCs w:val="22"/>
        </w:rPr>
      </w:pPr>
      <w:r w:rsidRPr="007A1321">
        <w:rPr>
          <w:rFonts w:cs="Arial"/>
          <w:bCs/>
          <w:szCs w:val="22"/>
        </w:rPr>
        <w:t>An Introduction to Rutland County Council</w:t>
      </w:r>
    </w:p>
    <w:p w14:paraId="2341630B" w14:textId="77777777" w:rsidR="00304E07" w:rsidRPr="007A1321" w:rsidRDefault="00304E07" w:rsidP="005676B7">
      <w:pPr>
        <w:pStyle w:val="ListParagraph"/>
        <w:numPr>
          <w:ilvl w:val="0"/>
          <w:numId w:val="13"/>
        </w:numPr>
        <w:spacing w:after="120"/>
        <w:jc w:val="both"/>
        <w:rPr>
          <w:rFonts w:cs="Arial"/>
          <w:szCs w:val="22"/>
        </w:rPr>
      </w:pPr>
      <w:r w:rsidRPr="007A1321">
        <w:rPr>
          <w:rFonts w:cs="Arial"/>
          <w:szCs w:val="22"/>
        </w:rPr>
        <w:t>Council Performance</w:t>
      </w:r>
    </w:p>
    <w:p w14:paraId="1E8162AF" w14:textId="77777777" w:rsidR="00304E07" w:rsidRPr="007A1321" w:rsidRDefault="00304E07" w:rsidP="005676B7">
      <w:pPr>
        <w:pStyle w:val="ListParagraph"/>
        <w:numPr>
          <w:ilvl w:val="0"/>
          <w:numId w:val="13"/>
        </w:numPr>
        <w:spacing w:after="120"/>
        <w:jc w:val="both"/>
        <w:rPr>
          <w:rFonts w:cs="Arial"/>
          <w:szCs w:val="22"/>
        </w:rPr>
      </w:pPr>
      <w:r w:rsidRPr="007A1321">
        <w:rPr>
          <w:rFonts w:cs="Arial"/>
          <w:szCs w:val="22"/>
        </w:rPr>
        <w:t>Financial Performance</w:t>
      </w:r>
    </w:p>
    <w:p w14:paraId="64B38433" w14:textId="31A51612" w:rsidR="00304E07" w:rsidRPr="007A1321" w:rsidRDefault="00304E07" w:rsidP="005676B7">
      <w:pPr>
        <w:pStyle w:val="ListParagraph"/>
        <w:numPr>
          <w:ilvl w:val="1"/>
          <w:numId w:val="13"/>
        </w:numPr>
        <w:spacing w:after="120"/>
        <w:ind w:left="1134"/>
        <w:jc w:val="both"/>
        <w:rPr>
          <w:rFonts w:cs="Arial"/>
          <w:szCs w:val="22"/>
        </w:rPr>
      </w:pPr>
      <w:r w:rsidRPr="007A1321">
        <w:rPr>
          <w:rFonts w:cs="Arial"/>
          <w:szCs w:val="22"/>
        </w:rPr>
        <w:t>Key Issues that have influenced the Financial Position for 201</w:t>
      </w:r>
      <w:r w:rsidR="00303875" w:rsidRPr="007A1321">
        <w:rPr>
          <w:rFonts w:cs="Arial"/>
          <w:szCs w:val="22"/>
        </w:rPr>
        <w:t>9/20</w:t>
      </w:r>
    </w:p>
    <w:p w14:paraId="55E3944F" w14:textId="64F88AAB" w:rsidR="00304E07" w:rsidRPr="007A1321" w:rsidRDefault="00304E07" w:rsidP="005676B7">
      <w:pPr>
        <w:pStyle w:val="ListParagraph"/>
        <w:numPr>
          <w:ilvl w:val="1"/>
          <w:numId w:val="13"/>
        </w:numPr>
        <w:spacing w:after="120"/>
        <w:ind w:left="1134"/>
        <w:jc w:val="both"/>
        <w:rPr>
          <w:rFonts w:cs="Arial"/>
          <w:szCs w:val="22"/>
        </w:rPr>
      </w:pPr>
      <w:r w:rsidRPr="007A1321">
        <w:rPr>
          <w:rFonts w:cs="Arial"/>
          <w:szCs w:val="22"/>
        </w:rPr>
        <w:t>Key Events affecting the Council in 201</w:t>
      </w:r>
      <w:r w:rsidR="00303875" w:rsidRPr="007A1321">
        <w:rPr>
          <w:rFonts w:cs="Arial"/>
          <w:szCs w:val="22"/>
        </w:rPr>
        <w:t>9/20</w:t>
      </w:r>
      <w:r w:rsidRPr="007A1321">
        <w:rPr>
          <w:rFonts w:cs="Arial"/>
          <w:szCs w:val="22"/>
        </w:rPr>
        <w:t xml:space="preserve"> and a look ahead to future years</w:t>
      </w:r>
    </w:p>
    <w:p w14:paraId="16BD773D" w14:textId="4253D1F3" w:rsidR="00304E07" w:rsidRPr="007A1321" w:rsidRDefault="00304E07" w:rsidP="005676B7">
      <w:pPr>
        <w:pStyle w:val="ListParagraph"/>
        <w:numPr>
          <w:ilvl w:val="1"/>
          <w:numId w:val="13"/>
        </w:numPr>
        <w:spacing w:after="120"/>
        <w:ind w:left="1134"/>
        <w:jc w:val="both"/>
        <w:rPr>
          <w:rFonts w:cs="Arial"/>
          <w:szCs w:val="22"/>
        </w:rPr>
      </w:pPr>
      <w:r w:rsidRPr="007A1321">
        <w:rPr>
          <w:rFonts w:cs="Arial"/>
          <w:szCs w:val="22"/>
        </w:rPr>
        <w:t>Review of financial performance in 201</w:t>
      </w:r>
      <w:r w:rsidR="00303875" w:rsidRPr="007A1321">
        <w:rPr>
          <w:rFonts w:cs="Arial"/>
          <w:szCs w:val="22"/>
        </w:rPr>
        <w:t>9/20</w:t>
      </w:r>
    </w:p>
    <w:p w14:paraId="7D941F25" w14:textId="427CA885" w:rsidR="00304E07" w:rsidRPr="007A1321" w:rsidRDefault="000229A6" w:rsidP="005676B7">
      <w:pPr>
        <w:pStyle w:val="ListParagraph"/>
        <w:numPr>
          <w:ilvl w:val="0"/>
          <w:numId w:val="13"/>
        </w:numPr>
        <w:spacing w:after="120"/>
        <w:jc w:val="both"/>
        <w:rPr>
          <w:rFonts w:cs="Arial"/>
          <w:szCs w:val="22"/>
        </w:rPr>
      </w:pPr>
      <w:r w:rsidRPr="007A1321">
        <w:rPr>
          <w:rFonts w:cs="Arial"/>
          <w:szCs w:val="22"/>
        </w:rPr>
        <w:t>Principal</w:t>
      </w:r>
      <w:r w:rsidR="00304E07" w:rsidRPr="007A1321">
        <w:rPr>
          <w:rFonts w:cs="Arial"/>
          <w:szCs w:val="22"/>
        </w:rPr>
        <w:t xml:space="preserve"> Risks and Uncertainty; and</w:t>
      </w:r>
    </w:p>
    <w:p w14:paraId="367BD34A" w14:textId="77777777" w:rsidR="00304E07" w:rsidRPr="007A1321" w:rsidRDefault="00304E07" w:rsidP="005676B7">
      <w:pPr>
        <w:pStyle w:val="ListParagraph"/>
        <w:numPr>
          <w:ilvl w:val="0"/>
          <w:numId w:val="13"/>
        </w:numPr>
        <w:spacing w:after="240"/>
        <w:ind w:left="714" w:hanging="357"/>
        <w:contextualSpacing w:val="0"/>
        <w:jc w:val="both"/>
        <w:rPr>
          <w:rFonts w:cs="Arial"/>
          <w:szCs w:val="22"/>
        </w:rPr>
      </w:pPr>
      <w:r w:rsidRPr="007A1321">
        <w:rPr>
          <w:rFonts w:cs="Arial"/>
          <w:szCs w:val="22"/>
        </w:rPr>
        <w:t>Further Information</w:t>
      </w:r>
    </w:p>
    <w:p w14:paraId="476599AB" w14:textId="77777777" w:rsidR="00304E07" w:rsidRPr="007A1321" w:rsidRDefault="00304E07" w:rsidP="00203885">
      <w:pPr>
        <w:pStyle w:val="ListParagraph"/>
        <w:numPr>
          <w:ilvl w:val="0"/>
          <w:numId w:val="17"/>
        </w:numPr>
        <w:spacing w:before="240" w:after="240"/>
        <w:ind w:left="0" w:firstLine="0"/>
        <w:contextualSpacing w:val="0"/>
        <w:jc w:val="both"/>
        <w:rPr>
          <w:rFonts w:cs="Arial"/>
          <w:b/>
          <w:bCs/>
          <w:szCs w:val="22"/>
        </w:rPr>
      </w:pPr>
      <w:r w:rsidRPr="007A1321">
        <w:rPr>
          <w:rFonts w:cs="Arial"/>
          <w:b/>
          <w:bCs/>
          <w:szCs w:val="22"/>
        </w:rPr>
        <w:t>Introduction to Rutland County Council</w:t>
      </w:r>
    </w:p>
    <w:p w14:paraId="1FC52285" w14:textId="0F211797" w:rsidR="00304E07" w:rsidRPr="007A1321" w:rsidRDefault="00304E07" w:rsidP="00304E07">
      <w:pPr>
        <w:spacing w:after="120"/>
        <w:jc w:val="both"/>
        <w:rPr>
          <w:rFonts w:cs="Arial"/>
          <w:bCs/>
          <w:szCs w:val="22"/>
        </w:rPr>
      </w:pPr>
      <w:r w:rsidRPr="007A1321">
        <w:rPr>
          <w:rFonts w:cs="Arial"/>
          <w:bCs/>
          <w:szCs w:val="22"/>
        </w:rPr>
        <w:t xml:space="preserve">Rutland County Council is a Unitary Authority located in the East Midlands, with Lincolnshire, Leicestershire and Northamptonshire being the bordering counties. </w:t>
      </w:r>
    </w:p>
    <w:p w14:paraId="68CA0348" w14:textId="77777777" w:rsidR="00304E07" w:rsidRPr="007A1321" w:rsidRDefault="00304E07" w:rsidP="00304E07">
      <w:pPr>
        <w:spacing w:after="120"/>
        <w:jc w:val="both"/>
        <w:rPr>
          <w:rFonts w:cs="Arial"/>
          <w:bCs/>
          <w:szCs w:val="22"/>
          <w:lang w:eastAsia="en-GB"/>
        </w:rPr>
      </w:pPr>
      <w:r w:rsidRPr="007A1321">
        <w:rPr>
          <w:rFonts w:cs="Arial"/>
          <w:bCs/>
          <w:szCs w:val="22"/>
          <w:lang w:eastAsia="en-GB"/>
        </w:rPr>
        <w:t>It covers an area of 151.5 square miles (392.5 square kilometres). In the centre of the county is Rutland Water, Anglian Water’s drinking water reservoir, covering an area of 4.19 square miles (10.86 square kilometres), which attracts a great number of visitors to the county each year. The county town is Oakham, which is the administrative centre of the county. The main council offices are located in Oakham and serve the towns and villages of the county from Thistleton in the north to Caldecott in the south and across from Ryhall, Belmsthorpe and Essendine in the east to Whissendine in the west.</w:t>
      </w:r>
    </w:p>
    <w:p w14:paraId="22467B54" w14:textId="3979C9DF" w:rsidR="00304E07" w:rsidRPr="007A1321" w:rsidRDefault="00304E07" w:rsidP="00304E07">
      <w:pPr>
        <w:spacing w:after="120"/>
        <w:jc w:val="both"/>
        <w:rPr>
          <w:rFonts w:cs="Arial"/>
          <w:bCs/>
          <w:szCs w:val="22"/>
          <w:lang w:eastAsia="en-GB"/>
        </w:rPr>
      </w:pPr>
      <w:r w:rsidRPr="007A1321">
        <w:rPr>
          <w:rFonts w:cs="Arial"/>
          <w:bCs/>
          <w:szCs w:val="22"/>
          <w:lang w:eastAsia="en-GB"/>
        </w:rPr>
        <w:t xml:space="preserve">The population of the county is </w:t>
      </w:r>
      <w:r w:rsidR="002711A0" w:rsidRPr="007A1321">
        <w:rPr>
          <w:rFonts w:cs="Arial"/>
          <w:bCs/>
          <w:szCs w:val="22"/>
          <w:lang w:eastAsia="en-GB"/>
        </w:rPr>
        <w:t>39,474 (source: ONS, 2018 mid year estimates)</w:t>
      </w:r>
      <w:r w:rsidRPr="007A1321">
        <w:rPr>
          <w:rFonts w:cs="Arial"/>
          <w:bCs/>
          <w:szCs w:val="22"/>
          <w:lang w:eastAsia="en-GB"/>
        </w:rPr>
        <w:t xml:space="preserve"> which has</w:t>
      </w:r>
      <w:r w:rsidR="002711A0" w:rsidRPr="007A1321">
        <w:rPr>
          <w:rFonts w:cs="Arial"/>
          <w:bCs/>
          <w:szCs w:val="22"/>
          <w:lang w:eastAsia="en-GB"/>
        </w:rPr>
        <w:t xml:space="preserve"> increased by 8% since 2001. </w:t>
      </w:r>
      <w:r w:rsidRPr="007A1321">
        <w:rPr>
          <w:rFonts w:cs="Arial"/>
          <w:bCs/>
          <w:szCs w:val="22"/>
          <w:lang w:eastAsia="en-GB"/>
        </w:rPr>
        <w:t>The demographics for the county show 25%</w:t>
      </w:r>
      <w:r w:rsidR="002711A0" w:rsidRPr="007A1321">
        <w:rPr>
          <w:rFonts w:cs="Arial"/>
          <w:bCs/>
          <w:szCs w:val="22"/>
          <w:lang w:eastAsia="en-GB"/>
        </w:rPr>
        <w:t xml:space="preserve"> of the </w:t>
      </w:r>
      <w:r w:rsidR="002711A0" w:rsidRPr="00386D7F">
        <w:rPr>
          <w:rFonts w:cs="Arial"/>
          <w:bCs/>
          <w:szCs w:val="22"/>
          <w:lang w:eastAsia="en-GB"/>
        </w:rPr>
        <w:t>County is 65 or over</w:t>
      </w:r>
      <w:r w:rsidRPr="00386D7F">
        <w:rPr>
          <w:rFonts w:cs="Arial"/>
          <w:bCs/>
          <w:szCs w:val="22"/>
          <w:lang w:eastAsia="en-GB"/>
        </w:rPr>
        <w:t xml:space="preserve">. </w:t>
      </w:r>
      <w:r w:rsidR="002711A0" w:rsidRPr="00386D7F">
        <w:rPr>
          <w:rFonts w:cs="Arial"/>
          <w:bCs/>
          <w:szCs w:val="22"/>
          <w:lang w:eastAsia="en-GB"/>
        </w:rPr>
        <w:t>T</w:t>
      </w:r>
      <w:r w:rsidRPr="00386D7F">
        <w:rPr>
          <w:rFonts w:cs="Arial"/>
          <w:bCs/>
          <w:szCs w:val="22"/>
          <w:lang w:eastAsia="en-GB"/>
        </w:rPr>
        <w:t xml:space="preserve">he area </w:t>
      </w:r>
      <w:r w:rsidRPr="007A1321">
        <w:rPr>
          <w:rFonts w:cs="Arial"/>
          <w:bCs/>
          <w:szCs w:val="22"/>
          <w:lang w:eastAsia="en-GB"/>
        </w:rPr>
        <w:t xml:space="preserve">is relatively affluent when compared with other areas of England, with only small pockets of deprivation. This is shown in the overall employment rate of the working age population in Rutland of </w:t>
      </w:r>
      <w:r w:rsidR="00DE143B" w:rsidRPr="007A1321">
        <w:rPr>
          <w:rFonts w:cs="Arial"/>
          <w:bCs/>
          <w:szCs w:val="22"/>
          <w:lang w:eastAsia="en-GB"/>
        </w:rPr>
        <w:t>81</w:t>
      </w:r>
      <w:r w:rsidRPr="007A1321">
        <w:rPr>
          <w:rFonts w:cs="Arial"/>
          <w:bCs/>
          <w:szCs w:val="22"/>
          <w:lang w:eastAsia="en-GB"/>
        </w:rPr>
        <w:t>.</w:t>
      </w:r>
      <w:r w:rsidR="00DE143B" w:rsidRPr="007A1321">
        <w:rPr>
          <w:rFonts w:cs="Arial"/>
          <w:bCs/>
          <w:szCs w:val="22"/>
          <w:lang w:eastAsia="en-GB"/>
        </w:rPr>
        <w:t>2</w:t>
      </w:r>
      <w:r w:rsidRPr="007A1321">
        <w:rPr>
          <w:rFonts w:cs="Arial"/>
          <w:bCs/>
          <w:szCs w:val="22"/>
          <w:lang w:eastAsia="en-GB"/>
        </w:rPr>
        <w:t>% compared to the East Midlands average of 7</w:t>
      </w:r>
      <w:r w:rsidR="00DE143B" w:rsidRPr="007A1321">
        <w:rPr>
          <w:rFonts w:cs="Arial"/>
          <w:bCs/>
          <w:szCs w:val="22"/>
          <w:lang w:eastAsia="en-GB"/>
        </w:rPr>
        <w:t>4</w:t>
      </w:r>
      <w:r w:rsidRPr="007A1321">
        <w:rPr>
          <w:rFonts w:cs="Arial"/>
          <w:bCs/>
          <w:szCs w:val="22"/>
          <w:lang w:eastAsia="en-GB"/>
        </w:rPr>
        <w:t>.</w:t>
      </w:r>
      <w:r w:rsidR="00DE143B" w:rsidRPr="007A1321">
        <w:rPr>
          <w:rFonts w:cs="Arial"/>
          <w:bCs/>
          <w:szCs w:val="22"/>
          <w:lang w:eastAsia="en-GB"/>
        </w:rPr>
        <w:t>1</w:t>
      </w:r>
      <w:r w:rsidRPr="007A1321">
        <w:rPr>
          <w:rFonts w:cs="Arial"/>
          <w:bCs/>
          <w:szCs w:val="22"/>
          <w:lang w:eastAsia="en-GB"/>
        </w:rPr>
        <w:t xml:space="preserve">%.  The make-up of the county’s population shapes the delivery of services by the Council, with the aims and objectives of the Council being set to meet to the needs of its residents.  </w:t>
      </w:r>
    </w:p>
    <w:p w14:paraId="061BC9CB" w14:textId="71AA624C" w:rsidR="00E25E62" w:rsidRPr="007A1321" w:rsidRDefault="00304E07" w:rsidP="00E25E62">
      <w:pPr>
        <w:spacing w:after="240"/>
        <w:jc w:val="both"/>
        <w:rPr>
          <w:rFonts w:cs="Arial"/>
          <w:szCs w:val="22"/>
        </w:rPr>
      </w:pPr>
      <w:r w:rsidRPr="007A1321">
        <w:rPr>
          <w:rFonts w:cs="Arial"/>
          <w:bCs/>
          <w:szCs w:val="22"/>
          <w:lang w:eastAsia="en-GB"/>
        </w:rPr>
        <w:t>The Council, as a Unitary Authority, provides all county council and district council services (see the pie chart ‘What services have been provided with the money’ in Section 4 below fo</w:t>
      </w:r>
      <w:r w:rsidR="002711A0" w:rsidRPr="007A1321">
        <w:rPr>
          <w:rFonts w:cs="Arial"/>
          <w:bCs/>
          <w:szCs w:val="22"/>
          <w:lang w:eastAsia="en-GB"/>
        </w:rPr>
        <w:t xml:space="preserve">r a summary). </w:t>
      </w:r>
      <w:r w:rsidR="00E25E62" w:rsidRPr="007A1321">
        <w:rPr>
          <w:rFonts w:cs="Arial"/>
          <w:bCs/>
          <w:szCs w:val="22"/>
          <w:lang w:eastAsia="en-GB"/>
        </w:rPr>
        <w:t xml:space="preserve"> </w:t>
      </w:r>
      <w:r w:rsidR="00386D7F">
        <w:rPr>
          <w:rFonts w:cs="Arial"/>
          <w:szCs w:val="22"/>
        </w:rPr>
        <w:t xml:space="preserve">By March 2020, </w:t>
      </w:r>
      <w:r w:rsidR="00E25E62" w:rsidRPr="007A1321">
        <w:rPr>
          <w:rFonts w:cs="Arial"/>
          <w:szCs w:val="22"/>
        </w:rPr>
        <w:t>the political make-up of the Council was as follows: 17 Conservative, 6 Independent, 3 Liberal Democrats and 1 non-aligned.</w:t>
      </w:r>
    </w:p>
    <w:p w14:paraId="22AEA8F5" w14:textId="0DBE6F3F" w:rsidR="005676B7" w:rsidRPr="007A1321" w:rsidRDefault="00304E07" w:rsidP="00E25E62">
      <w:pPr>
        <w:spacing w:after="120"/>
        <w:jc w:val="both"/>
        <w:rPr>
          <w:rFonts w:cs="Arial"/>
          <w:bCs/>
          <w:szCs w:val="22"/>
          <w:lang w:eastAsia="en-GB"/>
        </w:rPr>
      </w:pPr>
      <w:r w:rsidRPr="007A1321">
        <w:rPr>
          <w:rFonts w:cs="Arial"/>
          <w:bCs/>
          <w:szCs w:val="22"/>
          <w:lang w:eastAsia="en-GB"/>
        </w:rPr>
        <w:t xml:space="preserve">The Council has adopted the Leader and Cabinet model.  </w:t>
      </w:r>
      <w:r w:rsidR="000C14FA" w:rsidRPr="007A1321">
        <w:rPr>
          <w:rFonts w:cs="Arial"/>
          <w:bCs/>
          <w:szCs w:val="22"/>
          <w:lang w:eastAsia="en-GB"/>
        </w:rPr>
        <w:t xml:space="preserve">The </w:t>
      </w:r>
      <w:r w:rsidRPr="007A1321">
        <w:rPr>
          <w:rFonts w:cs="Arial"/>
          <w:bCs/>
          <w:szCs w:val="22"/>
          <w:lang w:eastAsia="en-GB"/>
        </w:rPr>
        <w:t>Leader, Cllr Oliver Hemsley, was elected in January 2018</w:t>
      </w:r>
      <w:r w:rsidR="000C14FA" w:rsidRPr="007A1321">
        <w:rPr>
          <w:rFonts w:cs="Arial"/>
          <w:bCs/>
          <w:szCs w:val="22"/>
          <w:lang w:eastAsia="en-GB"/>
        </w:rPr>
        <w:t xml:space="preserve"> and appointed a new Deputy Leader Cllr Gordon Brown in July 2018</w:t>
      </w:r>
      <w:r w:rsidRPr="007A1321">
        <w:rPr>
          <w:rFonts w:cs="Arial"/>
          <w:bCs/>
          <w:szCs w:val="22"/>
          <w:lang w:eastAsia="en-GB"/>
        </w:rPr>
        <w:t xml:space="preserve">. </w:t>
      </w:r>
      <w:r w:rsidR="002711A0" w:rsidRPr="007A1321">
        <w:rPr>
          <w:rFonts w:cs="Arial"/>
          <w:bCs/>
          <w:szCs w:val="22"/>
          <w:lang w:eastAsia="en-GB"/>
        </w:rPr>
        <w:t xml:space="preserve"> These positions remain unchanged following the local elections in May 2019.  </w:t>
      </w:r>
      <w:r w:rsidRPr="007A1321">
        <w:rPr>
          <w:rFonts w:cs="Arial"/>
          <w:bCs/>
          <w:szCs w:val="22"/>
          <w:lang w:eastAsia="en-GB"/>
        </w:rPr>
        <w:t xml:space="preserve">By the end of </w:t>
      </w:r>
      <w:r w:rsidR="002711A0" w:rsidRPr="007A1321">
        <w:rPr>
          <w:rFonts w:cs="Arial"/>
          <w:bCs/>
          <w:szCs w:val="22"/>
          <w:lang w:eastAsia="en-GB"/>
        </w:rPr>
        <w:t>2019/20</w:t>
      </w:r>
      <w:r w:rsidR="00E25E62" w:rsidRPr="007A1321">
        <w:rPr>
          <w:rFonts w:cs="Arial"/>
          <w:bCs/>
          <w:szCs w:val="22"/>
          <w:lang w:eastAsia="en-GB"/>
        </w:rPr>
        <w:t xml:space="preserve"> Cabinet comprised 5</w:t>
      </w:r>
      <w:r w:rsidRPr="007A1321">
        <w:rPr>
          <w:rFonts w:cs="Arial"/>
          <w:bCs/>
          <w:szCs w:val="22"/>
          <w:lang w:eastAsia="en-GB"/>
        </w:rPr>
        <w:t xml:space="preserve"> Conservative members with responsibility for </w:t>
      </w:r>
      <w:r w:rsidR="00E25E62" w:rsidRPr="007A1321">
        <w:rPr>
          <w:rFonts w:cs="Arial"/>
          <w:bCs/>
          <w:szCs w:val="22"/>
          <w:lang w:eastAsia="en-GB"/>
        </w:rPr>
        <w:t xml:space="preserve">the following Portfolio areas: </w:t>
      </w:r>
    </w:p>
    <w:p w14:paraId="5F9DC02B" w14:textId="5DBE8F1D" w:rsidR="005676B7" w:rsidRPr="007A1321" w:rsidRDefault="005676B7" w:rsidP="00E25E62">
      <w:pPr>
        <w:pStyle w:val="NormalWeb"/>
        <w:numPr>
          <w:ilvl w:val="0"/>
          <w:numId w:val="14"/>
        </w:numPr>
        <w:shd w:val="clear" w:color="auto" w:fill="FFFFFF"/>
        <w:spacing w:before="0" w:beforeAutospacing="0" w:after="0" w:afterAutospacing="0"/>
        <w:ind w:left="714" w:hanging="357"/>
        <w:rPr>
          <w:sz w:val="22"/>
          <w:szCs w:val="22"/>
        </w:rPr>
      </w:pPr>
      <w:r w:rsidRPr="007A1321">
        <w:rPr>
          <w:sz w:val="22"/>
          <w:szCs w:val="22"/>
        </w:rPr>
        <w:t>Rutland One Public Estate &amp; Growth, Tourism &amp; Economic Development, Communications, Resources (other than Finance)</w:t>
      </w:r>
    </w:p>
    <w:p w14:paraId="41E21A99" w14:textId="114A3B97" w:rsidR="005676B7" w:rsidRPr="007A1321" w:rsidRDefault="005676B7" w:rsidP="00E25E62">
      <w:pPr>
        <w:pStyle w:val="NormalWeb"/>
        <w:numPr>
          <w:ilvl w:val="0"/>
          <w:numId w:val="14"/>
        </w:numPr>
        <w:shd w:val="clear" w:color="auto" w:fill="FFFFFF"/>
        <w:spacing w:before="0" w:beforeAutospacing="0" w:after="0" w:afterAutospacing="0"/>
        <w:ind w:left="714" w:hanging="357"/>
        <w:rPr>
          <w:sz w:val="22"/>
          <w:szCs w:val="22"/>
        </w:rPr>
      </w:pPr>
      <w:r w:rsidRPr="007A1321">
        <w:rPr>
          <w:sz w:val="22"/>
          <w:szCs w:val="22"/>
        </w:rPr>
        <w:t>Deputy Leader and Portfolio Holder for Environment, Planning, Property, and Finance</w:t>
      </w:r>
    </w:p>
    <w:p w14:paraId="34EE9AF0" w14:textId="23E628AB" w:rsidR="00E25E62" w:rsidRPr="007A1321" w:rsidRDefault="005676B7" w:rsidP="00E25E62">
      <w:pPr>
        <w:pStyle w:val="NormalWeb"/>
        <w:numPr>
          <w:ilvl w:val="0"/>
          <w:numId w:val="14"/>
        </w:numPr>
        <w:shd w:val="clear" w:color="auto" w:fill="FFFFFF"/>
        <w:spacing w:before="0" w:beforeAutospacing="0" w:after="0" w:afterAutospacing="0"/>
        <w:ind w:left="714" w:hanging="357"/>
        <w:rPr>
          <w:sz w:val="22"/>
          <w:szCs w:val="22"/>
        </w:rPr>
      </w:pPr>
      <w:r w:rsidRPr="007A1321">
        <w:rPr>
          <w:sz w:val="22"/>
          <w:szCs w:val="22"/>
        </w:rPr>
        <w:t>Culture and Leisure, Highways, Transportation &amp; Road Safety</w:t>
      </w:r>
    </w:p>
    <w:p w14:paraId="515F386F" w14:textId="579C57EE" w:rsidR="005676B7" w:rsidRPr="007A1321" w:rsidRDefault="005676B7" w:rsidP="00E25E62">
      <w:pPr>
        <w:pStyle w:val="NormalWeb"/>
        <w:numPr>
          <w:ilvl w:val="0"/>
          <w:numId w:val="14"/>
        </w:numPr>
        <w:shd w:val="clear" w:color="auto" w:fill="FFFFFF"/>
        <w:spacing w:before="0" w:beforeAutospacing="0" w:after="0" w:afterAutospacing="0"/>
        <w:ind w:left="714" w:hanging="357"/>
        <w:rPr>
          <w:sz w:val="22"/>
          <w:szCs w:val="22"/>
        </w:rPr>
      </w:pPr>
      <w:r w:rsidRPr="007A1321">
        <w:rPr>
          <w:sz w:val="22"/>
          <w:szCs w:val="22"/>
        </w:rPr>
        <w:lastRenderedPageBreak/>
        <w:t>Safeguarding – Adults, Public Health, Health Commissioning &amp; Community Safety</w:t>
      </w:r>
    </w:p>
    <w:p w14:paraId="4D04EDDD" w14:textId="4FB2EE7A" w:rsidR="005676B7" w:rsidRPr="007A1321" w:rsidRDefault="005676B7" w:rsidP="00E25E62">
      <w:pPr>
        <w:pStyle w:val="NormalWeb"/>
        <w:numPr>
          <w:ilvl w:val="0"/>
          <w:numId w:val="14"/>
        </w:numPr>
        <w:shd w:val="clear" w:color="auto" w:fill="FFFFFF"/>
        <w:spacing w:before="0" w:beforeAutospacing="0" w:after="0" w:afterAutospacing="0"/>
        <w:ind w:left="714" w:hanging="357"/>
        <w:rPr>
          <w:sz w:val="22"/>
          <w:szCs w:val="22"/>
        </w:rPr>
      </w:pPr>
      <w:r w:rsidRPr="007A1321">
        <w:rPr>
          <w:sz w:val="22"/>
          <w:szCs w:val="22"/>
        </w:rPr>
        <w:t>Children’s Services and Education</w:t>
      </w:r>
    </w:p>
    <w:p w14:paraId="21947E52" w14:textId="77777777" w:rsidR="005676B7" w:rsidRPr="007A1321" w:rsidRDefault="005676B7" w:rsidP="005676B7">
      <w:pPr>
        <w:pStyle w:val="NormalWeb"/>
        <w:shd w:val="clear" w:color="auto" w:fill="FFFFFF"/>
        <w:spacing w:before="0" w:beforeAutospacing="0" w:after="0" w:afterAutospacing="0"/>
        <w:rPr>
          <w:sz w:val="22"/>
          <w:szCs w:val="22"/>
        </w:rPr>
      </w:pPr>
    </w:p>
    <w:p w14:paraId="2D4AC576" w14:textId="3089ECF4" w:rsidR="00304E07" w:rsidRPr="007A1321" w:rsidRDefault="00304E07" w:rsidP="000C7101">
      <w:pPr>
        <w:spacing w:after="120"/>
        <w:jc w:val="both"/>
        <w:rPr>
          <w:rFonts w:cs="Arial"/>
          <w:bCs/>
          <w:szCs w:val="22"/>
        </w:rPr>
      </w:pPr>
      <w:r w:rsidRPr="007A1321">
        <w:rPr>
          <w:rFonts w:cs="Arial"/>
          <w:bCs/>
          <w:szCs w:val="22"/>
        </w:rPr>
        <w:t>There is a management structure in place to support the work of elected members and is headed by the Strat</w:t>
      </w:r>
      <w:r w:rsidR="001F25AD" w:rsidRPr="007A1321">
        <w:rPr>
          <w:rFonts w:cs="Arial"/>
          <w:bCs/>
          <w:szCs w:val="22"/>
        </w:rPr>
        <w:t>egic Management Team</w:t>
      </w:r>
      <w:r w:rsidR="00FC358E" w:rsidRPr="007A1321">
        <w:rPr>
          <w:rFonts w:cs="Arial"/>
          <w:bCs/>
          <w:szCs w:val="22"/>
        </w:rPr>
        <w:t xml:space="preserve"> (SMT)</w:t>
      </w:r>
      <w:r w:rsidRPr="007A1321">
        <w:rPr>
          <w:rFonts w:cs="Arial"/>
          <w:bCs/>
          <w:szCs w:val="22"/>
        </w:rPr>
        <w:t xml:space="preserve">. </w:t>
      </w:r>
      <w:r w:rsidR="00386D7F">
        <w:rPr>
          <w:rFonts w:cs="Arial"/>
          <w:bCs/>
          <w:szCs w:val="22"/>
        </w:rPr>
        <w:t xml:space="preserve"> </w:t>
      </w:r>
      <w:r w:rsidRPr="007A1321">
        <w:rPr>
          <w:rFonts w:cs="Arial"/>
          <w:bCs/>
          <w:szCs w:val="22"/>
        </w:rPr>
        <w:t xml:space="preserve">At the end of the year, members of this team included: </w:t>
      </w:r>
    </w:p>
    <w:p w14:paraId="2886003B" w14:textId="77777777" w:rsidR="00304E07" w:rsidRPr="007A1321" w:rsidRDefault="00304E07" w:rsidP="005676B7">
      <w:pPr>
        <w:pStyle w:val="ListParagraph"/>
        <w:numPr>
          <w:ilvl w:val="0"/>
          <w:numId w:val="15"/>
        </w:numPr>
        <w:jc w:val="both"/>
        <w:rPr>
          <w:rFonts w:cs="Arial"/>
          <w:bCs/>
          <w:szCs w:val="22"/>
        </w:rPr>
      </w:pPr>
      <w:r w:rsidRPr="007A1321">
        <w:rPr>
          <w:rFonts w:cs="Arial"/>
          <w:bCs/>
          <w:szCs w:val="22"/>
        </w:rPr>
        <w:t>Helen Briggs – Chief Executive</w:t>
      </w:r>
    </w:p>
    <w:p w14:paraId="699FBA29" w14:textId="2E4C866A" w:rsidR="00304E07" w:rsidRPr="007A1321" w:rsidRDefault="00BF6D98" w:rsidP="005676B7">
      <w:pPr>
        <w:pStyle w:val="ListParagraph"/>
        <w:numPr>
          <w:ilvl w:val="0"/>
          <w:numId w:val="15"/>
        </w:numPr>
        <w:jc w:val="both"/>
        <w:rPr>
          <w:rFonts w:cs="Arial"/>
          <w:bCs/>
          <w:szCs w:val="22"/>
        </w:rPr>
      </w:pPr>
      <w:r w:rsidRPr="007A1321">
        <w:rPr>
          <w:rFonts w:cs="Arial"/>
          <w:bCs/>
          <w:szCs w:val="22"/>
        </w:rPr>
        <w:t>Mark Andrews – Strategic</w:t>
      </w:r>
      <w:r w:rsidR="00304E07" w:rsidRPr="007A1321">
        <w:rPr>
          <w:rFonts w:cs="Arial"/>
          <w:bCs/>
          <w:szCs w:val="22"/>
        </w:rPr>
        <w:t xml:space="preserve"> Director for People</w:t>
      </w:r>
      <w:r w:rsidR="00FC358E" w:rsidRPr="007A1321">
        <w:rPr>
          <w:rFonts w:cs="Arial"/>
          <w:bCs/>
          <w:szCs w:val="22"/>
        </w:rPr>
        <w:t xml:space="preserve"> (Director for Adult and Children’s Services)</w:t>
      </w:r>
    </w:p>
    <w:p w14:paraId="2FB59F32" w14:textId="0B2CAA3B" w:rsidR="00304E07" w:rsidRPr="007A1321" w:rsidRDefault="00FC358E" w:rsidP="005676B7">
      <w:pPr>
        <w:pStyle w:val="ListParagraph"/>
        <w:numPr>
          <w:ilvl w:val="0"/>
          <w:numId w:val="15"/>
        </w:numPr>
        <w:jc w:val="both"/>
        <w:rPr>
          <w:rFonts w:cs="Arial"/>
          <w:bCs/>
          <w:szCs w:val="22"/>
        </w:rPr>
      </w:pPr>
      <w:r w:rsidRPr="007A1321">
        <w:rPr>
          <w:rFonts w:cs="Arial"/>
          <w:bCs/>
          <w:szCs w:val="22"/>
        </w:rPr>
        <w:t>Saverio Della Rocca</w:t>
      </w:r>
      <w:r w:rsidR="00304E07" w:rsidRPr="007A1321">
        <w:rPr>
          <w:rFonts w:cs="Arial"/>
          <w:bCs/>
          <w:szCs w:val="22"/>
        </w:rPr>
        <w:t xml:space="preserve"> – </w:t>
      </w:r>
      <w:r w:rsidR="00BF6D98" w:rsidRPr="007A1321">
        <w:rPr>
          <w:rFonts w:cs="Arial"/>
          <w:bCs/>
          <w:szCs w:val="22"/>
        </w:rPr>
        <w:t xml:space="preserve">Strategic </w:t>
      </w:r>
      <w:r w:rsidRPr="007A1321">
        <w:rPr>
          <w:rFonts w:cs="Arial"/>
          <w:bCs/>
          <w:szCs w:val="22"/>
        </w:rPr>
        <w:t>Director for Resources (s151 Officer)</w:t>
      </w:r>
    </w:p>
    <w:p w14:paraId="48CD536B" w14:textId="74E88BC4" w:rsidR="00FC358E" w:rsidRPr="007A1321" w:rsidRDefault="00FC358E" w:rsidP="005676B7">
      <w:pPr>
        <w:pStyle w:val="ListParagraph"/>
        <w:numPr>
          <w:ilvl w:val="0"/>
          <w:numId w:val="15"/>
        </w:numPr>
        <w:ind w:left="714" w:hanging="357"/>
        <w:contextualSpacing w:val="0"/>
        <w:jc w:val="both"/>
        <w:rPr>
          <w:rFonts w:cs="Arial"/>
          <w:bCs/>
          <w:szCs w:val="22"/>
        </w:rPr>
      </w:pPr>
      <w:r w:rsidRPr="007A1321">
        <w:rPr>
          <w:rFonts w:cs="Arial"/>
          <w:bCs/>
          <w:szCs w:val="22"/>
        </w:rPr>
        <w:t>Phil Horsfield – Deputy Director for Resources (Monitoring Officer)</w:t>
      </w:r>
    </w:p>
    <w:p w14:paraId="1846DF75" w14:textId="4EF7BC41" w:rsidR="00FC358E" w:rsidRPr="007A1321" w:rsidRDefault="00FC358E" w:rsidP="005676B7">
      <w:pPr>
        <w:pStyle w:val="ListParagraph"/>
        <w:numPr>
          <w:ilvl w:val="0"/>
          <w:numId w:val="15"/>
        </w:numPr>
        <w:ind w:left="714" w:hanging="357"/>
        <w:contextualSpacing w:val="0"/>
        <w:jc w:val="both"/>
        <w:rPr>
          <w:rFonts w:cs="Arial"/>
          <w:bCs/>
          <w:szCs w:val="22"/>
        </w:rPr>
      </w:pPr>
      <w:r w:rsidRPr="007A1321">
        <w:rPr>
          <w:rFonts w:cs="Arial"/>
          <w:bCs/>
          <w:szCs w:val="22"/>
        </w:rPr>
        <w:t>Jon Morley – Deputy Director People (Adults)</w:t>
      </w:r>
    </w:p>
    <w:p w14:paraId="1E73ADAB" w14:textId="5EDD7A12" w:rsidR="00E25E62" w:rsidRPr="007A1321" w:rsidRDefault="00E25E62" w:rsidP="005676B7">
      <w:pPr>
        <w:pStyle w:val="ListParagraph"/>
        <w:numPr>
          <w:ilvl w:val="0"/>
          <w:numId w:val="15"/>
        </w:numPr>
        <w:ind w:left="714" w:hanging="357"/>
        <w:contextualSpacing w:val="0"/>
        <w:jc w:val="both"/>
        <w:rPr>
          <w:rFonts w:cs="Arial"/>
          <w:bCs/>
          <w:szCs w:val="22"/>
        </w:rPr>
      </w:pPr>
      <w:r w:rsidRPr="007A1321">
        <w:rPr>
          <w:rFonts w:cs="Arial"/>
          <w:bCs/>
          <w:szCs w:val="22"/>
        </w:rPr>
        <w:t>Dawn Godfrey – Deputy Director People (Children)</w:t>
      </w:r>
    </w:p>
    <w:p w14:paraId="2D64676B" w14:textId="652501DF" w:rsidR="00E25E62" w:rsidRPr="007A1321" w:rsidRDefault="00E25E62" w:rsidP="005676B7">
      <w:pPr>
        <w:pStyle w:val="ListParagraph"/>
        <w:numPr>
          <w:ilvl w:val="0"/>
          <w:numId w:val="15"/>
        </w:numPr>
        <w:ind w:left="714" w:hanging="357"/>
        <w:contextualSpacing w:val="0"/>
        <w:jc w:val="both"/>
        <w:rPr>
          <w:rFonts w:cs="Arial"/>
          <w:bCs/>
          <w:szCs w:val="22"/>
        </w:rPr>
      </w:pPr>
      <w:r w:rsidRPr="007A1321">
        <w:rPr>
          <w:rFonts w:cs="Arial"/>
          <w:bCs/>
          <w:szCs w:val="22"/>
        </w:rPr>
        <w:t>Penny Sharp</w:t>
      </w:r>
      <w:r w:rsidR="00FC358E" w:rsidRPr="007A1321">
        <w:rPr>
          <w:rFonts w:cs="Arial"/>
          <w:bCs/>
          <w:szCs w:val="22"/>
        </w:rPr>
        <w:t xml:space="preserve"> –</w:t>
      </w:r>
      <w:r w:rsidRPr="007A1321">
        <w:rPr>
          <w:rFonts w:cs="Arial"/>
          <w:bCs/>
          <w:szCs w:val="22"/>
        </w:rPr>
        <w:t xml:space="preserve"> Deputy Director Places (Acting Director at year end)</w:t>
      </w:r>
    </w:p>
    <w:p w14:paraId="57913923" w14:textId="37BF3FE6" w:rsidR="00E25E62" w:rsidRPr="007A1321" w:rsidRDefault="00E25E62" w:rsidP="005676B7">
      <w:pPr>
        <w:pStyle w:val="ListParagraph"/>
        <w:numPr>
          <w:ilvl w:val="0"/>
          <w:numId w:val="15"/>
        </w:numPr>
        <w:ind w:left="714" w:hanging="357"/>
        <w:contextualSpacing w:val="0"/>
        <w:jc w:val="both"/>
        <w:rPr>
          <w:rFonts w:cs="Arial"/>
          <w:bCs/>
          <w:szCs w:val="22"/>
        </w:rPr>
      </w:pPr>
      <w:r w:rsidRPr="007A1321">
        <w:rPr>
          <w:rFonts w:cs="Arial"/>
          <w:bCs/>
          <w:szCs w:val="22"/>
        </w:rPr>
        <w:t>Vacant – Strategic Director Places</w:t>
      </w:r>
    </w:p>
    <w:p w14:paraId="44C7C7CB" w14:textId="0A027BAE" w:rsidR="00F34013" w:rsidRPr="007A1321" w:rsidRDefault="00FC358E" w:rsidP="00E25E62">
      <w:pPr>
        <w:pStyle w:val="ListParagraph"/>
        <w:ind w:left="714"/>
        <w:contextualSpacing w:val="0"/>
        <w:jc w:val="both"/>
        <w:rPr>
          <w:rFonts w:cs="Arial"/>
          <w:bCs/>
          <w:szCs w:val="22"/>
        </w:rPr>
      </w:pPr>
      <w:r w:rsidRPr="007A1321">
        <w:rPr>
          <w:rFonts w:cs="Arial"/>
          <w:bCs/>
          <w:szCs w:val="22"/>
        </w:rPr>
        <w:t xml:space="preserve"> </w:t>
      </w:r>
    </w:p>
    <w:p w14:paraId="0F69A631" w14:textId="53C5CE69" w:rsidR="0044585F" w:rsidRPr="007A1321" w:rsidRDefault="00FC358E" w:rsidP="000C7101">
      <w:pPr>
        <w:spacing w:after="120"/>
        <w:jc w:val="both"/>
        <w:rPr>
          <w:rFonts w:cs="Arial"/>
          <w:bCs/>
          <w:szCs w:val="22"/>
        </w:rPr>
      </w:pPr>
      <w:r w:rsidRPr="007A1321">
        <w:rPr>
          <w:rFonts w:cs="Arial"/>
          <w:bCs/>
          <w:szCs w:val="22"/>
        </w:rPr>
        <w:t>D</w:t>
      </w:r>
      <w:r w:rsidR="0044585F">
        <w:rPr>
          <w:rFonts w:cs="Arial"/>
          <w:bCs/>
          <w:szCs w:val="22"/>
        </w:rPr>
        <w:t xml:space="preserve">uring the year, there were </w:t>
      </w:r>
      <w:r w:rsidR="00E25E62" w:rsidRPr="007A1321">
        <w:rPr>
          <w:rFonts w:cs="Arial"/>
          <w:bCs/>
          <w:szCs w:val="22"/>
        </w:rPr>
        <w:t xml:space="preserve">some </w:t>
      </w:r>
      <w:r w:rsidRPr="007A1321">
        <w:rPr>
          <w:rFonts w:cs="Arial"/>
          <w:bCs/>
          <w:szCs w:val="22"/>
        </w:rPr>
        <w:t>changes in SMT.</w:t>
      </w:r>
      <w:r w:rsidR="00E25E62" w:rsidRPr="007A1321">
        <w:rPr>
          <w:rFonts w:cs="Arial"/>
          <w:bCs/>
          <w:szCs w:val="22"/>
        </w:rPr>
        <w:t xml:space="preserve">  Dawn Godfrey joined in May 2019 as Deputy Director People (Children).  Rob Harbour, the Deputy Director of Places left in December 2019.  Christine Traill, Strategic Director for Places, started in April 2019 but left to pursue other opportunities in January 2020.  Penny Sharp joined as I</w:t>
      </w:r>
      <w:r w:rsidR="00F34013" w:rsidRPr="007A1321">
        <w:rPr>
          <w:rFonts w:cs="Arial"/>
          <w:bCs/>
          <w:szCs w:val="22"/>
        </w:rPr>
        <w:t xml:space="preserve">nterim </w:t>
      </w:r>
      <w:r w:rsidR="00E25E62" w:rsidRPr="007A1321">
        <w:rPr>
          <w:rFonts w:cs="Arial"/>
          <w:bCs/>
          <w:szCs w:val="22"/>
        </w:rPr>
        <w:t xml:space="preserve">Deputy </w:t>
      </w:r>
      <w:r w:rsidR="00F34013" w:rsidRPr="007A1321">
        <w:rPr>
          <w:rFonts w:cs="Arial"/>
          <w:bCs/>
          <w:szCs w:val="22"/>
        </w:rPr>
        <w:t xml:space="preserve">Director </w:t>
      </w:r>
      <w:r w:rsidR="00E25E62" w:rsidRPr="007A1321">
        <w:rPr>
          <w:rFonts w:cs="Arial"/>
          <w:bCs/>
          <w:szCs w:val="22"/>
        </w:rPr>
        <w:t>in the autumn and was permanently appointed in January 2020</w:t>
      </w:r>
      <w:r w:rsidR="00F34013" w:rsidRPr="007A1321">
        <w:rPr>
          <w:rFonts w:cs="Arial"/>
          <w:bCs/>
          <w:szCs w:val="22"/>
        </w:rPr>
        <w:t>.</w:t>
      </w:r>
      <w:r w:rsidR="0044585F">
        <w:rPr>
          <w:rFonts w:cs="Arial"/>
          <w:bCs/>
          <w:szCs w:val="22"/>
        </w:rPr>
        <w:t xml:space="preserve">  Further changes in SMT including the retirement of the Chief Executive are expanded on in the Annual Governance Statement.</w:t>
      </w:r>
    </w:p>
    <w:p w14:paraId="4445302A" w14:textId="27057BDF" w:rsidR="00E54025" w:rsidRPr="007A1321" w:rsidRDefault="00E54025" w:rsidP="00E54025">
      <w:pPr>
        <w:autoSpaceDE w:val="0"/>
        <w:autoSpaceDN w:val="0"/>
        <w:adjustRightInd w:val="0"/>
        <w:rPr>
          <w:rFonts w:cs="Arial"/>
          <w:bCs/>
          <w:szCs w:val="22"/>
        </w:rPr>
      </w:pPr>
      <w:r w:rsidRPr="007A1321">
        <w:rPr>
          <w:rFonts w:cs="Arial"/>
          <w:bCs/>
          <w:szCs w:val="22"/>
          <w:lang w:eastAsia="en-GB"/>
        </w:rPr>
        <w:t>The Council has a new Corporate Plan covering the period 2019 – 2024. The Corporate</w:t>
      </w:r>
      <w:r w:rsidRPr="007A1321">
        <w:rPr>
          <w:rFonts w:cs="Arial"/>
          <w:szCs w:val="22"/>
          <w:lang w:eastAsia="en-GB"/>
        </w:rPr>
        <w:t> </w:t>
      </w:r>
      <w:r w:rsidRPr="007A1321">
        <w:rPr>
          <w:rFonts w:cs="Arial"/>
          <w:bCs/>
          <w:szCs w:val="22"/>
          <w:lang w:eastAsia="en-GB"/>
        </w:rPr>
        <w:t xml:space="preserve">Plan serves as a roadmap for what the Council wants to achieve during its current four-year term. </w:t>
      </w:r>
      <w:r w:rsidRPr="007A1321">
        <w:rPr>
          <w:rFonts w:cs="Arial"/>
          <w:szCs w:val="22"/>
        </w:rPr>
        <w:t xml:space="preserve">The Plan was developed following the local elections in May 2019.   </w:t>
      </w:r>
      <w:r w:rsidR="00304E07" w:rsidRPr="007A1321">
        <w:rPr>
          <w:rFonts w:cs="Arial"/>
          <w:bCs/>
          <w:szCs w:val="22"/>
        </w:rPr>
        <w:t xml:space="preserve">The table below identifies the </w:t>
      </w:r>
      <w:r w:rsidRPr="007A1321">
        <w:rPr>
          <w:rFonts w:cs="Arial"/>
          <w:bCs/>
          <w:szCs w:val="22"/>
        </w:rPr>
        <w:t xml:space="preserve">priority themes are targets: </w:t>
      </w:r>
      <w:r w:rsidR="00304E07" w:rsidRPr="007A1321">
        <w:rPr>
          <w:rFonts w:cs="Arial"/>
          <w:bCs/>
          <w:szCs w:val="22"/>
        </w:rPr>
        <w:t xml:space="preserve"> </w:t>
      </w:r>
    </w:p>
    <w:p w14:paraId="186DD702" w14:textId="77777777" w:rsidR="00E54025" w:rsidRPr="007A1321" w:rsidRDefault="00E54025" w:rsidP="00E54025">
      <w:pPr>
        <w:autoSpaceDE w:val="0"/>
        <w:autoSpaceDN w:val="0"/>
        <w:adjustRightInd w:val="0"/>
        <w:rPr>
          <w:rFonts w:cs="Arial"/>
          <w:szCs w:val="22"/>
        </w:rPr>
      </w:pPr>
    </w:p>
    <w:p w14:paraId="7997679A" w14:textId="2D559C97" w:rsidR="00E25E62" w:rsidRPr="007A1321" w:rsidRDefault="00E25E62" w:rsidP="00E54025">
      <w:pPr>
        <w:spacing w:after="120"/>
        <w:jc w:val="both"/>
        <w:rPr>
          <w:rFonts w:cs="Arial"/>
          <w:b/>
          <w:color w:val="3C3C3C"/>
          <w:szCs w:val="22"/>
        </w:rPr>
      </w:pPr>
      <w:r w:rsidRPr="007A1321">
        <w:rPr>
          <w:rFonts w:cs="Arial"/>
          <w:b/>
          <w:color w:val="3C3C3C"/>
          <w:szCs w:val="22"/>
        </w:rPr>
        <w:t>Delivering sustainable development</w:t>
      </w:r>
    </w:p>
    <w:p w14:paraId="406E6D51" w14:textId="77777777" w:rsidR="00E25E62" w:rsidRPr="007A1321" w:rsidRDefault="00E25E62" w:rsidP="00203885">
      <w:pPr>
        <w:numPr>
          <w:ilvl w:val="0"/>
          <w:numId w:val="25"/>
        </w:numPr>
        <w:shd w:val="clear" w:color="auto" w:fill="FFFFFF"/>
        <w:spacing w:before="100" w:beforeAutospacing="1" w:after="100" w:afterAutospacing="1"/>
        <w:jc w:val="both"/>
        <w:rPr>
          <w:rFonts w:cs="Arial"/>
          <w:szCs w:val="22"/>
        </w:rPr>
      </w:pPr>
      <w:r w:rsidRPr="007A1321">
        <w:rPr>
          <w:rFonts w:cs="Arial"/>
          <w:szCs w:val="22"/>
        </w:rPr>
        <w:t>Develop a 50-year vision for Rutland by 31st March 2020</w:t>
      </w:r>
    </w:p>
    <w:p w14:paraId="67648554" w14:textId="77777777" w:rsidR="00E25E62" w:rsidRPr="007A1321" w:rsidRDefault="00E25E62" w:rsidP="00203885">
      <w:pPr>
        <w:numPr>
          <w:ilvl w:val="0"/>
          <w:numId w:val="25"/>
        </w:numPr>
        <w:shd w:val="clear" w:color="auto" w:fill="FFFFFF"/>
        <w:spacing w:before="100" w:beforeAutospacing="1" w:after="100" w:afterAutospacing="1"/>
        <w:jc w:val="both"/>
        <w:rPr>
          <w:rFonts w:cs="Arial"/>
          <w:szCs w:val="22"/>
        </w:rPr>
      </w:pPr>
      <w:r w:rsidRPr="007A1321">
        <w:rPr>
          <w:rFonts w:cs="Arial"/>
          <w:szCs w:val="22"/>
        </w:rPr>
        <w:t>Support the delivery of high-quality employment opportunities</w:t>
      </w:r>
    </w:p>
    <w:p w14:paraId="165BDD9B" w14:textId="77777777" w:rsidR="00E25E62" w:rsidRPr="007A1321" w:rsidRDefault="00E25E62" w:rsidP="00203885">
      <w:pPr>
        <w:numPr>
          <w:ilvl w:val="0"/>
          <w:numId w:val="25"/>
        </w:numPr>
        <w:shd w:val="clear" w:color="auto" w:fill="FFFFFF"/>
        <w:spacing w:before="100" w:beforeAutospacing="1" w:after="100" w:afterAutospacing="1"/>
        <w:jc w:val="both"/>
        <w:rPr>
          <w:rFonts w:cs="Arial"/>
          <w:szCs w:val="22"/>
        </w:rPr>
      </w:pPr>
      <w:r w:rsidRPr="007A1321">
        <w:rPr>
          <w:rFonts w:cs="Arial"/>
          <w:szCs w:val="22"/>
        </w:rPr>
        <w:t>Commit to the development of a strategic plan for Oakham Enterprise Park</w:t>
      </w:r>
    </w:p>
    <w:p w14:paraId="5D5140F9" w14:textId="77777777" w:rsidR="00E25E62" w:rsidRPr="007A1321" w:rsidRDefault="00E25E62" w:rsidP="00203885">
      <w:pPr>
        <w:numPr>
          <w:ilvl w:val="0"/>
          <w:numId w:val="25"/>
        </w:numPr>
        <w:shd w:val="clear" w:color="auto" w:fill="FFFFFF"/>
        <w:spacing w:before="100" w:beforeAutospacing="1" w:after="100" w:afterAutospacing="1"/>
        <w:jc w:val="both"/>
        <w:rPr>
          <w:rFonts w:cs="Arial"/>
          <w:szCs w:val="22"/>
        </w:rPr>
      </w:pPr>
      <w:r w:rsidRPr="007A1321">
        <w:rPr>
          <w:rFonts w:cs="Arial"/>
          <w:szCs w:val="22"/>
        </w:rPr>
        <w:t>Provide homes that young families can afford</w:t>
      </w:r>
    </w:p>
    <w:p w14:paraId="11367D1B" w14:textId="77777777" w:rsidR="00E25E62" w:rsidRPr="007A1321" w:rsidRDefault="00E25E62" w:rsidP="00203885">
      <w:pPr>
        <w:numPr>
          <w:ilvl w:val="0"/>
          <w:numId w:val="25"/>
        </w:numPr>
        <w:shd w:val="clear" w:color="auto" w:fill="FFFFFF"/>
        <w:spacing w:before="100" w:beforeAutospacing="1" w:after="100" w:afterAutospacing="1"/>
        <w:jc w:val="both"/>
        <w:rPr>
          <w:rFonts w:cs="Arial"/>
          <w:szCs w:val="22"/>
        </w:rPr>
      </w:pPr>
      <w:r w:rsidRPr="007A1321">
        <w:rPr>
          <w:rFonts w:cs="Arial"/>
          <w:szCs w:val="22"/>
        </w:rPr>
        <w:t>Improve broadband and mobile services</w:t>
      </w:r>
    </w:p>
    <w:p w14:paraId="726A36D1" w14:textId="77777777" w:rsidR="00E25E62" w:rsidRPr="007A1321" w:rsidRDefault="00E25E62" w:rsidP="00203885">
      <w:pPr>
        <w:numPr>
          <w:ilvl w:val="0"/>
          <w:numId w:val="25"/>
        </w:numPr>
        <w:shd w:val="clear" w:color="auto" w:fill="FFFFFF"/>
        <w:spacing w:before="100" w:beforeAutospacing="1" w:after="100" w:afterAutospacing="1"/>
        <w:jc w:val="both"/>
        <w:rPr>
          <w:rFonts w:cs="Arial"/>
          <w:szCs w:val="22"/>
        </w:rPr>
      </w:pPr>
      <w:r w:rsidRPr="007A1321">
        <w:rPr>
          <w:rFonts w:cs="Arial"/>
          <w:szCs w:val="22"/>
        </w:rPr>
        <w:t>Make sure that development is supported by services, facilities and transport infrastructure</w:t>
      </w:r>
    </w:p>
    <w:p w14:paraId="6FC5F119" w14:textId="77777777" w:rsidR="00E25E62" w:rsidRPr="007A1321" w:rsidRDefault="00E25E62" w:rsidP="00203885">
      <w:pPr>
        <w:numPr>
          <w:ilvl w:val="0"/>
          <w:numId w:val="25"/>
        </w:numPr>
        <w:shd w:val="clear" w:color="auto" w:fill="FFFFFF"/>
        <w:spacing w:before="100" w:beforeAutospacing="1" w:after="100" w:afterAutospacing="1"/>
        <w:jc w:val="both"/>
        <w:rPr>
          <w:rFonts w:cs="Arial"/>
          <w:szCs w:val="22"/>
        </w:rPr>
      </w:pPr>
      <w:r w:rsidRPr="007A1321">
        <w:rPr>
          <w:rFonts w:cs="Arial"/>
          <w:szCs w:val="22"/>
        </w:rPr>
        <w:t>Adopt a sound Local Plan to deliver a minimum of 160 homes each year</w:t>
      </w:r>
    </w:p>
    <w:p w14:paraId="17BF51FB" w14:textId="77777777" w:rsidR="00E25E62" w:rsidRPr="007A1321" w:rsidRDefault="00E25E62" w:rsidP="00203885">
      <w:pPr>
        <w:numPr>
          <w:ilvl w:val="0"/>
          <w:numId w:val="25"/>
        </w:numPr>
        <w:shd w:val="clear" w:color="auto" w:fill="FFFFFF"/>
        <w:spacing w:before="100" w:beforeAutospacing="1" w:after="100" w:afterAutospacing="1"/>
        <w:jc w:val="both"/>
        <w:rPr>
          <w:rFonts w:cs="Arial"/>
          <w:szCs w:val="22"/>
        </w:rPr>
      </w:pPr>
      <w:r w:rsidRPr="007A1321">
        <w:rPr>
          <w:rFonts w:cs="Arial"/>
          <w:szCs w:val="22"/>
        </w:rPr>
        <w:t>Develop an Environmental Policy to meet Rutland’s needs and the challenge of climate change</w:t>
      </w:r>
    </w:p>
    <w:p w14:paraId="21B8D471" w14:textId="77777777" w:rsidR="00E25E62" w:rsidRPr="007A1321" w:rsidRDefault="00E25E62" w:rsidP="00E54025">
      <w:pPr>
        <w:pStyle w:val="Heading3"/>
        <w:numPr>
          <w:ilvl w:val="0"/>
          <w:numId w:val="0"/>
        </w:numPr>
        <w:shd w:val="clear" w:color="auto" w:fill="FFFFFF"/>
        <w:ind w:left="720" w:hanging="720"/>
        <w:rPr>
          <w:rFonts w:cs="Arial"/>
          <w:b/>
          <w:color w:val="3C3C3C"/>
          <w:szCs w:val="22"/>
        </w:rPr>
      </w:pPr>
      <w:r w:rsidRPr="007A1321">
        <w:rPr>
          <w:rFonts w:cs="Arial"/>
          <w:b/>
          <w:color w:val="3C3C3C"/>
          <w:szCs w:val="22"/>
        </w:rPr>
        <w:t>Vibrant Communities </w:t>
      </w:r>
    </w:p>
    <w:p w14:paraId="4ABAA6C0" w14:textId="77777777" w:rsidR="00E25E62" w:rsidRPr="007A1321" w:rsidRDefault="00E25E62" w:rsidP="00203885">
      <w:pPr>
        <w:numPr>
          <w:ilvl w:val="0"/>
          <w:numId w:val="26"/>
        </w:numPr>
        <w:shd w:val="clear" w:color="auto" w:fill="FFFFFF"/>
        <w:spacing w:before="100" w:beforeAutospacing="1" w:after="100" w:afterAutospacing="1"/>
        <w:jc w:val="both"/>
        <w:rPr>
          <w:rFonts w:cs="Arial"/>
          <w:szCs w:val="22"/>
        </w:rPr>
      </w:pPr>
      <w:r w:rsidRPr="007A1321">
        <w:rPr>
          <w:rFonts w:cs="Arial"/>
          <w:szCs w:val="22"/>
        </w:rPr>
        <w:t>Protect, maintain, enhance and conserve what makes Rutland great</w:t>
      </w:r>
    </w:p>
    <w:p w14:paraId="759BFA53" w14:textId="77777777" w:rsidR="00E25E62" w:rsidRPr="007A1321" w:rsidRDefault="00E25E62" w:rsidP="00203885">
      <w:pPr>
        <w:numPr>
          <w:ilvl w:val="0"/>
          <w:numId w:val="26"/>
        </w:numPr>
        <w:shd w:val="clear" w:color="auto" w:fill="FFFFFF"/>
        <w:spacing w:before="100" w:beforeAutospacing="1" w:after="100" w:afterAutospacing="1"/>
        <w:jc w:val="both"/>
        <w:rPr>
          <w:rFonts w:cs="Arial"/>
          <w:szCs w:val="22"/>
        </w:rPr>
      </w:pPr>
      <w:r w:rsidRPr="007A1321">
        <w:rPr>
          <w:rFonts w:cs="Arial"/>
          <w:szCs w:val="22"/>
        </w:rPr>
        <w:t>Improve access for children and young people to be engaged out of school</w:t>
      </w:r>
    </w:p>
    <w:p w14:paraId="7BDF358A" w14:textId="77777777" w:rsidR="00E25E62" w:rsidRPr="007A1321" w:rsidRDefault="00E25E62" w:rsidP="00203885">
      <w:pPr>
        <w:numPr>
          <w:ilvl w:val="0"/>
          <w:numId w:val="26"/>
        </w:numPr>
        <w:shd w:val="clear" w:color="auto" w:fill="FFFFFF"/>
        <w:spacing w:before="100" w:beforeAutospacing="1" w:after="100" w:afterAutospacing="1"/>
        <w:jc w:val="both"/>
        <w:rPr>
          <w:rFonts w:cs="Arial"/>
          <w:szCs w:val="22"/>
        </w:rPr>
      </w:pPr>
      <w:r w:rsidRPr="007A1321">
        <w:rPr>
          <w:rFonts w:cs="Arial"/>
          <w:szCs w:val="22"/>
        </w:rPr>
        <w:t>Explore new and improved cultural and leisure opportunities for Rutland</w:t>
      </w:r>
    </w:p>
    <w:p w14:paraId="3D15E4D8" w14:textId="77777777" w:rsidR="00E25E62" w:rsidRPr="007A1321" w:rsidRDefault="00E25E62" w:rsidP="00203885">
      <w:pPr>
        <w:numPr>
          <w:ilvl w:val="0"/>
          <w:numId w:val="26"/>
        </w:numPr>
        <w:shd w:val="clear" w:color="auto" w:fill="FFFFFF"/>
        <w:spacing w:before="100" w:beforeAutospacing="1" w:after="100" w:afterAutospacing="1"/>
        <w:jc w:val="both"/>
        <w:rPr>
          <w:rFonts w:cs="Arial"/>
          <w:szCs w:val="22"/>
        </w:rPr>
      </w:pPr>
      <w:r w:rsidRPr="007A1321">
        <w:rPr>
          <w:rFonts w:cs="Arial"/>
          <w:szCs w:val="22"/>
        </w:rPr>
        <w:t>Make our roads safer</w:t>
      </w:r>
    </w:p>
    <w:p w14:paraId="0BF91A19" w14:textId="77777777" w:rsidR="00E25E62" w:rsidRPr="007A1321" w:rsidRDefault="00E25E62" w:rsidP="00203885">
      <w:pPr>
        <w:numPr>
          <w:ilvl w:val="0"/>
          <w:numId w:val="26"/>
        </w:numPr>
        <w:shd w:val="clear" w:color="auto" w:fill="FFFFFF"/>
        <w:spacing w:before="100" w:beforeAutospacing="1" w:after="100" w:afterAutospacing="1"/>
        <w:jc w:val="both"/>
        <w:rPr>
          <w:rFonts w:cs="Arial"/>
          <w:szCs w:val="22"/>
        </w:rPr>
      </w:pPr>
      <w:r w:rsidRPr="007A1321">
        <w:rPr>
          <w:rFonts w:cs="Arial"/>
          <w:szCs w:val="22"/>
        </w:rPr>
        <w:t>Work with partners to protect and enhance healthcare within our community</w:t>
      </w:r>
    </w:p>
    <w:p w14:paraId="6E6AEC93" w14:textId="77777777" w:rsidR="00E25E62" w:rsidRPr="007A1321" w:rsidRDefault="00E25E62" w:rsidP="00203885">
      <w:pPr>
        <w:numPr>
          <w:ilvl w:val="0"/>
          <w:numId w:val="26"/>
        </w:numPr>
        <w:shd w:val="clear" w:color="auto" w:fill="FFFFFF"/>
        <w:spacing w:before="100" w:beforeAutospacing="1" w:after="100" w:afterAutospacing="1"/>
        <w:jc w:val="both"/>
        <w:rPr>
          <w:rFonts w:cs="Arial"/>
          <w:szCs w:val="22"/>
        </w:rPr>
      </w:pPr>
      <w:r w:rsidRPr="007A1321">
        <w:rPr>
          <w:rFonts w:cs="Arial"/>
          <w:szCs w:val="22"/>
        </w:rPr>
        <w:t>Provide an inclusive and high quality learning offer, and to support the expansion of our schools and learning to meet need</w:t>
      </w:r>
    </w:p>
    <w:p w14:paraId="1702A5C9" w14:textId="77777777" w:rsidR="00E25E62" w:rsidRPr="007A1321" w:rsidRDefault="00E25E62" w:rsidP="00E54025">
      <w:pPr>
        <w:pStyle w:val="Heading3"/>
        <w:numPr>
          <w:ilvl w:val="0"/>
          <w:numId w:val="0"/>
        </w:numPr>
        <w:shd w:val="clear" w:color="auto" w:fill="FFFFFF"/>
        <w:ind w:left="720" w:hanging="720"/>
        <w:rPr>
          <w:rFonts w:cs="Arial"/>
          <w:b/>
          <w:szCs w:val="22"/>
        </w:rPr>
      </w:pPr>
      <w:r w:rsidRPr="007A1321">
        <w:rPr>
          <w:rFonts w:cs="Arial"/>
          <w:b/>
          <w:szCs w:val="22"/>
        </w:rPr>
        <w:t>Protecting the Vulnerable</w:t>
      </w:r>
    </w:p>
    <w:p w14:paraId="5B9ED687" w14:textId="77777777" w:rsidR="00E25E62" w:rsidRPr="007A1321" w:rsidRDefault="00E25E62" w:rsidP="00203885">
      <w:pPr>
        <w:numPr>
          <w:ilvl w:val="0"/>
          <w:numId w:val="27"/>
        </w:numPr>
        <w:shd w:val="clear" w:color="auto" w:fill="FFFFFF"/>
        <w:spacing w:before="100" w:beforeAutospacing="1" w:after="100" w:afterAutospacing="1"/>
        <w:jc w:val="both"/>
        <w:rPr>
          <w:rFonts w:cs="Arial"/>
          <w:szCs w:val="22"/>
        </w:rPr>
      </w:pPr>
      <w:r w:rsidRPr="007A1321">
        <w:rPr>
          <w:rFonts w:cs="Arial"/>
          <w:szCs w:val="22"/>
        </w:rPr>
        <w:t>Improve services that care for our children and protect them from risk and harm</w:t>
      </w:r>
    </w:p>
    <w:p w14:paraId="7798CFF5" w14:textId="77777777" w:rsidR="00E25E62" w:rsidRPr="007A1321" w:rsidRDefault="00E25E62" w:rsidP="00203885">
      <w:pPr>
        <w:numPr>
          <w:ilvl w:val="0"/>
          <w:numId w:val="27"/>
        </w:numPr>
        <w:shd w:val="clear" w:color="auto" w:fill="FFFFFF"/>
        <w:spacing w:before="100" w:beforeAutospacing="1" w:after="100" w:afterAutospacing="1"/>
        <w:jc w:val="both"/>
        <w:rPr>
          <w:rFonts w:cs="Arial"/>
          <w:szCs w:val="22"/>
        </w:rPr>
      </w:pPr>
      <w:r w:rsidRPr="007A1321">
        <w:rPr>
          <w:rFonts w:cs="Arial"/>
          <w:szCs w:val="22"/>
        </w:rPr>
        <w:t>Protect and improve the lives of vulnerable adults</w:t>
      </w:r>
    </w:p>
    <w:p w14:paraId="3C6EDED1" w14:textId="77777777" w:rsidR="00E25E62" w:rsidRPr="007A1321" w:rsidRDefault="00E25E62" w:rsidP="00E54025">
      <w:pPr>
        <w:pStyle w:val="Heading3"/>
        <w:numPr>
          <w:ilvl w:val="0"/>
          <w:numId w:val="0"/>
        </w:numPr>
        <w:shd w:val="clear" w:color="auto" w:fill="FFFFFF"/>
        <w:ind w:left="720" w:hanging="720"/>
        <w:rPr>
          <w:rFonts w:cs="Arial"/>
          <w:b/>
          <w:szCs w:val="22"/>
        </w:rPr>
      </w:pPr>
      <w:r w:rsidRPr="007A1321">
        <w:rPr>
          <w:rFonts w:cs="Arial"/>
          <w:b/>
          <w:szCs w:val="22"/>
        </w:rPr>
        <w:t>Customer-focussed services</w:t>
      </w:r>
    </w:p>
    <w:p w14:paraId="0466D8AA" w14:textId="77777777" w:rsidR="00E25E62" w:rsidRPr="007A1321" w:rsidRDefault="00E25E62" w:rsidP="00203885">
      <w:pPr>
        <w:numPr>
          <w:ilvl w:val="0"/>
          <w:numId w:val="28"/>
        </w:numPr>
        <w:shd w:val="clear" w:color="auto" w:fill="FFFFFF"/>
        <w:spacing w:before="100" w:beforeAutospacing="1" w:after="100" w:afterAutospacing="1"/>
        <w:jc w:val="both"/>
        <w:rPr>
          <w:rFonts w:cs="Arial"/>
          <w:szCs w:val="22"/>
        </w:rPr>
      </w:pPr>
      <w:r w:rsidRPr="007A1321">
        <w:rPr>
          <w:rFonts w:cs="Arial"/>
          <w:szCs w:val="22"/>
        </w:rPr>
        <w:t>Develop and implement a new Customer Services Strategy</w:t>
      </w:r>
    </w:p>
    <w:p w14:paraId="789291F9" w14:textId="77777777" w:rsidR="00E25E62" w:rsidRPr="007A1321" w:rsidRDefault="00E25E62" w:rsidP="00203885">
      <w:pPr>
        <w:numPr>
          <w:ilvl w:val="0"/>
          <w:numId w:val="28"/>
        </w:numPr>
        <w:shd w:val="clear" w:color="auto" w:fill="FFFFFF"/>
        <w:spacing w:before="100" w:beforeAutospacing="1" w:after="100" w:afterAutospacing="1"/>
        <w:jc w:val="both"/>
        <w:rPr>
          <w:rFonts w:cs="Arial"/>
          <w:szCs w:val="22"/>
        </w:rPr>
      </w:pPr>
      <w:r w:rsidRPr="007A1321">
        <w:rPr>
          <w:rFonts w:cs="Arial"/>
          <w:szCs w:val="22"/>
        </w:rPr>
        <w:lastRenderedPageBreak/>
        <w:t>Develop customer responsive systems</w:t>
      </w:r>
    </w:p>
    <w:p w14:paraId="29F701B5" w14:textId="77777777" w:rsidR="00E25E62" w:rsidRPr="007A1321" w:rsidRDefault="00E25E62" w:rsidP="00203885">
      <w:pPr>
        <w:numPr>
          <w:ilvl w:val="0"/>
          <w:numId w:val="28"/>
        </w:numPr>
        <w:shd w:val="clear" w:color="auto" w:fill="FFFFFF"/>
        <w:spacing w:before="100" w:beforeAutospacing="1" w:after="100" w:afterAutospacing="1"/>
        <w:jc w:val="both"/>
        <w:rPr>
          <w:rFonts w:cs="Arial"/>
          <w:szCs w:val="22"/>
        </w:rPr>
      </w:pPr>
      <w:r w:rsidRPr="007A1321">
        <w:rPr>
          <w:rFonts w:cs="Arial"/>
          <w:szCs w:val="22"/>
        </w:rPr>
        <w:t>Develop a sustainable Medium Term Financial Plan to support service delivery</w:t>
      </w:r>
    </w:p>
    <w:p w14:paraId="19D92130" w14:textId="4E03B0C9" w:rsidR="00E25E62" w:rsidRPr="007A1321" w:rsidRDefault="00E25E62" w:rsidP="00203885">
      <w:pPr>
        <w:numPr>
          <w:ilvl w:val="0"/>
          <w:numId w:val="28"/>
        </w:numPr>
        <w:shd w:val="clear" w:color="auto" w:fill="FFFFFF"/>
        <w:spacing w:before="100" w:beforeAutospacing="1" w:after="100" w:afterAutospacing="1"/>
        <w:jc w:val="both"/>
        <w:rPr>
          <w:rFonts w:cs="Arial"/>
          <w:szCs w:val="22"/>
        </w:rPr>
      </w:pPr>
      <w:r w:rsidRPr="007A1321">
        <w:rPr>
          <w:rFonts w:cs="Arial"/>
          <w:szCs w:val="22"/>
        </w:rPr>
        <w:t>Enhance digital access to services - Launch ‘MyAccount’ </w:t>
      </w:r>
    </w:p>
    <w:p w14:paraId="18D6ECF2" w14:textId="77777777" w:rsidR="00304E07" w:rsidRPr="007A1321" w:rsidRDefault="00304E07" w:rsidP="00203885">
      <w:pPr>
        <w:pStyle w:val="ListParagraph"/>
        <w:numPr>
          <w:ilvl w:val="0"/>
          <w:numId w:val="17"/>
        </w:numPr>
        <w:spacing w:before="240" w:after="240"/>
        <w:ind w:left="0" w:firstLine="0"/>
        <w:contextualSpacing w:val="0"/>
        <w:jc w:val="both"/>
        <w:rPr>
          <w:rFonts w:cs="Arial"/>
          <w:b/>
          <w:bCs/>
          <w:szCs w:val="22"/>
        </w:rPr>
      </w:pPr>
      <w:r w:rsidRPr="007A1321">
        <w:rPr>
          <w:rFonts w:cs="Arial"/>
          <w:b/>
          <w:bCs/>
          <w:szCs w:val="22"/>
        </w:rPr>
        <w:t>Council Performance</w:t>
      </w:r>
    </w:p>
    <w:p w14:paraId="11093344" w14:textId="53C49365" w:rsidR="001A6F9F" w:rsidRPr="007A1321" w:rsidRDefault="00304E07" w:rsidP="00C51F5C">
      <w:pPr>
        <w:spacing w:after="120"/>
        <w:jc w:val="both"/>
        <w:rPr>
          <w:rFonts w:cs="Arial"/>
          <w:bCs/>
          <w:szCs w:val="22"/>
        </w:rPr>
      </w:pPr>
      <w:r w:rsidRPr="007A1321">
        <w:rPr>
          <w:rFonts w:cs="Arial"/>
          <w:bCs/>
          <w:szCs w:val="22"/>
        </w:rPr>
        <w:t xml:space="preserve">The Council regularly produces reports to Cabinet on performance against the Council’s strategic aims and the Corporate </w:t>
      </w:r>
      <w:r w:rsidR="00E54025" w:rsidRPr="007A1321">
        <w:rPr>
          <w:rFonts w:cs="Arial"/>
          <w:bCs/>
          <w:szCs w:val="22"/>
        </w:rPr>
        <w:t>Plan.</w:t>
      </w:r>
    </w:p>
    <w:p w14:paraId="012359A9" w14:textId="668C769F" w:rsidR="00304E07" w:rsidRPr="007A1321" w:rsidRDefault="00304E07" w:rsidP="00C51F5C">
      <w:pPr>
        <w:spacing w:after="120"/>
        <w:jc w:val="both"/>
        <w:rPr>
          <w:rFonts w:cs="Arial"/>
          <w:bCs/>
          <w:szCs w:val="22"/>
        </w:rPr>
      </w:pPr>
      <w:r w:rsidRPr="007A1321">
        <w:rPr>
          <w:rFonts w:cs="Arial"/>
          <w:bCs/>
          <w:szCs w:val="22"/>
        </w:rPr>
        <w:t xml:space="preserve">The latest </w:t>
      </w:r>
      <w:r w:rsidR="0044585F">
        <w:rPr>
          <w:rFonts w:cs="Arial"/>
          <w:bCs/>
          <w:szCs w:val="22"/>
        </w:rPr>
        <w:t xml:space="preserve">in year </w:t>
      </w:r>
      <w:r w:rsidRPr="007A1321">
        <w:rPr>
          <w:rFonts w:cs="Arial"/>
          <w:bCs/>
          <w:szCs w:val="22"/>
        </w:rPr>
        <w:t xml:space="preserve">report </w:t>
      </w:r>
      <w:r w:rsidR="001A6F9F" w:rsidRPr="007A1321">
        <w:rPr>
          <w:rFonts w:cs="Arial"/>
          <w:bCs/>
          <w:szCs w:val="22"/>
        </w:rPr>
        <w:t xml:space="preserve">can be found on </w:t>
      </w:r>
      <w:r w:rsidR="00E12B5D" w:rsidRPr="007A1321">
        <w:rPr>
          <w:rFonts w:cs="Arial"/>
          <w:bCs/>
          <w:szCs w:val="22"/>
        </w:rPr>
        <w:t>the link below:</w:t>
      </w:r>
    </w:p>
    <w:p w14:paraId="37576242" w14:textId="7D817DF9" w:rsidR="00E54025" w:rsidRPr="007A1321" w:rsidRDefault="00661E70" w:rsidP="00C51F5C">
      <w:pPr>
        <w:spacing w:after="120"/>
        <w:jc w:val="both"/>
        <w:rPr>
          <w:rFonts w:cs="Arial"/>
          <w:bCs/>
          <w:szCs w:val="22"/>
        </w:rPr>
      </w:pPr>
      <w:hyperlink r:id="rId13" w:history="1">
        <w:r w:rsidR="00E54025" w:rsidRPr="007A1321">
          <w:rPr>
            <w:rStyle w:val="Hyperlink"/>
          </w:rPr>
          <w:t>https://rutlandcounty.moderngov.co.uk/documents/s17426/Report%20No%2030-2020%20Quarter%203%20Performance%20Update%202019-20.pdf</w:t>
        </w:r>
      </w:hyperlink>
    </w:p>
    <w:p w14:paraId="00839542" w14:textId="12BF1E8F" w:rsidR="00304E07" w:rsidRPr="007A1321" w:rsidRDefault="00304E07" w:rsidP="00203885">
      <w:pPr>
        <w:pStyle w:val="ListParagraph"/>
        <w:numPr>
          <w:ilvl w:val="0"/>
          <w:numId w:val="17"/>
        </w:numPr>
        <w:spacing w:before="240" w:after="240"/>
        <w:ind w:left="0" w:firstLine="0"/>
        <w:contextualSpacing w:val="0"/>
        <w:jc w:val="both"/>
        <w:rPr>
          <w:rFonts w:cs="Arial"/>
          <w:b/>
          <w:bCs/>
          <w:szCs w:val="22"/>
        </w:rPr>
      </w:pPr>
      <w:r w:rsidRPr="007A1321">
        <w:rPr>
          <w:rFonts w:cs="Arial"/>
          <w:b/>
          <w:bCs/>
          <w:szCs w:val="22"/>
        </w:rPr>
        <w:t>Financial Performance</w:t>
      </w:r>
    </w:p>
    <w:p w14:paraId="5301C185" w14:textId="7A30A146" w:rsidR="00304E07" w:rsidRPr="007A1321" w:rsidRDefault="00304E07" w:rsidP="00203885">
      <w:pPr>
        <w:pStyle w:val="ListParagraph"/>
        <w:numPr>
          <w:ilvl w:val="0"/>
          <w:numId w:val="18"/>
        </w:numPr>
        <w:spacing w:after="240"/>
        <w:ind w:left="426" w:hanging="357"/>
        <w:contextualSpacing w:val="0"/>
        <w:jc w:val="both"/>
        <w:rPr>
          <w:rFonts w:cs="Arial"/>
          <w:b/>
          <w:bCs/>
          <w:szCs w:val="22"/>
        </w:rPr>
      </w:pPr>
      <w:r w:rsidRPr="007A1321">
        <w:rPr>
          <w:rFonts w:cs="Arial"/>
          <w:b/>
          <w:bCs/>
          <w:szCs w:val="22"/>
        </w:rPr>
        <w:t>Key Issues that have influenced</w:t>
      </w:r>
      <w:r w:rsidR="00E12B5D" w:rsidRPr="007A1321">
        <w:rPr>
          <w:rFonts w:cs="Arial"/>
          <w:b/>
          <w:bCs/>
          <w:szCs w:val="22"/>
        </w:rPr>
        <w:t xml:space="preserve"> the Financial Position for 201</w:t>
      </w:r>
      <w:r w:rsidR="00EB69A4" w:rsidRPr="007A1321">
        <w:rPr>
          <w:rFonts w:cs="Arial"/>
          <w:b/>
          <w:bCs/>
          <w:szCs w:val="22"/>
        </w:rPr>
        <w:t>9/20</w:t>
      </w:r>
    </w:p>
    <w:p w14:paraId="7B07EB63" w14:textId="210B6015" w:rsidR="00296642" w:rsidRPr="007A1321" w:rsidRDefault="00296642" w:rsidP="00296642">
      <w:pPr>
        <w:pStyle w:val="Heading3"/>
        <w:keepNext w:val="0"/>
        <w:widowControl w:val="0"/>
        <w:numPr>
          <w:ilvl w:val="0"/>
          <w:numId w:val="0"/>
        </w:numPr>
        <w:spacing w:before="240" w:after="240"/>
        <w:ind w:left="720" w:hanging="720"/>
        <w:jc w:val="left"/>
        <w:rPr>
          <w:szCs w:val="22"/>
        </w:rPr>
      </w:pPr>
      <w:r w:rsidRPr="007A1321">
        <w:rPr>
          <w:szCs w:val="22"/>
        </w:rPr>
        <w:t xml:space="preserve">The final Settlement for 19/20 </w:t>
      </w:r>
      <w:r w:rsidR="00017C0E" w:rsidRPr="007A1321">
        <w:rPr>
          <w:szCs w:val="22"/>
        </w:rPr>
        <w:t>was better than anticipated.</w:t>
      </w:r>
    </w:p>
    <w:p w14:paraId="79DE243B" w14:textId="348E63B1" w:rsidR="00296642" w:rsidRPr="007A1321" w:rsidRDefault="00296642" w:rsidP="00017C0E">
      <w:pPr>
        <w:pStyle w:val="BulletPoint"/>
        <w:tabs>
          <w:tab w:val="clear" w:pos="340"/>
          <w:tab w:val="num" w:pos="1474"/>
        </w:tabs>
        <w:spacing w:before="0" w:after="0"/>
        <w:ind w:left="1474"/>
        <w:rPr>
          <w:sz w:val="22"/>
          <w:szCs w:val="22"/>
        </w:rPr>
      </w:pPr>
      <w:r w:rsidRPr="007A1321">
        <w:rPr>
          <w:sz w:val="22"/>
          <w:szCs w:val="22"/>
        </w:rPr>
        <w:t xml:space="preserve">The expected loss of RSG of £958k </w:t>
      </w:r>
      <w:r w:rsidR="00017C0E" w:rsidRPr="007A1321">
        <w:rPr>
          <w:sz w:val="22"/>
          <w:szCs w:val="22"/>
        </w:rPr>
        <w:t>was</w:t>
      </w:r>
      <w:r w:rsidRPr="007A1321">
        <w:rPr>
          <w:sz w:val="22"/>
          <w:szCs w:val="22"/>
        </w:rPr>
        <w:t xml:space="preserve"> reversed;</w:t>
      </w:r>
    </w:p>
    <w:p w14:paraId="5A20E198" w14:textId="24DFAB79" w:rsidR="00296642" w:rsidRPr="007A1321" w:rsidRDefault="00296642" w:rsidP="00017C0E">
      <w:pPr>
        <w:pStyle w:val="BulletPoint"/>
        <w:tabs>
          <w:tab w:val="clear" w:pos="340"/>
          <w:tab w:val="num" w:pos="1474"/>
        </w:tabs>
        <w:spacing w:before="0" w:after="0"/>
        <w:ind w:left="1474"/>
        <w:rPr>
          <w:sz w:val="22"/>
          <w:szCs w:val="22"/>
        </w:rPr>
      </w:pPr>
      <w:r w:rsidRPr="007A1321">
        <w:rPr>
          <w:sz w:val="22"/>
          <w:szCs w:val="22"/>
        </w:rPr>
        <w:t xml:space="preserve">Additional grant funding </w:t>
      </w:r>
      <w:r w:rsidR="00017C0E" w:rsidRPr="007A1321">
        <w:rPr>
          <w:sz w:val="22"/>
          <w:szCs w:val="22"/>
        </w:rPr>
        <w:t>was</w:t>
      </w:r>
      <w:r w:rsidRPr="007A1321">
        <w:rPr>
          <w:sz w:val="22"/>
          <w:szCs w:val="22"/>
        </w:rPr>
        <w:t xml:space="preserve"> received: £368k for social care and return of the business rates levy of £67k; </w:t>
      </w:r>
    </w:p>
    <w:p w14:paraId="3A7B6F4B" w14:textId="77777777" w:rsidR="00296642" w:rsidRPr="007A1321" w:rsidRDefault="00296642" w:rsidP="00017C0E">
      <w:pPr>
        <w:pStyle w:val="BulletPoint"/>
        <w:tabs>
          <w:tab w:val="clear" w:pos="340"/>
          <w:tab w:val="num" w:pos="1474"/>
        </w:tabs>
        <w:spacing w:before="0" w:after="0"/>
        <w:ind w:left="1474"/>
        <w:rPr>
          <w:sz w:val="22"/>
          <w:szCs w:val="22"/>
        </w:rPr>
      </w:pPr>
      <w:r w:rsidRPr="007A1321">
        <w:rPr>
          <w:sz w:val="22"/>
          <w:szCs w:val="22"/>
        </w:rPr>
        <w:t xml:space="preserve">There were no changes to the New Homes Bonus scheme; </w:t>
      </w:r>
    </w:p>
    <w:p w14:paraId="2C695961" w14:textId="77777777" w:rsidR="00296642" w:rsidRPr="007A1321" w:rsidRDefault="00296642" w:rsidP="00017C0E">
      <w:pPr>
        <w:pStyle w:val="BulletPoint"/>
        <w:tabs>
          <w:tab w:val="clear" w:pos="340"/>
          <w:tab w:val="num" w:pos="1474"/>
        </w:tabs>
        <w:spacing w:before="0" w:after="0"/>
        <w:ind w:left="1474"/>
        <w:rPr>
          <w:sz w:val="22"/>
          <w:szCs w:val="22"/>
        </w:rPr>
      </w:pPr>
      <w:r w:rsidRPr="007A1321">
        <w:rPr>
          <w:sz w:val="22"/>
          <w:szCs w:val="22"/>
        </w:rPr>
        <w:t xml:space="preserve">The Rural Services Delivery grant was expected to reduce by £168k but has remained at the same level. </w:t>
      </w:r>
    </w:p>
    <w:p w14:paraId="60969C81" w14:textId="3EF1158B" w:rsidR="00296642" w:rsidRPr="007A1321" w:rsidRDefault="00296642" w:rsidP="00053147">
      <w:pPr>
        <w:pStyle w:val="Heading3"/>
        <w:keepNext w:val="0"/>
        <w:widowControl w:val="0"/>
        <w:numPr>
          <w:ilvl w:val="0"/>
          <w:numId w:val="0"/>
        </w:numPr>
        <w:spacing w:before="240" w:after="240"/>
        <w:jc w:val="left"/>
      </w:pPr>
      <w:r w:rsidRPr="007A1321">
        <w:t>However, the Council’s G</w:t>
      </w:r>
      <w:r w:rsidR="00017C0E" w:rsidRPr="007A1321">
        <w:t>overnment funding was</w:t>
      </w:r>
      <w:r w:rsidRPr="007A1321">
        <w:t xml:space="preserve"> in cash terms still only marginally more (£379k) than it was in 18/19.  </w:t>
      </w:r>
      <w:r w:rsidR="00053147" w:rsidRPr="007A1321">
        <w:t xml:space="preserve">This amount did not cover </w:t>
      </w:r>
      <w:r w:rsidRPr="007A1321">
        <w:t>inflation, pay increases or</w:t>
      </w:r>
      <w:r w:rsidR="00053147" w:rsidRPr="007A1321">
        <w:t xml:space="preserve"> additional demand for services but after making savings of £1.5m, t</w:t>
      </w:r>
      <w:r w:rsidR="00017C0E" w:rsidRPr="007A1321">
        <w:t xml:space="preserve">he Council was able to set a </w:t>
      </w:r>
      <w:r w:rsidR="00053147" w:rsidRPr="007A1321">
        <w:t>budget of £36.4m.</w:t>
      </w:r>
    </w:p>
    <w:p w14:paraId="67D8C0C3" w14:textId="2D462296" w:rsidR="00053147" w:rsidRPr="007A1321" w:rsidRDefault="00053147" w:rsidP="00C51F5C">
      <w:pPr>
        <w:spacing w:after="120"/>
        <w:jc w:val="both"/>
        <w:rPr>
          <w:rFonts w:cs="Arial"/>
          <w:bCs/>
          <w:szCs w:val="22"/>
        </w:rPr>
      </w:pPr>
      <w:r w:rsidRPr="007A1321">
        <w:rPr>
          <w:rFonts w:cs="Arial"/>
          <w:bCs/>
          <w:szCs w:val="22"/>
        </w:rPr>
        <w:t>As part of the budget, t</w:t>
      </w:r>
      <w:r w:rsidR="00304E07" w:rsidRPr="007A1321">
        <w:rPr>
          <w:rFonts w:cs="Arial"/>
          <w:bCs/>
          <w:szCs w:val="22"/>
        </w:rPr>
        <w:t>he Medium Ter</w:t>
      </w:r>
      <w:r w:rsidRPr="007A1321">
        <w:rPr>
          <w:rFonts w:cs="Arial"/>
          <w:bCs/>
          <w:szCs w:val="22"/>
        </w:rPr>
        <w:t xml:space="preserve">m </w:t>
      </w:r>
      <w:r w:rsidR="007A1321">
        <w:rPr>
          <w:rFonts w:cs="Arial"/>
          <w:bCs/>
          <w:szCs w:val="22"/>
        </w:rPr>
        <w:t>Financial Plan (MTFP) for 2019/</w:t>
      </w:r>
      <w:r w:rsidRPr="007A1321">
        <w:rPr>
          <w:rFonts w:cs="Arial"/>
          <w:bCs/>
          <w:szCs w:val="22"/>
        </w:rPr>
        <w:t>20 to 2023/24</w:t>
      </w:r>
      <w:r w:rsidR="00304E07" w:rsidRPr="007A1321">
        <w:rPr>
          <w:rFonts w:cs="Arial"/>
          <w:bCs/>
          <w:szCs w:val="22"/>
        </w:rPr>
        <w:t xml:space="preserve"> was approved by Full Council </w:t>
      </w:r>
      <w:r w:rsidRPr="007A1321">
        <w:rPr>
          <w:rFonts w:cs="Arial"/>
          <w:bCs/>
          <w:szCs w:val="22"/>
        </w:rPr>
        <w:t>in February 2019</w:t>
      </w:r>
      <w:r w:rsidR="00304E07" w:rsidRPr="007A1321">
        <w:rPr>
          <w:rFonts w:cs="Arial"/>
          <w:bCs/>
          <w:szCs w:val="22"/>
        </w:rPr>
        <w:t>. Over the period it assumed a continuation of the existing services with allowances for service pressures, inflation and planned savings for 201</w:t>
      </w:r>
      <w:r w:rsidRPr="007A1321">
        <w:rPr>
          <w:rFonts w:cs="Arial"/>
          <w:bCs/>
          <w:szCs w:val="22"/>
        </w:rPr>
        <w:t>9/20</w:t>
      </w:r>
      <w:r w:rsidR="00304E07" w:rsidRPr="007A1321">
        <w:rPr>
          <w:rFonts w:cs="Arial"/>
          <w:bCs/>
          <w:szCs w:val="22"/>
        </w:rPr>
        <w:t xml:space="preserve"> and beyond all built in. As the </w:t>
      </w:r>
      <w:r w:rsidRPr="007A1321">
        <w:rPr>
          <w:rFonts w:cs="Arial"/>
          <w:bCs/>
          <w:szCs w:val="22"/>
        </w:rPr>
        <w:t>final year of the 4-year funding settlement was 19/20</w:t>
      </w:r>
      <w:r w:rsidR="00304E07" w:rsidRPr="007A1321">
        <w:rPr>
          <w:rFonts w:cs="Arial"/>
          <w:bCs/>
          <w:szCs w:val="22"/>
        </w:rPr>
        <w:t xml:space="preserve">, the Council </w:t>
      </w:r>
      <w:r w:rsidRPr="007A1321">
        <w:rPr>
          <w:rFonts w:cs="Arial"/>
          <w:bCs/>
          <w:szCs w:val="22"/>
        </w:rPr>
        <w:t>was uncertain as to what funding it would receive from 20/21.  However, the Council had assumed further funding reductions would be made.</w:t>
      </w:r>
    </w:p>
    <w:p w14:paraId="19E4FD50" w14:textId="71DA8D10" w:rsidR="002F466C" w:rsidRPr="007A1321" w:rsidRDefault="002F466C" w:rsidP="00C51F5C">
      <w:pPr>
        <w:spacing w:after="120"/>
        <w:jc w:val="both"/>
        <w:rPr>
          <w:rFonts w:cs="Arial"/>
          <w:bCs/>
          <w:szCs w:val="22"/>
        </w:rPr>
      </w:pPr>
      <w:r w:rsidRPr="007A1321">
        <w:rPr>
          <w:rFonts w:cs="Arial"/>
          <w:bCs/>
          <w:szCs w:val="22"/>
        </w:rPr>
        <w:t xml:space="preserve">The Council has a rolling capital programme with new schemes added in 2019/20 based on known and forecast levels of external funding for capital schemes and an assessment of the resources likely to be available from asset disposals. </w:t>
      </w:r>
    </w:p>
    <w:p w14:paraId="7982C0E7" w14:textId="091D15CE" w:rsidR="00304E07" w:rsidRPr="007A1321" w:rsidRDefault="00304E07" w:rsidP="00C51F5C">
      <w:pPr>
        <w:spacing w:after="120"/>
        <w:jc w:val="both"/>
        <w:rPr>
          <w:rFonts w:cs="Arial"/>
          <w:bCs/>
          <w:szCs w:val="22"/>
        </w:rPr>
      </w:pPr>
      <w:r w:rsidRPr="007A1321">
        <w:rPr>
          <w:rFonts w:cs="Arial"/>
          <w:bCs/>
          <w:szCs w:val="22"/>
        </w:rPr>
        <w:t>The impact of the capital programme and its financing was included within the MTFP e.g. cost of external borrowing. Taking into account all the known factors the projected financial position at the end of the period of the MTFP remained sound but showed an increasingly challenging position with the Council forecasting to spend more than the resources available in the later years of the plan. At that time the financ</w:t>
      </w:r>
      <w:r w:rsidR="00053147" w:rsidRPr="007A1321">
        <w:rPr>
          <w:rFonts w:cs="Arial"/>
          <w:bCs/>
          <w:szCs w:val="22"/>
        </w:rPr>
        <w:t>ial gap was projected to be £</w:t>
      </w:r>
      <w:r w:rsidR="002F466C" w:rsidRPr="007A1321">
        <w:rPr>
          <w:rFonts w:cs="Arial"/>
          <w:bCs/>
          <w:szCs w:val="22"/>
        </w:rPr>
        <w:t>2.</w:t>
      </w:r>
      <w:r w:rsidR="00053147" w:rsidRPr="007A1321">
        <w:rPr>
          <w:rFonts w:cs="Arial"/>
          <w:bCs/>
          <w:szCs w:val="22"/>
        </w:rPr>
        <w:t>1</w:t>
      </w:r>
      <w:r w:rsidR="002F466C" w:rsidRPr="007A1321">
        <w:rPr>
          <w:rFonts w:cs="Arial"/>
          <w:bCs/>
          <w:szCs w:val="22"/>
        </w:rPr>
        <w:t>m in 2021/22</w:t>
      </w:r>
      <w:r w:rsidRPr="007A1321">
        <w:rPr>
          <w:rFonts w:cs="Arial"/>
          <w:bCs/>
          <w:szCs w:val="22"/>
        </w:rPr>
        <w:t>.</w:t>
      </w:r>
    </w:p>
    <w:p w14:paraId="519F481B" w14:textId="7E2AC4FE" w:rsidR="008E3DC0" w:rsidRPr="007A1321" w:rsidRDefault="00304E07" w:rsidP="008E3DC0">
      <w:pPr>
        <w:spacing w:after="120"/>
        <w:jc w:val="both"/>
      </w:pPr>
      <w:r w:rsidRPr="007A1321">
        <w:rPr>
          <w:rFonts w:cs="Arial"/>
          <w:bCs/>
          <w:szCs w:val="22"/>
        </w:rPr>
        <w:t xml:space="preserve">The Treasury Management Strategy (TMS) </w:t>
      </w:r>
      <w:r w:rsidR="002F466C" w:rsidRPr="007A1321">
        <w:rPr>
          <w:rFonts w:cs="Arial"/>
          <w:bCs/>
          <w:szCs w:val="22"/>
        </w:rPr>
        <w:t>2019/20</w:t>
      </w:r>
      <w:r w:rsidRPr="007A1321">
        <w:rPr>
          <w:rFonts w:cs="Arial"/>
          <w:bCs/>
          <w:szCs w:val="22"/>
        </w:rPr>
        <w:t xml:space="preserve"> </w:t>
      </w:r>
      <w:r w:rsidR="008E3DC0" w:rsidRPr="007A1321">
        <w:rPr>
          <w:rFonts w:cs="Arial"/>
          <w:bCs/>
          <w:szCs w:val="22"/>
        </w:rPr>
        <w:t>and a new Capital Investment Strategy (CIS) were</w:t>
      </w:r>
      <w:r w:rsidRPr="007A1321">
        <w:rPr>
          <w:rFonts w:cs="Arial"/>
          <w:bCs/>
          <w:szCs w:val="22"/>
        </w:rPr>
        <w:t xml:space="preserve"> approved </w:t>
      </w:r>
      <w:r w:rsidR="002F466C" w:rsidRPr="007A1321">
        <w:rPr>
          <w:rFonts w:cs="Arial"/>
          <w:bCs/>
          <w:szCs w:val="22"/>
        </w:rPr>
        <w:t>by Full Council in February 2019</w:t>
      </w:r>
      <w:r w:rsidRPr="007A1321">
        <w:rPr>
          <w:rFonts w:cs="Arial"/>
          <w:bCs/>
          <w:szCs w:val="22"/>
        </w:rPr>
        <w:t xml:space="preserve">. </w:t>
      </w:r>
      <w:r w:rsidR="008E3DC0" w:rsidRPr="007A1321">
        <w:rPr>
          <w:rFonts w:cs="Arial"/>
          <w:bCs/>
          <w:szCs w:val="22"/>
        </w:rPr>
        <w:t xml:space="preserve"> The Strategies were developed to comply with the new version of the </w:t>
      </w:r>
      <w:hyperlink r:id="rId14" w:history="1">
        <w:r w:rsidR="008E3DC0" w:rsidRPr="007A1321">
          <w:rPr>
            <w:rFonts w:cstheme="majorBidi"/>
            <w:szCs w:val="22"/>
          </w:rPr>
          <w:t xml:space="preserve">Prudential Code for Capital Finance in Local Authorities, </w:t>
        </w:r>
      </w:hyperlink>
      <w:r w:rsidR="008E3DC0" w:rsidRPr="007A1321">
        <w:rPr>
          <w:rFonts w:cstheme="majorBidi"/>
          <w:szCs w:val="22"/>
        </w:rPr>
        <w:t xml:space="preserve">the </w:t>
      </w:r>
      <w:r w:rsidR="008E3DC0" w:rsidRPr="007A1321">
        <w:rPr>
          <w:rFonts w:cs="Arial"/>
          <w:szCs w:val="24"/>
        </w:rPr>
        <w:t>Treasury Management: Code of Practice and Cross-Sectoral Guidance Notes (Treasury Management Code) </w:t>
      </w:r>
      <w:r w:rsidR="008E3DC0" w:rsidRPr="007A1321">
        <w:rPr>
          <w:rFonts w:eastAsiaTheme="minorHAnsi"/>
        </w:rPr>
        <w:t xml:space="preserve"> and Minimum Revenue Provision - </w:t>
      </w:r>
      <w:r w:rsidR="008E3DC0" w:rsidRPr="007A1321">
        <w:t xml:space="preserve">Guidance issued by the Secretary of State under section 21(1A) of the Local Government Act 2003.  </w:t>
      </w:r>
    </w:p>
    <w:p w14:paraId="606DBCE1" w14:textId="17563482" w:rsidR="008E3DC0" w:rsidRPr="007A1321" w:rsidRDefault="008E3DC0" w:rsidP="00C51F5C">
      <w:pPr>
        <w:spacing w:after="120"/>
        <w:jc w:val="both"/>
        <w:rPr>
          <w:iCs/>
        </w:rPr>
      </w:pPr>
      <w:r w:rsidRPr="007A1321">
        <w:t>The Capital Investment Strategy sets out the Council’s policy in respect of treasury and non-treasury investments including its appetite and approach to commercial investments.</w:t>
      </w:r>
      <w:r w:rsidR="002F466C" w:rsidRPr="007A1321">
        <w:t xml:space="preserve">  The Council was prepared to invest up to £10m in assets that generated a revenue return.</w:t>
      </w:r>
    </w:p>
    <w:p w14:paraId="6CCBDFFC" w14:textId="77777777" w:rsidR="00304E07" w:rsidRPr="007A1321" w:rsidRDefault="00304E07" w:rsidP="00C51F5C">
      <w:pPr>
        <w:spacing w:after="120"/>
        <w:jc w:val="both"/>
        <w:rPr>
          <w:rFonts w:cs="Arial"/>
          <w:bCs/>
          <w:szCs w:val="22"/>
        </w:rPr>
      </w:pPr>
      <w:r w:rsidRPr="007A1321">
        <w:rPr>
          <w:rFonts w:cs="Arial"/>
          <w:bCs/>
          <w:szCs w:val="22"/>
        </w:rPr>
        <w:lastRenderedPageBreak/>
        <w:t>Material transactions to be noted for the year relate to pensions for employees of the Council, who may be members of one of two separate pension schemes: The Local Government Pension Scheme, administered by Leicestershire County Council; or The Teachers' Pension Scheme, administered by Capita Teachers' Pensions on behalf of the Department for Education.</w:t>
      </w:r>
    </w:p>
    <w:p w14:paraId="645CC925" w14:textId="77777777" w:rsidR="00304E07" w:rsidRPr="007A1321" w:rsidRDefault="00304E07" w:rsidP="00C51F5C">
      <w:pPr>
        <w:spacing w:after="120"/>
        <w:jc w:val="both"/>
        <w:rPr>
          <w:rFonts w:cs="Arial"/>
          <w:bCs/>
          <w:szCs w:val="22"/>
        </w:rPr>
      </w:pPr>
      <w:r w:rsidRPr="007A1321">
        <w:rPr>
          <w:rFonts w:cs="Arial"/>
          <w:bCs/>
          <w:szCs w:val="22"/>
        </w:rPr>
        <w:t>Both schemes provide defined benefits to members (retirement lump sums and pensions), earned as employees whilst working for the Council.  However, the arrangements for the Teachers' scheme mean that liabilities for these benefits cannot be identified to the Council.</w:t>
      </w:r>
    </w:p>
    <w:p w14:paraId="569D815B" w14:textId="30260EF5" w:rsidR="00304E07" w:rsidRPr="007A1321" w:rsidRDefault="00304E07" w:rsidP="00C51F5C">
      <w:pPr>
        <w:spacing w:after="120"/>
        <w:jc w:val="both"/>
        <w:rPr>
          <w:rFonts w:cs="Arial"/>
          <w:bCs/>
          <w:szCs w:val="22"/>
        </w:rPr>
      </w:pPr>
      <w:r w:rsidRPr="007A1321">
        <w:rPr>
          <w:rFonts w:cs="Arial"/>
          <w:bCs/>
          <w:szCs w:val="22"/>
        </w:rPr>
        <w:t xml:space="preserve">The Council's net pension liability for the Local Government Pension Scheme has </w:t>
      </w:r>
      <w:r w:rsidR="000F5668" w:rsidRPr="007A1321">
        <w:rPr>
          <w:rFonts w:cs="Arial"/>
          <w:bCs/>
          <w:szCs w:val="22"/>
        </w:rPr>
        <w:t>in</w:t>
      </w:r>
      <w:r w:rsidRPr="007A1321">
        <w:rPr>
          <w:rFonts w:cs="Arial"/>
          <w:bCs/>
          <w:szCs w:val="22"/>
        </w:rPr>
        <w:t>creased from £3</w:t>
      </w:r>
      <w:r w:rsidR="001A6F9F" w:rsidRPr="007A1321">
        <w:rPr>
          <w:rFonts w:cs="Arial"/>
          <w:bCs/>
          <w:szCs w:val="22"/>
        </w:rPr>
        <w:t>7</w:t>
      </w:r>
      <w:r w:rsidRPr="007A1321">
        <w:rPr>
          <w:rFonts w:cs="Arial"/>
          <w:bCs/>
          <w:szCs w:val="22"/>
        </w:rPr>
        <w:t>.</w:t>
      </w:r>
      <w:r w:rsidR="000F5668" w:rsidRPr="007A1321">
        <w:rPr>
          <w:rFonts w:cs="Arial"/>
          <w:bCs/>
          <w:szCs w:val="22"/>
        </w:rPr>
        <w:t>1</w:t>
      </w:r>
      <w:r w:rsidRPr="007A1321">
        <w:rPr>
          <w:rFonts w:cs="Arial"/>
          <w:bCs/>
          <w:szCs w:val="22"/>
        </w:rPr>
        <w:t xml:space="preserve"> million to £</w:t>
      </w:r>
      <w:r w:rsidR="000F5668" w:rsidRPr="007A1321">
        <w:rPr>
          <w:rFonts w:cs="Arial"/>
          <w:bCs/>
          <w:szCs w:val="22"/>
        </w:rPr>
        <w:t>44</w:t>
      </w:r>
      <w:r w:rsidRPr="007A1321">
        <w:rPr>
          <w:rFonts w:cs="Arial"/>
          <w:bCs/>
          <w:szCs w:val="22"/>
        </w:rPr>
        <w:t>.</w:t>
      </w:r>
      <w:r w:rsidR="000F5668" w:rsidRPr="007A1321">
        <w:rPr>
          <w:rFonts w:cs="Arial"/>
          <w:bCs/>
          <w:szCs w:val="22"/>
        </w:rPr>
        <w:t>8</w:t>
      </w:r>
      <w:r w:rsidRPr="007A1321">
        <w:rPr>
          <w:rFonts w:cs="Arial"/>
          <w:bCs/>
          <w:szCs w:val="22"/>
        </w:rPr>
        <w:t>m in the year to 31 March 20</w:t>
      </w:r>
      <w:r w:rsidR="004F5B6B">
        <w:rPr>
          <w:rFonts w:cs="Arial"/>
          <w:bCs/>
          <w:szCs w:val="22"/>
        </w:rPr>
        <w:t>20</w:t>
      </w:r>
      <w:r w:rsidRPr="007A1321">
        <w:rPr>
          <w:rFonts w:cs="Arial"/>
          <w:bCs/>
          <w:szCs w:val="22"/>
        </w:rPr>
        <w:t>.  There are two main elements that create this liability, the value of assets held by the pension fund, and the estimated future demands for pension payments.  While the value of assets has increased by £</w:t>
      </w:r>
      <w:r w:rsidR="000F5668" w:rsidRPr="007A1321">
        <w:rPr>
          <w:rFonts w:cs="Arial"/>
          <w:bCs/>
          <w:szCs w:val="22"/>
        </w:rPr>
        <w:t>5</w:t>
      </w:r>
      <w:r w:rsidRPr="007A1321">
        <w:rPr>
          <w:rFonts w:cs="Arial"/>
          <w:bCs/>
          <w:szCs w:val="22"/>
        </w:rPr>
        <w:t>.</w:t>
      </w:r>
      <w:r w:rsidR="000F5668" w:rsidRPr="007A1321">
        <w:rPr>
          <w:rFonts w:cs="Arial"/>
          <w:bCs/>
          <w:szCs w:val="22"/>
        </w:rPr>
        <w:t>8</w:t>
      </w:r>
      <w:r w:rsidRPr="007A1321">
        <w:rPr>
          <w:rFonts w:cs="Arial"/>
          <w:bCs/>
          <w:szCs w:val="22"/>
        </w:rPr>
        <w:t xml:space="preserve"> million during the year, at the same time liabilities have increased by £</w:t>
      </w:r>
      <w:r w:rsidR="000F5668" w:rsidRPr="007A1321">
        <w:rPr>
          <w:rFonts w:cs="Arial"/>
          <w:bCs/>
          <w:szCs w:val="22"/>
        </w:rPr>
        <w:t>13</w:t>
      </w:r>
      <w:r w:rsidRPr="007A1321">
        <w:rPr>
          <w:rFonts w:cs="Arial"/>
          <w:bCs/>
          <w:szCs w:val="22"/>
        </w:rPr>
        <w:t>.</w:t>
      </w:r>
      <w:r w:rsidR="000F5668" w:rsidRPr="007A1321">
        <w:rPr>
          <w:rFonts w:cs="Arial"/>
          <w:bCs/>
          <w:szCs w:val="22"/>
        </w:rPr>
        <w:t>6</w:t>
      </w:r>
      <w:r w:rsidRPr="007A1321">
        <w:rPr>
          <w:rFonts w:cs="Arial"/>
          <w:bCs/>
          <w:szCs w:val="22"/>
        </w:rPr>
        <w:t xml:space="preserve"> million.</w:t>
      </w:r>
    </w:p>
    <w:p w14:paraId="737875FE" w14:textId="77777777" w:rsidR="00304E07" w:rsidRDefault="00304E07" w:rsidP="00C51F5C">
      <w:pPr>
        <w:spacing w:after="120"/>
        <w:jc w:val="both"/>
        <w:rPr>
          <w:rFonts w:cs="Arial"/>
          <w:bCs/>
          <w:szCs w:val="22"/>
        </w:rPr>
      </w:pPr>
      <w:r w:rsidRPr="007A1321">
        <w:rPr>
          <w:rFonts w:cs="Arial"/>
          <w:bCs/>
          <w:szCs w:val="22"/>
        </w:rPr>
        <w:t>Statutory provisions limit the Council to raising council tax to cover the amounts payable by the Council to the pension fund in the year. The pension liability shown in the Balance Sheet therefore has no direct impact on the Council's revenue reserves.</w:t>
      </w:r>
    </w:p>
    <w:p w14:paraId="37BA7311" w14:textId="101D212A" w:rsidR="0047409D" w:rsidRPr="007A1321" w:rsidRDefault="00304E07" w:rsidP="00203885">
      <w:pPr>
        <w:pStyle w:val="ListParagraph"/>
        <w:numPr>
          <w:ilvl w:val="0"/>
          <w:numId w:val="18"/>
        </w:numPr>
        <w:spacing w:after="240"/>
        <w:ind w:left="0" w:firstLine="0"/>
        <w:contextualSpacing w:val="0"/>
        <w:jc w:val="both"/>
        <w:rPr>
          <w:rFonts w:cs="Arial"/>
          <w:b/>
          <w:bCs/>
          <w:szCs w:val="22"/>
        </w:rPr>
      </w:pPr>
      <w:r w:rsidRPr="007A1321">
        <w:rPr>
          <w:rFonts w:cs="Arial"/>
          <w:b/>
          <w:bCs/>
          <w:szCs w:val="22"/>
        </w:rPr>
        <w:t>Key Even</w:t>
      </w:r>
      <w:r w:rsidR="002F466C" w:rsidRPr="007A1321">
        <w:rPr>
          <w:rFonts w:cs="Arial"/>
          <w:b/>
          <w:bCs/>
          <w:szCs w:val="22"/>
        </w:rPr>
        <w:t>ts affecting the Council in 2019/20</w:t>
      </w:r>
      <w:r w:rsidRPr="007A1321">
        <w:rPr>
          <w:rFonts w:cs="Arial"/>
          <w:b/>
          <w:bCs/>
          <w:szCs w:val="22"/>
        </w:rPr>
        <w:t xml:space="preserve"> and a look ahead to future years</w:t>
      </w:r>
    </w:p>
    <w:p w14:paraId="3049170C" w14:textId="5003975C" w:rsidR="002F466C" w:rsidRPr="007A1321" w:rsidRDefault="002F466C" w:rsidP="002F466C">
      <w:pPr>
        <w:rPr>
          <w:rFonts w:cs="Arial"/>
          <w:szCs w:val="22"/>
          <w:shd w:val="clear" w:color="auto" w:fill="FFFFFF"/>
        </w:rPr>
      </w:pPr>
      <w:r w:rsidRPr="007A1321">
        <w:rPr>
          <w:rFonts w:cs="Arial"/>
          <w:shd w:val="clear" w:color="auto" w:fill="FFFFFF"/>
        </w:rPr>
        <w:t xml:space="preserve">In late March, Cabinet approved a programme of maintenance works to be delivered in 2019/20 as a result £845,000 highway funding awarded to Rutland by central government </w:t>
      </w:r>
      <w:r w:rsidRPr="007A1321">
        <w:rPr>
          <w:rFonts w:cs="Arial"/>
          <w:szCs w:val="22"/>
          <w:shd w:val="clear" w:color="auto" w:fill="FFFFFF"/>
        </w:rPr>
        <w:t xml:space="preserve">in November 2018 – part of the total £2.4million to be spent in this financial year. </w:t>
      </w:r>
    </w:p>
    <w:p w14:paraId="15AEC6CE" w14:textId="6851010A" w:rsidR="002F466C" w:rsidRPr="007A1321" w:rsidRDefault="00356E40" w:rsidP="00356E40">
      <w:pPr>
        <w:pStyle w:val="ListParagraph"/>
        <w:spacing w:after="240"/>
        <w:ind w:left="0"/>
        <w:contextualSpacing w:val="0"/>
        <w:jc w:val="both"/>
        <w:rPr>
          <w:rFonts w:cs="Arial"/>
          <w:bCs/>
          <w:szCs w:val="22"/>
        </w:rPr>
      </w:pPr>
      <w:r w:rsidRPr="007A1321">
        <w:rPr>
          <w:rFonts w:cs="Arial"/>
          <w:bCs/>
          <w:szCs w:val="22"/>
        </w:rPr>
        <w:br/>
        <w:t xml:space="preserve">In early April, the Council </w:t>
      </w:r>
      <w:r w:rsidR="002F466C" w:rsidRPr="007A1321">
        <w:rPr>
          <w:rStyle w:val="Strong"/>
          <w:rFonts w:cs="Arial"/>
          <w:b w:val="0"/>
          <w:szCs w:val="22"/>
        </w:rPr>
        <w:t>secured an offer of more than £1.7million of funding from the government’s Department for Digital, Culture Media and Sport (DCMS) to help roll out the next generation of faster, full fibre broadband connections to public buildings like schools and libraries.</w:t>
      </w:r>
      <w:r w:rsidRPr="007A1321">
        <w:rPr>
          <w:rStyle w:val="Strong"/>
          <w:rFonts w:cs="Arial"/>
          <w:b w:val="0"/>
          <w:szCs w:val="22"/>
        </w:rPr>
        <w:t xml:space="preserve">  The plan was</w:t>
      </w:r>
      <w:r w:rsidRPr="007A1321">
        <w:rPr>
          <w:rStyle w:val="Strong"/>
          <w:rFonts w:cs="Arial"/>
          <w:szCs w:val="22"/>
        </w:rPr>
        <w:t xml:space="preserve"> </w:t>
      </w:r>
      <w:r w:rsidRPr="007A1321">
        <w:rPr>
          <w:rFonts w:cs="Arial"/>
          <w:szCs w:val="22"/>
        </w:rPr>
        <w:t xml:space="preserve">to </w:t>
      </w:r>
      <w:r w:rsidR="002F466C" w:rsidRPr="007A1321">
        <w:rPr>
          <w:rFonts w:cs="Arial"/>
          <w:szCs w:val="22"/>
        </w:rPr>
        <w:t>begin the rollout of full fibre to the public sector buildings in Rutland by October 2019.</w:t>
      </w:r>
    </w:p>
    <w:p w14:paraId="52C1C5CA" w14:textId="74D2B74D" w:rsidR="00356E40" w:rsidRPr="007A1321" w:rsidRDefault="00356E40" w:rsidP="00356E40">
      <w:pPr>
        <w:pStyle w:val="NormalWeb"/>
        <w:shd w:val="clear" w:color="auto" w:fill="FFFFFF"/>
        <w:spacing w:before="0" w:beforeAutospacing="0" w:after="240" w:afterAutospacing="0"/>
        <w:rPr>
          <w:sz w:val="22"/>
          <w:szCs w:val="22"/>
        </w:rPr>
      </w:pPr>
      <w:r w:rsidRPr="007A1321">
        <w:rPr>
          <w:rStyle w:val="Strong"/>
          <w:rFonts w:cs="Arial"/>
          <w:b w:val="0"/>
          <w:sz w:val="22"/>
          <w:szCs w:val="22"/>
        </w:rPr>
        <w:t>Later that month, Rutland’s adoption services were praised for the support they provide to children and young people, following a review of local authorities throughout England.</w:t>
      </w:r>
      <w:r w:rsidRPr="007A1321">
        <w:rPr>
          <w:sz w:val="22"/>
          <w:szCs w:val="22"/>
        </w:rPr>
        <w:t xml:space="preserve"> The latest DfE review looked at the performance of 152 local authority areas in England between 2015 and 2018 and found that Rutland had met important national targets for time taken to match and place children with an adoptive family. This had helped to reduce unnecessary delays and improve the experience of children and families who go through the adoption process.</w:t>
      </w:r>
    </w:p>
    <w:p w14:paraId="40F795F6" w14:textId="38ED0A0E" w:rsidR="00356E40" w:rsidRPr="007A1321" w:rsidRDefault="00AF36FF" w:rsidP="00356E40">
      <w:pPr>
        <w:pStyle w:val="NormalWeb"/>
        <w:shd w:val="clear" w:color="auto" w:fill="FFFFFF"/>
        <w:spacing w:before="0" w:beforeAutospacing="0" w:after="240" w:afterAutospacing="0"/>
        <w:rPr>
          <w:sz w:val="22"/>
          <w:szCs w:val="22"/>
        </w:rPr>
      </w:pPr>
      <w:r w:rsidRPr="007A1321">
        <w:rPr>
          <w:rStyle w:val="Strong"/>
          <w:rFonts w:cs="Arial"/>
          <w:b w:val="0"/>
          <w:sz w:val="22"/>
          <w:szCs w:val="22"/>
        </w:rPr>
        <w:t xml:space="preserve">With </w:t>
      </w:r>
      <w:r w:rsidRPr="007A1321">
        <w:rPr>
          <w:sz w:val="22"/>
          <w:szCs w:val="22"/>
        </w:rPr>
        <w:t xml:space="preserve">Rutland receiving £848k Capital from the Government between 2018 and 2021, plans were  </w:t>
      </w:r>
      <w:r w:rsidR="00356E40" w:rsidRPr="007A1321">
        <w:rPr>
          <w:rStyle w:val="Strong"/>
          <w:rFonts w:cs="Arial"/>
          <w:b w:val="0"/>
          <w:sz w:val="22"/>
          <w:szCs w:val="22"/>
        </w:rPr>
        <w:t>submitted for the development of a new facility to enable children with special educational needs and disabilities (SEND) to b</w:t>
      </w:r>
      <w:r w:rsidRPr="007A1321">
        <w:rPr>
          <w:rStyle w:val="Strong"/>
          <w:rFonts w:cs="Arial"/>
          <w:b w:val="0"/>
          <w:sz w:val="22"/>
          <w:szCs w:val="22"/>
        </w:rPr>
        <w:t xml:space="preserve">e educated locally at Uppingham </w:t>
      </w:r>
      <w:r w:rsidR="00356E40" w:rsidRPr="007A1321">
        <w:rPr>
          <w:rStyle w:val="Strong"/>
          <w:rFonts w:cs="Arial"/>
          <w:b w:val="0"/>
          <w:sz w:val="22"/>
          <w:szCs w:val="22"/>
        </w:rPr>
        <w:t>Community College. </w:t>
      </w:r>
      <w:r w:rsidR="00356E40" w:rsidRPr="007A1321">
        <w:rPr>
          <w:sz w:val="22"/>
          <w:szCs w:val="22"/>
        </w:rPr>
        <w:t>The new facility</w:t>
      </w:r>
      <w:r w:rsidRPr="007A1321">
        <w:rPr>
          <w:sz w:val="22"/>
          <w:szCs w:val="22"/>
        </w:rPr>
        <w:t xml:space="preserve"> was designed to</w:t>
      </w:r>
      <w:r w:rsidR="00356E40" w:rsidRPr="007A1321">
        <w:rPr>
          <w:sz w:val="22"/>
          <w:szCs w:val="22"/>
        </w:rPr>
        <w:t xml:space="preserve"> provide places for up to ten young people who have communication and interaction needs, including those on the Autistic Spectrum, which will enable them to live, to be educated and grow with independence within their community. </w:t>
      </w:r>
    </w:p>
    <w:p w14:paraId="074547B7" w14:textId="3811F1BC" w:rsidR="00AF36FF" w:rsidRPr="007A1321" w:rsidRDefault="00AF36FF" w:rsidP="00095541">
      <w:pPr>
        <w:rPr>
          <w:rFonts w:cs="Arial"/>
          <w:szCs w:val="22"/>
        </w:rPr>
      </w:pPr>
      <w:r w:rsidRPr="007A1321">
        <w:rPr>
          <w:rFonts w:cs="Arial"/>
          <w:szCs w:val="22"/>
        </w:rPr>
        <w:t>In May, the Council held its Local Elections</w:t>
      </w:r>
      <w:r w:rsidR="00095541" w:rsidRPr="007A1321">
        <w:rPr>
          <w:rFonts w:cs="Arial"/>
          <w:szCs w:val="22"/>
        </w:rPr>
        <w:t xml:space="preserve"> with an o</w:t>
      </w:r>
      <w:r w:rsidRPr="007A1321">
        <w:rPr>
          <w:rFonts w:cs="Arial"/>
          <w:szCs w:val="22"/>
        </w:rPr>
        <w:t xml:space="preserve">verall turnout </w:t>
      </w:r>
      <w:r w:rsidR="00095541" w:rsidRPr="007A1321">
        <w:rPr>
          <w:rFonts w:cs="Arial"/>
          <w:szCs w:val="22"/>
        </w:rPr>
        <w:t>of</w:t>
      </w:r>
      <w:r w:rsidRPr="007A1321">
        <w:rPr>
          <w:rFonts w:cs="Arial"/>
          <w:szCs w:val="22"/>
        </w:rPr>
        <w:t xml:space="preserve"> 37.36%. Rutland County Council has 27 seats and, following the election,</w:t>
      </w:r>
      <w:r w:rsidR="00095541" w:rsidRPr="007A1321">
        <w:rPr>
          <w:rFonts w:cs="Arial"/>
          <w:szCs w:val="22"/>
        </w:rPr>
        <w:t xml:space="preserve"> it compromised</w:t>
      </w:r>
      <w:r w:rsidRPr="007A1321">
        <w:rPr>
          <w:rFonts w:cs="Arial"/>
          <w:szCs w:val="22"/>
        </w:rPr>
        <w:t>: 15 Conservative councillors, eight Independent councillors, three Liberal Democrat councillors and one Green councillor.</w:t>
      </w:r>
    </w:p>
    <w:p w14:paraId="0AB92B7D" w14:textId="77777777" w:rsidR="00095541" w:rsidRPr="007A1321" w:rsidRDefault="00095541" w:rsidP="00095541">
      <w:pPr>
        <w:rPr>
          <w:rFonts w:cs="Arial"/>
          <w:szCs w:val="22"/>
        </w:rPr>
      </w:pPr>
    </w:p>
    <w:p w14:paraId="19BEFAEF" w14:textId="27B08EA7" w:rsidR="00AF36FF" w:rsidRPr="007A1321" w:rsidRDefault="00095541" w:rsidP="00AF36FF">
      <w:pPr>
        <w:pStyle w:val="NormalWeb"/>
        <w:shd w:val="clear" w:color="auto" w:fill="FFFFFF"/>
        <w:spacing w:before="0" w:beforeAutospacing="0" w:after="240" w:afterAutospacing="0"/>
        <w:rPr>
          <w:sz w:val="22"/>
          <w:szCs w:val="22"/>
        </w:rPr>
      </w:pPr>
      <w:r w:rsidRPr="007A1321">
        <w:rPr>
          <w:sz w:val="22"/>
          <w:szCs w:val="22"/>
          <w:lang w:eastAsia="en-US"/>
        </w:rPr>
        <w:t>Later that month, at</w:t>
      </w:r>
      <w:r w:rsidRPr="007A1321">
        <w:rPr>
          <w:sz w:val="22"/>
          <w:szCs w:val="22"/>
        </w:rPr>
        <w:t xml:space="preserve"> </w:t>
      </w:r>
      <w:r w:rsidR="00AF36FF" w:rsidRPr="007A1321">
        <w:rPr>
          <w:sz w:val="22"/>
          <w:szCs w:val="22"/>
        </w:rPr>
        <w:t>R</w:t>
      </w:r>
      <w:r w:rsidRPr="007A1321">
        <w:rPr>
          <w:sz w:val="22"/>
          <w:szCs w:val="22"/>
        </w:rPr>
        <w:t xml:space="preserve">utland’s Annual Council meeting, </w:t>
      </w:r>
      <w:r w:rsidR="00AF36FF" w:rsidRPr="007A1321">
        <w:rPr>
          <w:sz w:val="22"/>
          <w:szCs w:val="22"/>
        </w:rPr>
        <w:t>Councillor Kenneth Bool (Conservative) was re-elected to serve as the Council’s Chairman. Councillor Oliver Hemsley (Conservative) was re-elected as Council Leader for the next four years, with Councillor Gordon Brown (Conservative) re-appointed as Deputy Leader.</w:t>
      </w:r>
    </w:p>
    <w:p w14:paraId="30FD8758" w14:textId="3050B451" w:rsidR="00095541" w:rsidRPr="007A1321" w:rsidRDefault="006829E8" w:rsidP="00095541">
      <w:pPr>
        <w:shd w:val="clear" w:color="auto" w:fill="FFFFFF"/>
        <w:spacing w:after="240"/>
        <w:rPr>
          <w:rFonts w:cs="Arial"/>
          <w:szCs w:val="22"/>
          <w:lang w:eastAsia="en-GB"/>
        </w:rPr>
      </w:pPr>
      <w:r w:rsidRPr="007A1321">
        <w:rPr>
          <w:rFonts w:cs="Arial"/>
          <w:szCs w:val="22"/>
          <w:lang w:eastAsia="en-GB"/>
        </w:rPr>
        <w:t xml:space="preserve">The Council received the outcome of an </w:t>
      </w:r>
      <w:r w:rsidR="00095541" w:rsidRPr="007A1321">
        <w:rPr>
          <w:rFonts w:cs="Arial"/>
          <w:szCs w:val="22"/>
          <w:lang w:eastAsia="en-GB"/>
        </w:rPr>
        <w:t xml:space="preserve">Ofsted pre-arranged visit to review </w:t>
      </w:r>
      <w:r w:rsidRPr="007A1321">
        <w:rPr>
          <w:rFonts w:cs="Arial"/>
          <w:szCs w:val="22"/>
          <w:lang w:eastAsia="en-GB"/>
        </w:rPr>
        <w:t>the</w:t>
      </w:r>
      <w:r w:rsidR="00095541" w:rsidRPr="007A1321">
        <w:rPr>
          <w:rFonts w:cs="Arial"/>
          <w:szCs w:val="22"/>
          <w:lang w:eastAsia="en-GB"/>
        </w:rPr>
        <w:t xml:space="preserve"> Council’s Children’s Services </w:t>
      </w:r>
      <w:r w:rsidRPr="007A1321">
        <w:rPr>
          <w:rFonts w:cs="Arial"/>
          <w:szCs w:val="22"/>
          <w:lang w:eastAsia="en-GB"/>
        </w:rPr>
        <w:t xml:space="preserve">in May.  </w:t>
      </w:r>
      <w:r w:rsidR="00095541" w:rsidRPr="007A1321">
        <w:rPr>
          <w:rFonts w:cs="Arial"/>
          <w:szCs w:val="22"/>
          <w:lang w:eastAsia="en-GB"/>
        </w:rPr>
        <w:t>In a letter summarising their findings from the visit, inspectors confirmed that: “Child protection investigations are timely, children at risk of significant harm are seen promptly, and actions are taken to ensure and promote their safety.”</w:t>
      </w:r>
      <w:r w:rsidR="00AB6DD5" w:rsidRPr="007A1321">
        <w:rPr>
          <w:rFonts w:cs="Arial"/>
          <w:szCs w:val="22"/>
          <w:lang w:eastAsia="en-GB"/>
        </w:rPr>
        <w:t xml:space="preserve">  </w:t>
      </w:r>
      <w:r w:rsidR="00095541" w:rsidRPr="007A1321">
        <w:rPr>
          <w:rFonts w:cs="Arial"/>
          <w:szCs w:val="22"/>
          <w:lang w:eastAsia="en-GB"/>
        </w:rPr>
        <w:t xml:space="preserve">As part of the focused visit, inspectors also confirmed a </w:t>
      </w:r>
      <w:r w:rsidR="00095541" w:rsidRPr="007A1321">
        <w:rPr>
          <w:rFonts w:cs="Arial"/>
          <w:szCs w:val="22"/>
          <w:lang w:eastAsia="en-GB"/>
        </w:rPr>
        <w:lastRenderedPageBreak/>
        <w:t xml:space="preserve">number of areas </w:t>
      </w:r>
      <w:r w:rsidR="0044585F">
        <w:rPr>
          <w:rFonts w:cs="Arial"/>
          <w:szCs w:val="22"/>
          <w:lang w:eastAsia="en-GB"/>
        </w:rPr>
        <w:t xml:space="preserve">of weakness </w:t>
      </w:r>
      <w:r w:rsidR="00095541" w:rsidRPr="007A1321">
        <w:rPr>
          <w:rFonts w:cs="Arial"/>
          <w:szCs w:val="22"/>
          <w:lang w:eastAsia="en-GB"/>
        </w:rPr>
        <w:t>where changes could help to improve the way that Children’s Services are provided in Rutland.</w:t>
      </w:r>
      <w:r w:rsidR="0044585F">
        <w:rPr>
          <w:rFonts w:cs="Arial"/>
          <w:szCs w:val="22"/>
          <w:lang w:eastAsia="en-GB"/>
        </w:rPr>
        <w:t xml:space="preserve">  Further details are given in the Annual Governance Statement.</w:t>
      </w:r>
    </w:p>
    <w:p w14:paraId="691D593B" w14:textId="5DCD545C" w:rsidR="00AB6DD5" w:rsidRPr="007A1321" w:rsidRDefault="00AB6DD5" w:rsidP="00AB6DD5">
      <w:pPr>
        <w:shd w:val="clear" w:color="auto" w:fill="FFFFFF"/>
        <w:spacing w:after="240"/>
        <w:rPr>
          <w:rFonts w:cs="Arial"/>
          <w:szCs w:val="22"/>
          <w:lang w:eastAsia="en-GB"/>
        </w:rPr>
      </w:pPr>
      <w:r w:rsidRPr="007A1321">
        <w:rPr>
          <w:rFonts w:cs="Arial"/>
          <w:szCs w:val="22"/>
          <w:lang w:eastAsia="en-GB"/>
        </w:rPr>
        <w:t xml:space="preserve">In June, a </w:t>
      </w:r>
      <w:r w:rsidRPr="007A1321">
        <w:rPr>
          <w:rFonts w:cs="Arial"/>
          <w:bCs/>
          <w:szCs w:val="22"/>
          <w:lang w:eastAsia="en-GB"/>
        </w:rPr>
        <w:t>scheduled inspection by the Care Quality Commission (CQC) described the Council’s Community Support Services as providing an ‘Outstanding’ level of care for vulnerable people.</w:t>
      </w:r>
      <w:r w:rsidRPr="007A1321">
        <w:rPr>
          <w:rFonts w:cs="Arial"/>
          <w:szCs w:val="22"/>
          <w:lang w:eastAsia="en-GB"/>
        </w:rPr>
        <w:t xml:space="preserve"> The CQC’s report ranked Rutland’s Community Support Services as good overall and praised Council staff for being “exceptionally caring” – treating service users with compassion, kindness, dignity and respect.</w:t>
      </w:r>
    </w:p>
    <w:p w14:paraId="26F94E69" w14:textId="2A190D0E" w:rsidR="00AB6DD5" w:rsidRPr="007A1321" w:rsidRDefault="00AB6DD5" w:rsidP="00AB6DD5">
      <w:pPr>
        <w:shd w:val="clear" w:color="auto" w:fill="FFFFFF"/>
        <w:spacing w:after="240"/>
        <w:rPr>
          <w:rFonts w:cs="Arial"/>
          <w:szCs w:val="22"/>
          <w:lang w:eastAsia="en-GB"/>
        </w:rPr>
      </w:pPr>
      <w:r w:rsidRPr="007A1321">
        <w:rPr>
          <w:rFonts w:cs="Arial"/>
          <w:szCs w:val="22"/>
          <w:lang w:eastAsia="en-GB"/>
        </w:rPr>
        <w:t>Cabinet approved the Digital Rutland Strategy in June. Digital Rutland is a partnership between Rutland County Council, Building Digital UK (BDUK) and British Telecommunications Plc (BT), and has been connecting local homes and businesses to fibre broadband since 2013. As a direct result of the Digital Rutland and together with commercial services, superfast broadband is now available to around 96% of premises in Rutland – a figure that is expected to rise to more than 97%.</w:t>
      </w:r>
    </w:p>
    <w:p w14:paraId="58F35A64" w14:textId="77777777" w:rsidR="00AB6DD5" w:rsidRPr="007A1321" w:rsidRDefault="00AB6DD5" w:rsidP="00AB6DD5">
      <w:pPr>
        <w:shd w:val="clear" w:color="auto" w:fill="FFFFFF"/>
        <w:spacing w:after="240"/>
        <w:rPr>
          <w:rFonts w:cs="Arial"/>
          <w:szCs w:val="22"/>
          <w:lang w:eastAsia="en-GB"/>
        </w:rPr>
      </w:pPr>
      <w:r w:rsidRPr="007A1321">
        <w:rPr>
          <w:rFonts w:cs="Arial"/>
          <w:szCs w:val="22"/>
          <w:lang w:eastAsia="en-GB"/>
        </w:rPr>
        <w:t>Full fibre coverage in Rutland is currently at 19.67%, well above the UK figure of 7.57%. Under the new Digital Rutland Strategy, the Council aims achieve up to 50% full fibre coverage. </w:t>
      </w:r>
    </w:p>
    <w:p w14:paraId="72584566" w14:textId="65624ED1" w:rsidR="00AB6DD5" w:rsidRPr="007A1321" w:rsidRDefault="00AB6DD5" w:rsidP="00AB6DD5">
      <w:pPr>
        <w:shd w:val="clear" w:color="auto" w:fill="FFFFFF"/>
        <w:spacing w:after="240"/>
        <w:rPr>
          <w:rFonts w:cs="Arial"/>
          <w:szCs w:val="22"/>
          <w:lang w:eastAsia="en-GB"/>
        </w:rPr>
      </w:pPr>
      <w:r w:rsidRPr="007A1321">
        <w:rPr>
          <w:rFonts w:cs="Arial"/>
          <w:bCs/>
          <w:szCs w:val="22"/>
          <w:lang w:eastAsia="en-GB"/>
        </w:rPr>
        <w:t>In June, Rutland was successful in a bid to join the Government’s Garden Communities programme, to help shape proposals for the possible future redevelopment of St. George’s Barracks in North Luffenham.</w:t>
      </w:r>
    </w:p>
    <w:p w14:paraId="015DA2EC" w14:textId="07811CB0" w:rsidR="00AB6DD5" w:rsidRPr="007A1321" w:rsidRDefault="00AB6DD5" w:rsidP="00AB6DD5">
      <w:pPr>
        <w:shd w:val="clear" w:color="auto" w:fill="FFFFFF"/>
        <w:spacing w:after="240"/>
        <w:rPr>
          <w:rFonts w:cs="Arial"/>
          <w:szCs w:val="22"/>
          <w:lang w:eastAsia="en-GB"/>
        </w:rPr>
      </w:pPr>
      <w:r w:rsidRPr="007A1321">
        <w:rPr>
          <w:rFonts w:cs="Arial"/>
          <w:szCs w:val="22"/>
          <w:lang w:eastAsia="en-GB"/>
        </w:rPr>
        <w:t>MHC</w:t>
      </w:r>
      <w:r w:rsidR="00C66B8E" w:rsidRPr="007A1321">
        <w:rPr>
          <w:rFonts w:cs="Arial"/>
          <w:szCs w:val="22"/>
          <w:lang w:eastAsia="en-GB"/>
        </w:rPr>
        <w:t>LG announced that St. George’s wa</w:t>
      </w:r>
      <w:r w:rsidRPr="007A1321">
        <w:rPr>
          <w:rFonts w:cs="Arial"/>
          <w:szCs w:val="22"/>
          <w:lang w:eastAsia="en-GB"/>
        </w:rPr>
        <w:t>s one of 19 successful bids to the Garden Communities programme and will receive a proportion of £3million grant funding to help develop design and layout proposals that include the creation of innovative new dementia-friendly neighbourhoods.</w:t>
      </w:r>
      <w:r w:rsidR="004570B3" w:rsidRPr="007A1321">
        <w:rPr>
          <w:rFonts w:cs="Arial"/>
          <w:szCs w:val="22"/>
          <w:lang w:eastAsia="en-GB"/>
        </w:rPr>
        <w:t xml:space="preserve"> </w:t>
      </w:r>
      <w:r w:rsidRPr="007A1321">
        <w:rPr>
          <w:rFonts w:cs="Arial"/>
          <w:szCs w:val="22"/>
          <w:lang w:eastAsia="en-GB"/>
        </w:rPr>
        <w:t>St. George’s Barracks is due to close in 2021/22, which has led to proposals for a new Garden Community that would include up to 2,215 new homes, space for new businesses, a new primary school, healthcare facilities and a country park.</w:t>
      </w:r>
    </w:p>
    <w:p w14:paraId="036219E2" w14:textId="2458A9E4" w:rsidR="004570B3" w:rsidRPr="007A1321" w:rsidRDefault="00C66B8E" w:rsidP="004570B3">
      <w:pPr>
        <w:pStyle w:val="NormalWeb"/>
        <w:shd w:val="clear" w:color="auto" w:fill="FFFFFF"/>
        <w:spacing w:before="0" w:beforeAutospacing="0" w:after="240" w:afterAutospacing="0"/>
        <w:rPr>
          <w:sz w:val="22"/>
          <w:szCs w:val="22"/>
        </w:rPr>
      </w:pPr>
      <w:r w:rsidRPr="007A1321">
        <w:rPr>
          <w:rStyle w:val="Strong"/>
          <w:rFonts w:cs="Arial"/>
          <w:b w:val="0"/>
          <w:sz w:val="22"/>
          <w:szCs w:val="22"/>
        </w:rPr>
        <w:t>In July, the Council beca</w:t>
      </w:r>
      <w:r w:rsidR="004570B3" w:rsidRPr="007A1321">
        <w:rPr>
          <w:rStyle w:val="Strong"/>
          <w:rFonts w:cs="Arial"/>
          <w:b w:val="0"/>
          <w:sz w:val="22"/>
          <w:szCs w:val="22"/>
        </w:rPr>
        <w:t>me one of 12 rural local authorities aiming to create a decentralised economy in Britain.</w:t>
      </w:r>
      <w:r w:rsidR="004570B3" w:rsidRPr="007A1321">
        <w:rPr>
          <w:sz w:val="22"/>
          <w:szCs w:val="22"/>
        </w:rPr>
        <w:t xml:space="preserve"> Called Britain’s Leading Edge, the collaboration of local county councils, including Cornwall, Lincolnshire and Rutland, </w:t>
      </w:r>
      <w:r w:rsidRPr="007A1321">
        <w:rPr>
          <w:sz w:val="22"/>
          <w:szCs w:val="22"/>
        </w:rPr>
        <w:t>and</w:t>
      </w:r>
      <w:r w:rsidR="004570B3" w:rsidRPr="007A1321">
        <w:rPr>
          <w:sz w:val="22"/>
          <w:szCs w:val="22"/>
        </w:rPr>
        <w:t xml:space="preserve"> </w:t>
      </w:r>
      <w:r w:rsidRPr="007A1321">
        <w:rPr>
          <w:sz w:val="22"/>
          <w:szCs w:val="22"/>
        </w:rPr>
        <w:t xml:space="preserve">urged </w:t>
      </w:r>
      <w:r w:rsidR="004570B3" w:rsidRPr="007A1321">
        <w:rPr>
          <w:sz w:val="22"/>
          <w:szCs w:val="22"/>
        </w:rPr>
        <w:t>the Government to reallocate public funding and investment decisions to better reflect the contribution rural are</w:t>
      </w:r>
      <w:r w:rsidRPr="007A1321">
        <w:rPr>
          <w:sz w:val="22"/>
          <w:szCs w:val="22"/>
        </w:rPr>
        <w:t>as make to the national economy.</w:t>
      </w:r>
    </w:p>
    <w:p w14:paraId="7A2287D1" w14:textId="424495A3" w:rsidR="00C66B8E" w:rsidRPr="007A1321" w:rsidRDefault="00CE28C5" w:rsidP="00C66B8E">
      <w:pPr>
        <w:shd w:val="clear" w:color="auto" w:fill="FFFFFF"/>
        <w:spacing w:after="240"/>
        <w:rPr>
          <w:rFonts w:cs="Arial"/>
          <w:szCs w:val="22"/>
          <w:lang w:eastAsia="en-GB"/>
        </w:rPr>
      </w:pPr>
      <w:r w:rsidRPr="007A1321">
        <w:rPr>
          <w:rFonts w:cs="Arial"/>
          <w:szCs w:val="22"/>
          <w:lang w:eastAsia="en-GB"/>
        </w:rPr>
        <w:t>Having been reviewed and approved by Cabinet in July</w:t>
      </w:r>
      <w:r w:rsidRPr="007A1321">
        <w:rPr>
          <w:rFonts w:cs="Arial"/>
          <w:bCs/>
          <w:szCs w:val="22"/>
          <w:lang w:eastAsia="en-GB"/>
        </w:rPr>
        <w:t xml:space="preserve"> ‘Moving Rutland Forward’ (MRF) set out a long-term vision that will support the development of new Council-led, resident-focused transport policies around bus travel, driving, cycling and walking. </w:t>
      </w:r>
      <w:r w:rsidR="00C66B8E" w:rsidRPr="007A1321">
        <w:rPr>
          <w:rFonts w:cs="Arial"/>
          <w:szCs w:val="22"/>
          <w:lang w:eastAsia="en-GB"/>
        </w:rPr>
        <w:t xml:space="preserve">The Plan </w:t>
      </w:r>
      <w:r w:rsidR="00FA361F" w:rsidRPr="007A1321">
        <w:rPr>
          <w:rFonts w:cs="Arial"/>
          <w:szCs w:val="22"/>
          <w:lang w:eastAsia="en-GB"/>
        </w:rPr>
        <w:t xml:space="preserve">was approved by Council in August </w:t>
      </w:r>
      <w:r w:rsidR="00C66B8E" w:rsidRPr="007A1321">
        <w:rPr>
          <w:rFonts w:cs="Arial"/>
          <w:szCs w:val="22"/>
          <w:lang w:eastAsia="en-GB"/>
        </w:rPr>
        <w:t>run</w:t>
      </w:r>
      <w:r w:rsidRPr="007A1321">
        <w:rPr>
          <w:rFonts w:cs="Arial"/>
          <w:szCs w:val="22"/>
          <w:lang w:eastAsia="en-GB"/>
        </w:rPr>
        <w:t>s t</w:t>
      </w:r>
      <w:r w:rsidR="00C66B8E" w:rsidRPr="007A1321">
        <w:rPr>
          <w:rFonts w:cs="Arial"/>
          <w:szCs w:val="22"/>
          <w:lang w:eastAsia="en-GB"/>
        </w:rPr>
        <w:t>o 2036 and is intended to be a ‘living document’, meaning it remains flexible and can continue to be adapted. Other individual policies will be developed around specific transport issues, requiring input from local residents and service users.</w:t>
      </w:r>
    </w:p>
    <w:p w14:paraId="135EA6FE" w14:textId="370C68B7" w:rsidR="008650EA" w:rsidRPr="007A1321" w:rsidRDefault="008650EA" w:rsidP="008650EA">
      <w:pPr>
        <w:shd w:val="clear" w:color="auto" w:fill="FFFFFF"/>
        <w:spacing w:before="100" w:beforeAutospacing="1" w:after="100" w:afterAutospacing="1"/>
        <w:rPr>
          <w:rFonts w:cs="Arial"/>
          <w:szCs w:val="22"/>
          <w:lang w:eastAsia="en-GB"/>
        </w:rPr>
      </w:pPr>
      <w:r w:rsidRPr="007A1321">
        <w:rPr>
          <w:rFonts w:cs="Arial"/>
          <w:szCs w:val="22"/>
          <w:lang w:eastAsia="en-GB"/>
        </w:rPr>
        <w:t xml:space="preserve">In August, the Council </w:t>
      </w:r>
      <w:r w:rsidRPr="007A1321">
        <w:rPr>
          <w:rFonts w:cs="Arial"/>
          <w:bCs/>
          <w:szCs w:val="22"/>
        </w:rPr>
        <w:t>announced that it will not be continuing plans to bring forward the Officers Mess site in advance of the redevelopment of St. George’s Barracks</w:t>
      </w:r>
      <w:r w:rsidRPr="007A1321">
        <w:rPr>
          <w:rFonts w:cs="Arial"/>
          <w:szCs w:val="22"/>
        </w:rPr>
        <w:t>. The Council undertook feasibility assessments to understand the potential risks and opportunities of redeveloping the site using public money. The outcome of the assessments and the delayed vacation of the site by the Ministry of Defence until 2022 informed the decision which has resulted in the Council to not pursue the redevelopment at this time.</w:t>
      </w:r>
    </w:p>
    <w:p w14:paraId="551E3226" w14:textId="27CC8CA4" w:rsidR="008650EA" w:rsidRPr="007A1321" w:rsidRDefault="008650EA" w:rsidP="008650EA">
      <w:pPr>
        <w:shd w:val="clear" w:color="auto" w:fill="FFFFFF"/>
        <w:spacing w:after="240"/>
        <w:rPr>
          <w:rFonts w:cs="Arial"/>
          <w:szCs w:val="24"/>
          <w:lang w:eastAsia="en-GB"/>
        </w:rPr>
      </w:pPr>
      <w:r w:rsidRPr="007A1321">
        <w:rPr>
          <w:rFonts w:cs="Arial"/>
          <w:bCs/>
          <w:szCs w:val="24"/>
          <w:lang w:eastAsia="en-GB"/>
        </w:rPr>
        <w:t xml:space="preserve">In relation to St. George’s Barracks, </w:t>
      </w:r>
      <w:r w:rsidRPr="007A1321">
        <w:rPr>
          <w:rFonts w:cs="Arial"/>
          <w:szCs w:val="24"/>
          <w:lang w:eastAsia="en-GB"/>
        </w:rPr>
        <w:t>members of the St. George’s Parish Council Advisory group, which is made up of Parish Council representatives from wards affected by the potential redevelopment of the site, were offered the opportunity to join the groups. The three groups were aimed at: </w:t>
      </w:r>
    </w:p>
    <w:p w14:paraId="0276D0D9" w14:textId="38B78F23" w:rsidR="008650EA" w:rsidRPr="007A1321" w:rsidRDefault="008650EA" w:rsidP="00203885">
      <w:pPr>
        <w:numPr>
          <w:ilvl w:val="0"/>
          <w:numId w:val="30"/>
        </w:numPr>
        <w:shd w:val="clear" w:color="auto" w:fill="FFFFFF"/>
        <w:spacing w:before="100" w:beforeAutospacing="1" w:after="100" w:afterAutospacing="1"/>
        <w:rPr>
          <w:rFonts w:cs="Arial"/>
          <w:szCs w:val="24"/>
          <w:lang w:eastAsia="en-GB"/>
        </w:rPr>
      </w:pPr>
      <w:r w:rsidRPr="007A1321">
        <w:rPr>
          <w:rFonts w:cs="Arial"/>
          <w:szCs w:val="24"/>
          <w:lang w:eastAsia="en-GB"/>
        </w:rPr>
        <w:t>The design of the site, including developing a design code for the St. George’s project to support a County-wide Design Code</w:t>
      </w:r>
    </w:p>
    <w:p w14:paraId="2336BDAC" w14:textId="504D8832" w:rsidR="008650EA" w:rsidRPr="007A1321" w:rsidRDefault="008650EA" w:rsidP="00203885">
      <w:pPr>
        <w:numPr>
          <w:ilvl w:val="0"/>
          <w:numId w:val="30"/>
        </w:numPr>
        <w:shd w:val="clear" w:color="auto" w:fill="FFFFFF"/>
        <w:spacing w:before="100" w:beforeAutospacing="1" w:after="100" w:afterAutospacing="1"/>
        <w:rPr>
          <w:rFonts w:cs="Arial"/>
          <w:szCs w:val="24"/>
          <w:lang w:eastAsia="en-GB"/>
        </w:rPr>
      </w:pPr>
      <w:r w:rsidRPr="007A1321">
        <w:rPr>
          <w:rFonts w:cs="Arial"/>
          <w:szCs w:val="24"/>
          <w:lang w:eastAsia="en-GB"/>
        </w:rPr>
        <w:t>The creation of employment within the St. George’s site;</w:t>
      </w:r>
    </w:p>
    <w:p w14:paraId="061722BE" w14:textId="73E6CAB2" w:rsidR="008650EA" w:rsidRPr="007A1321" w:rsidRDefault="008650EA" w:rsidP="00203885">
      <w:pPr>
        <w:numPr>
          <w:ilvl w:val="0"/>
          <w:numId w:val="30"/>
        </w:numPr>
        <w:shd w:val="clear" w:color="auto" w:fill="FFFFFF"/>
        <w:spacing w:before="100" w:beforeAutospacing="1" w:after="100" w:afterAutospacing="1"/>
        <w:rPr>
          <w:rFonts w:cs="Arial"/>
          <w:szCs w:val="24"/>
          <w:lang w:eastAsia="en-GB"/>
        </w:rPr>
      </w:pPr>
      <w:r w:rsidRPr="007A1321">
        <w:rPr>
          <w:rFonts w:cs="Arial"/>
          <w:szCs w:val="24"/>
          <w:lang w:eastAsia="en-GB"/>
        </w:rPr>
        <w:t>Off-site Highways and Transportation infrastructure and design</w:t>
      </w:r>
    </w:p>
    <w:p w14:paraId="153F263C" w14:textId="77777777" w:rsidR="008650EA" w:rsidRPr="007A1321" w:rsidRDefault="008650EA" w:rsidP="008650EA">
      <w:pPr>
        <w:shd w:val="clear" w:color="auto" w:fill="FFFFFF"/>
        <w:spacing w:after="240"/>
        <w:rPr>
          <w:rFonts w:cs="Arial"/>
          <w:szCs w:val="24"/>
          <w:lang w:eastAsia="en-GB"/>
        </w:rPr>
      </w:pPr>
      <w:r w:rsidRPr="007A1321">
        <w:rPr>
          <w:rFonts w:cs="Arial"/>
          <w:szCs w:val="24"/>
          <w:lang w:eastAsia="en-GB"/>
        </w:rPr>
        <w:lastRenderedPageBreak/>
        <w:t>The feedback and findings of these groups will then be provided to the Ministry of Defence to inform the development of a more detailed ‘Evolving Masterplan’ for St. George’s Barracks.</w:t>
      </w:r>
    </w:p>
    <w:p w14:paraId="3109642E" w14:textId="613C2A97" w:rsidR="008650EA" w:rsidRPr="007A1321" w:rsidRDefault="008650EA" w:rsidP="008650EA">
      <w:pPr>
        <w:shd w:val="clear" w:color="auto" w:fill="FFFFFF"/>
        <w:spacing w:after="240"/>
        <w:rPr>
          <w:rFonts w:cs="Arial"/>
          <w:szCs w:val="22"/>
          <w:lang w:eastAsia="en-GB"/>
        </w:rPr>
      </w:pPr>
      <w:r w:rsidRPr="007A1321">
        <w:rPr>
          <w:rFonts w:cs="Arial"/>
          <w:szCs w:val="22"/>
          <w:lang w:eastAsia="en-GB"/>
        </w:rPr>
        <w:t>The Council started a consultation on extending council tax premiums applied to Empty Homes.  The Government has given local authorities the ability to set a premium for long-term empty homes. These premiums increase the amount of Council Tax that property owners are required to pay if their home has been left vacant for more than two years.</w:t>
      </w:r>
    </w:p>
    <w:p w14:paraId="755515A2" w14:textId="39D93161" w:rsidR="007F62C8" w:rsidRPr="007A1321" w:rsidRDefault="008650EA" w:rsidP="008650EA">
      <w:pPr>
        <w:shd w:val="clear" w:color="auto" w:fill="FFFFFF"/>
        <w:spacing w:after="240"/>
        <w:rPr>
          <w:rFonts w:cs="Arial"/>
          <w:szCs w:val="22"/>
          <w:lang w:eastAsia="en-GB"/>
        </w:rPr>
      </w:pPr>
      <w:r w:rsidRPr="007A1321">
        <w:rPr>
          <w:rFonts w:cs="Arial"/>
          <w:bCs/>
          <w:szCs w:val="22"/>
          <w:lang w:eastAsia="en-GB"/>
        </w:rPr>
        <w:t xml:space="preserve">In </w:t>
      </w:r>
      <w:r w:rsidR="007F62C8" w:rsidRPr="007A1321">
        <w:rPr>
          <w:rFonts w:cs="Arial"/>
          <w:szCs w:val="22"/>
          <w:lang w:eastAsia="en-GB"/>
        </w:rPr>
        <w:t>September, the Council produced its annual report.  The Council narrowly missed out on just seven of its 48 targets for the year and, in all cases, steps were to close any gaps.  Headlines included:</w:t>
      </w:r>
    </w:p>
    <w:p w14:paraId="3D5F1649" w14:textId="77777777" w:rsidR="007F62C8" w:rsidRPr="007A1321" w:rsidRDefault="007F62C8" w:rsidP="00203885">
      <w:pPr>
        <w:numPr>
          <w:ilvl w:val="0"/>
          <w:numId w:val="31"/>
        </w:numPr>
        <w:shd w:val="clear" w:color="auto" w:fill="FFFFFF"/>
        <w:spacing w:before="100" w:beforeAutospacing="1" w:after="100" w:afterAutospacing="1"/>
        <w:rPr>
          <w:rFonts w:cs="Arial"/>
          <w:szCs w:val="22"/>
          <w:lang w:eastAsia="en-GB"/>
        </w:rPr>
      </w:pPr>
      <w:r w:rsidRPr="007A1321">
        <w:rPr>
          <w:rFonts w:cs="Arial"/>
          <w:szCs w:val="22"/>
          <w:lang w:eastAsia="en-GB"/>
        </w:rPr>
        <w:t>98% of Rutland residents admitted to hospital were still at home 91 days after being discharged back into the community</w:t>
      </w:r>
    </w:p>
    <w:p w14:paraId="03E6B089" w14:textId="77777777" w:rsidR="007F62C8" w:rsidRPr="007A1321" w:rsidRDefault="007F62C8" w:rsidP="00203885">
      <w:pPr>
        <w:numPr>
          <w:ilvl w:val="0"/>
          <w:numId w:val="31"/>
        </w:numPr>
        <w:shd w:val="clear" w:color="auto" w:fill="FFFFFF"/>
        <w:spacing w:before="100" w:beforeAutospacing="1" w:after="100" w:afterAutospacing="1"/>
        <w:rPr>
          <w:rFonts w:cs="Arial"/>
          <w:szCs w:val="22"/>
          <w:lang w:eastAsia="en-GB"/>
        </w:rPr>
      </w:pPr>
      <w:r w:rsidRPr="007A1321">
        <w:rPr>
          <w:rFonts w:cs="Arial"/>
          <w:szCs w:val="22"/>
          <w:lang w:eastAsia="en-GB"/>
        </w:rPr>
        <w:t>A total of 63 affordable homes were delivered within the county, surpassing the target of 45</w:t>
      </w:r>
    </w:p>
    <w:p w14:paraId="440F2C38" w14:textId="77777777" w:rsidR="007F62C8" w:rsidRPr="007A1321" w:rsidRDefault="007F62C8" w:rsidP="00203885">
      <w:pPr>
        <w:numPr>
          <w:ilvl w:val="0"/>
          <w:numId w:val="31"/>
        </w:numPr>
        <w:shd w:val="clear" w:color="auto" w:fill="FFFFFF"/>
        <w:spacing w:before="100" w:beforeAutospacing="1" w:after="100" w:afterAutospacing="1"/>
        <w:rPr>
          <w:rFonts w:cs="Arial"/>
          <w:szCs w:val="22"/>
          <w:lang w:eastAsia="en-GB"/>
        </w:rPr>
      </w:pPr>
      <w:r w:rsidRPr="007A1321">
        <w:rPr>
          <w:rFonts w:cs="Arial"/>
          <w:szCs w:val="22"/>
          <w:lang w:eastAsia="en-GB"/>
        </w:rPr>
        <w:t>84% of all Adult Social Care reviews were completed on time</w:t>
      </w:r>
    </w:p>
    <w:p w14:paraId="113F64EC" w14:textId="77777777" w:rsidR="007F62C8" w:rsidRPr="007A1321" w:rsidRDefault="007F62C8" w:rsidP="00203885">
      <w:pPr>
        <w:numPr>
          <w:ilvl w:val="0"/>
          <w:numId w:val="31"/>
        </w:numPr>
        <w:shd w:val="clear" w:color="auto" w:fill="FFFFFF"/>
        <w:spacing w:before="100" w:beforeAutospacing="1" w:after="100" w:afterAutospacing="1"/>
        <w:rPr>
          <w:rFonts w:cs="Arial"/>
          <w:szCs w:val="22"/>
          <w:lang w:eastAsia="en-GB"/>
        </w:rPr>
      </w:pPr>
      <w:r w:rsidRPr="007A1321">
        <w:rPr>
          <w:rFonts w:cs="Arial"/>
          <w:szCs w:val="22"/>
          <w:lang w:eastAsia="en-GB"/>
        </w:rPr>
        <w:t>18.9% if young people achieved three or more A Grades at A-level (6% higher than the national average)</w:t>
      </w:r>
    </w:p>
    <w:p w14:paraId="10A7E5EE" w14:textId="76D89909" w:rsidR="007F62C8" w:rsidRPr="007A1321" w:rsidRDefault="007F62C8" w:rsidP="00203885">
      <w:pPr>
        <w:numPr>
          <w:ilvl w:val="0"/>
          <w:numId w:val="31"/>
        </w:numPr>
        <w:shd w:val="clear" w:color="auto" w:fill="FFFFFF"/>
        <w:spacing w:before="100" w:beforeAutospacing="1" w:after="100" w:afterAutospacing="1"/>
        <w:rPr>
          <w:rFonts w:cs="Arial"/>
          <w:szCs w:val="22"/>
          <w:lang w:eastAsia="en-GB"/>
        </w:rPr>
      </w:pPr>
      <w:r w:rsidRPr="007A1321">
        <w:rPr>
          <w:rFonts w:cs="Arial"/>
          <w:szCs w:val="22"/>
          <w:lang w:eastAsia="en-GB"/>
        </w:rPr>
        <w:t>93% of child safeguarding assessments were completed within the required 45-day timeframe</w:t>
      </w:r>
    </w:p>
    <w:p w14:paraId="142CA81E" w14:textId="77777777" w:rsidR="007F62C8" w:rsidRPr="007A1321" w:rsidRDefault="007F62C8" w:rsidP="00203885">
      <w:pPr>
        <w:numPr>
          <w:ilvl w:val="0"/>
          <w:numId w:val="31"/>
        </w:numPr>
        <w:shd w:val="clear" w:color="auto" w:fill="FFFFFF"/>
        <w:spacing w:before="100" w:beforeAutospacing="1" w:after="100" w:afterAutospacing="1"/>
        <w:rPr>
          <w:rFonts w:cs="Arial"/>
          <w:szCs w:val="22"/>
          <w:lang w:eastAsia="en-GB"/>
        </w:rPr>
      </w:pPr>
      <w:r w:rsidRPr="007A1321">
        <w:rPr>
          <w:rFonts w:cs="Arial"/>
          <w:szCs w:val="22"/>
          <w:lang w:eastAsia="en-GB"/>
        </w:rPr>
        <w:t>56% of Rutland’s waste was sent for recycling</w:t>
      </w:r>
    </w:p>
    <w:p w14:paraId="554D539F" w14:textId="5160F41A" w:rsidR="007F62C8" w:rsidRPr="007A1321" w:rsidRDefault="007F62C8" w:rsidP="007F62C8">
      <w:pPr>
        <w:shd w:val="clear" w:color="auto" w:fill="FFFFFF"/>
        <w:spacing w:after="240"/>
        <w:rPr>
          <w:rFonts w:cs="Arial"/>
          <w:szCs w:val="22"/>
          <w:lang w:eastAsia="en-GB"/>
        </w:rPr>
      </w:pPr>
      <w:r w:rsidRPr="007A1321">
        <w:rPr>
          <w:rFonts w:cs="Arial"/>
          <w:bCs/>
          <w:szCs w:val="22"/>
          <w:lang w:eastAsia="en-GB"/>
        </w:rPr>
        <w:t>In October, the Council agreed a raft of new targets, initiatives and actions to help in the global fight against climate change.</w:t>
      </w:r>
      <w:r w:rsidRPr="007A1321">
        <w:rPr>
          <w:rFonts w:cs="Arial"/>
          <w:szCs w:val="22"/>
          <w:lang w:eastAsia="en-GB"/>
        </w:rPr>
        <w:t xml:space="preserve"> Among the measures put forward as part of Rutland County Council’s Climate Change Action Motion are commitments to:</w:t>
      </w:r>
    </w:p>
    <w:p w14:paraId="128DDDBF" w14:textId="77777777" w:rsidR="007F62C8" w:rsidRPr="007A1321" w:rsidRDefault="007F62C8" w:rsidP="00203885">
      <w:pPr>
        <w:numPr>
          <w:ilvl w:val="0"/>
          <w:numId w:val="32"/>
        </w:numPr>
        <w:shd w:val="clear" w:color="auto" w:fill="FFFFFF"/>
        <w:spacing w:before="100" w:beforeAutospacing="1" w:after="100" w:afterAutospacing="1"/>
        <w:rPr>
          <w:rFonts w:cs="Arial"/>
          <w:szCs w:val="22"/>
          <w:lang w:eastAsia="en-GB"/>
        </w:rPr>
      </w:pPr>
      <w:r w:rsidRPr="007A1321">
        <w:rPr>
          <w:rFonts w:cs="Arial"/>
          <w:szCs w:val="22"/>
          <w:lang w:eastAsia="en-GB"/>
        </w:rPr>
        <w:t>Make sure the Council’s activities achieve a net-zero carbon footprint before 2050</w:t>
      </w:r>
    </w:p>
    <w:p w14:paraId="678099D6" w14:textId="77777777" w:rsidR="007F62C8" w:rsidRPr="007A1321" w:rsidRDefault="007F62C8" w:rsidP="00203885">
      <w:pPr>
        <w:numPr>
          <w:ilvl w:val="0"/>
          <w:numId w:val="32"/>
        </w:numPr>
        <w:shd w:val="clear" w:color="auto" w:fill="FFFFFF"/>
        <w:spacing w:before="100" w:beforeAutospacing="1" w:after="100" w:afterAutospacing="1"/>
        <w:rPr>
          <w:rFonts w:cs="Arial"/>
          <w:szCs w:val="22"/>
          <w:lang w:eastAsia="en-GB"/>
        </w:rPr>
      </w:pPr>
      <w:r w:rsidRPr="007A1321">
        <w:rPr>
          <w:rFonts w:cs="Arial"/>
          <w:szCs w:val="22"/>
          <w:lang w:eastAsia="en-GB"/>
        </w:rPr>
        <w:t>Achieve 100% clean energy across all council functions by 2050 or earlier</w:t>
      </w:r>
    </w:p>
    <w:p w14:paraId="4B9AA273" w14:textId="77777777" w:rsidR="007F62C8" w:rsidRPr="007A1321" w:rsidRDefault="007F62C8" w:rsidP="00203885">
      <w:pPr>
        <w:numPr>
          <w:ilvl w:val="0"/>
          <w:numId w:val="32"/>
        </w:numPr>
        <w:shd w:val="clear" w:color="auto" w:fill="FFFFFF"/>
        <w:spacing w:before="100" w:beforeAutospacing="1" w:after="100" w:afterAutospacing="1"/>
        <w:rPr>
          <w:rFonts w:cs="Arial"/>
          <w:szCs w:val="22"/>
          <w:lang w:eastAsia="en-GB"/>
        </w:rPr>
      </w:pPr>
      <w:r w:rsidRPr="007A1321">
        <w:rPr>
          <w:rFonts w:cs="Arial"/>
          <w:szCs w:val="22"/>
          <w:lang w:eastAsia="en-GB"/>
        </w:rPr>
        <w:t>Provide a climate change impact assessment on all relevant council decisions</w:t>
      </w:r>
    </w:p>
    <w:p w14:paraId="0656EB59" w14:textId="77777777" w:rsidR="007F62C8" w:rsidRPr="007A1321" w:rsidRDefault="007F62C8" w:rsidP="00203885">
      <w:pPr>
        <w:numPr>
          <w:ilvl w:val="0"/>
          <w:numId w:val="32"/>
        </w:numPr>
        <w:shd w:val="clear" w:color="auto" w:fill="FFFFFF"/>
        <w:spacing w:before="100" w:beforeAutospacing="1" w:after="100" w:afterAutospacing="1"/>
        <w:rPr>
          <w:rFonts w:cs="Arial"/>
          <w:szCs w:val="22"/>
          <w:lang w:eastAsia="en-GB"/>
        </w:rPr>
      </w:pPr>
      <w:r w:rsidRPr="007A1321">
        <w:rPr>
          <w:rFonts w:cs="Arial"/>
          <w:szCs w:val="22"/>
          <w:lang w:eastAsia="en-GB"/>
        </w:rPr>
        <w:t>Request that scrutiny panels consider the impact of climate change and the environment when reviewing council policies and strategies</w:t>
      </w:r>
    </w:p>
    <w:p w14:paraId="76AA1A03" w14:textId="011BE524" w:rsidR="0044585F" w:rsidRPr="0044585F" w:rsidRDefault="007F62C8" w:rsidP="00203885">
      <w:pPr>
        <w:numPr>
          <w:ilvl w:val="0"/>
          <w:numId w:val="32"/>
        </w:numPr>
        <w:shd w:val="clear" w:color="auto" w:fill="FFFFFF"/>
        <w:spacing w:before="100" w:beforeAutospacing="1" w:after="100" w:afterAutospacing="1"/>
        <w:rPr>
          <w:rFonts w:cs="Arial"/>
          <w:szCs w:val="22"/>
          <w:lang w:eastAsia="en-GB"/>
        </w:rPr>
      </w:pPr>
      <w:r w:rsidRPr="007A1321">
        <w:rPr>
          <w:rFonts w:cs="Arial"/>
          <w:szCs w:val="22"/>
          <w:lang w:eastAsia="en-GB"/>
        </w:rPr>
        <w:t>Review council activities to take account of production and consumption emissions</w:t>
      </w:r>
    </w:p>
    <w:p w14:paraId="60A68CA8" w14:textId="443F8861" w:rsidR="007F62C8" w:rsidRPr="007A1321" w:rsidRDefault="007F62C8" w:rsidP="007F62C8">
      <w:pPr>
        <w:shd w:val="clear" w:color="auto" w:fill="FFFFFF"/>
        <w:spacing w:after="240"/>
        <w:rPr>
          <w:rFonts w:cs="Arial"/>
          <w:szCs w:val="22"/>
          <w:lang w:eastAsia="en-GB"/>
        </w:rPr>
      </w:pPr>
      <w:r w:rsidRPr="007A1321">
        <w:rPr>
          <w:rFonts w:cs="Arial"/>
          <w:szCs w:val="22"/>
          <w:lang w:eastAsia="en-GB"/>
        </w:rPr>
        <w:t>In addition Full Council approved the creation of a new Task and Finish group to develop a Biodiversity Strategy for Rutland.</w:t>
      </w:r>
    </w:p>
    <w:p w14:paraId="7A6F93CB" w14:textId="06BBFC5F" w:rsidR="005F2DB2" w:rsidRPr="007A1321" w:rsidRDefault="005F2DB2" w:rsidP="005F2DB2">
      <w:pPr>
        <w:shd w:val="clear" w:color="auto" w:fill="FFFFFF"/>
        <w:spacing w:after="240"/>
        <w:rPr>
          <w:rFonts w:cs="Arial"/>
          <w:szCs w:val="22"/>
          <w:lang w:eastAsia="en-GB"/>
        </w:rPr>
      </w:pPr>
      <w:r w:rsidRPr="007A1321">
        <w:rPr>
          <w:rFonts w:cs="Arial"/>
          <w:bCs/>
          <w:szCs w:val="22"/>
          <w:lang w:eastAsia="en-GB"/>
        </w:rPr>
        <w:t xml:space="preserve">In November, the Council received news that it would be offered a £29.4m investment from the Housing Infrastructure Fund into infrastructure to support the proposed redevelopment of St. George’s Barracks at North Luffenham.  </w:t>
      </w:r>
      <w:r w:rsidRPr="007A1321">
        <w:rPr>
          <w:rFonts w:cs="Arial"/>
          <w:szCs w:val="22"/>
          <w:lang w:eastAsia="en-GB"/>
        </w:rPr>
        <w:t>The successful bid meant that essential infrastructure works could be brought about in advance of the site’s redevelopment – ensuring appropriate and timely investment in infrastructure and local public services, including upgraded roads and junctions, new healthcare facilities and public transport.</w:t>
      </w:r>
    </w:p>
    <w:p w14:paraId="24944D18" w14:textId="6122AE00" w:rsidR="005F2DB2" w:rsidRPr="007A1321" w:rsidRDefault="005F2DB2" w:rsidP="005F2DB2">
      <w:pPr>
        <w:shd w:val="clear" w:color="auto" w:fill="FFFFFF"/>
        <w:spacing w:after="240"/>
        <w:rPr>
          <w:rFonts w:cs="Arial"/>
          <w:szCs w:val="22"/>
          <w:lang w:eastAsia="en-GB"/>
        </w:rPr>
      </w:pPr>
      <w:r w:rsidRPr="007A1321">
        <w:rPr>
          <w:rFonts w:cs="Arial"/>
          <w:szCs w:val="22"/>
          <w:lang w:eastAsia="en-GB"/>
        </w:rPr>
        <w:t>Acceptance of the terms and conditions was deferred pending the General Election and following various Council meetings.  By the end of March 2020, no formal decision had been made to accept or reject the investment.</w:t>
      </w:r>
    </w:p>
    <w:p w14:paraId="5C74EEEF" w14:textId="6D60C0C9" w:rsidR="005F2DB2" w:rsidRPr="007A1321" w:rsidRDefault="005F2DB2" w:rsidP="005F2DB2">
      <w:pPr>
        <w:shd w:val="clear" w:color="auto" w:fill="FFFFFF"/>
        <w:spacing w:after="240"/>
        <w:rPr>
          <w:rFonts w:cs="Arial"/>
          <w:szCs w:val="22"/>
          <w:lang w:eastAsia="en-GB"/>
        </w:rPr>
      </w:pPr>
      <w:r w:rsidRPr="007A1321">
        <w:rPr>
          <w:rFonts w:cs="Arial"/>
          <w:szCs w:val="22"/>
          <w:lang w:eastAsia="en-GB"/>
        </w:rPr>
        <w:t xml:space="preserve">In December, the General Election was held and </w:t>
      </w:r>
      <w:r w:rsidR="00B944D0" w:rsidRPr="007A1321">
        <w:rPr>
          <w:rFonts w:cs="Arial"/>
          <w:szCs w:val="22"/>
          <w:lang w:eastAsia="en-GB"/>
        </w:rPr>
        <w:t>with a turnout of 70.74% Alicia Kearns (Conservatives) was elected at the MP for Melton &amp; Rutland.</w:t>
      </w:r>
    </w:p>
    <w:p w14:paraId="46CCC3F0" w14:textId="1C1BBC2A" w:rsidR="00F00246" w:rsidRPr="007A1321" w:rsidRDefault="00B944D0" w:rsidP="00F00246">
      <w:pPr>
        <w:shd w:val="clear" w:color="auto" w:fill="FFFFFF"/>
        <w:spacing w:after="240"/>
        <w:rPr>
          <w:rFonts w:cs="Arial"/>
          <w:bCs/>
          <w:szCs w:val="22"/>
          <w:lang w:eastAsia="en-GB"/>
        </w:rPr>
      </w:pPr>
      <w:r w:rsidRPr="007A1321">
        <w:rPr>
          <w:rFonts w:cs="Arial"/>
          <w:bCs/>
          <w:szCs w:val="22"/>
          <w:lang w:eastAsia="en-GB"/>
        </w:rPr>
        <w:t>In December, the Council’s Growth, Infrastructure and Resources met to review proposals being made to Rutland’s Local Plan. </w:t>
      </w:r>
      <w:r w:rsidRPr="007A1321">
        <w:rPr>
          <w:rFonts w:cs="Arial"/>
          <w:szCs w:val="22"/>
          <w:lang w:eastAsia="en-GB"/>
        </w:rPr>
        <w:t xml:space="preserve">The Committee reviewed recommendations relating to the scale of development for the county, in terms of both housing and employment land. </w:t>
      </w:r>
      <w:r w:rsidR="00F00246" w:rsidRPr="007A1321">
        <w:rPr>
          <w:rFonts w:cs="Arial"/>
          <w:szCs w:val="22"/>
          <w:lang w:eastAsia="en-GB"/>
        </w:rPr>
        <w:t xml:space="preserve">  Cabinet then </w:t>
      </w:r>
      <w:r w:rsidRPr="007A1321">
        <w:rPr>
          <w:rFonts w:cs="Arial"/>
          <w:bCs/>
          <w:szCs w:val="22"/>
          <w:lang w:eastAsia="en-GB"/>
        </w:rPr>
        <w:t xml:space="preserve">approved a number of proposals to inform the ongoing development of Rutland’s next Local Plan, which </w:t>
      </w:r>
      <w:r w:rsidR="00F00246" w:rsidRPr="007A1321">
        <w:rPr>
          <w:rFonts w:cs="Arial"/>
          <w:bCs/>
          <w:szCs w:val="22"/>
          <w:lang w:eastAsia="en-GB"/>
        </w:rPr>
        <w:t>was</w:t>
      </w:r>
      <w:r w:rsidRPr="007A1321">
        <w:rPr>
          <w:rFonts w:cs="Arial"/>
          <w:bCs/>
          <w:szCs w:val="22"/>
          <w:lang w:eastAsia="en-GB"/>
        </w:rPr>
        <w:t xml:space="preserve"> </w:t>
      </w:r>
      <w:r w:rsidR="00F00246" w:rsidRPr="007A1321">
        <w:rPr>
          <w:rFonts w:cs="Arial"/>
          <w:bCs/>
          <w:szCs w:val="22"/>
          <w:lang w:eastAsia="en-GB"/>
        </w:rPr>
        <w:t>approved by Full Council in February</w:t>
      </w:r>
      <w:r w:rsidRPr="007A1321">
        <w:rPr>
          <w:rFonts w:cs="Arial"/>
          <w:bCs/>
          <w:szCs w:val="22"/>
          <w:lang w:eastAsia="en-GB"/>
        </w:rPr>
        <w:t xml:space="preserve"> 2020. </w:t>
      </w:r>
    </w:p>
    <w:p w14:paraId="3DDBD1CC" w14:textId="714614D0" w:rsidR="00F00246" w:rsidRPr="007A1321" w:rsidRDefault="00F00246" w:rsidP="00F00246">
      <w:pPr>
        <w:shd w:val="clear" w:color="auto" w:fill="FFFFFF"/>
        <w:spacing w:after="240"/>
        <w:rPr>
          <w:rFonts w:cs="Arial"/>
          <w:szCs w:val="22"/>
          <w:lang w:eastAsia="en-GB"/>
        </w:rPr>
      </w:pPr>
      <w:r w:rsidRPr="007A1321">
        <w:rPr>
          <w:rFonts w:cs="Arial"/>
          <w:szCs w:val="22"/>
          <w:lang w:eastAsia="en-GB"/>
        </w:rPr>
        <w:t xml:space="preserve">Full Council began the process of considering the Pre-Submission Local Plan at a special meeting on Monday 27 January but this meeting was adjourned after almost three hours because Councillors </w:t>
      </w:r>
      <w:r w:rsidRPr="007A1321">
        <w:rPr>
          <w:rFonts w:cs="Arial"/>
          <w:szCs w:val="22"/>
          <w:lang w:eastAsia="en-GB"/>
        </w:rPr>
        <w:lastRenderedPageBreak/>
        <w:t>needed more time to consider possible amendments and continue their deliberations. The Special Full Council meeting was reconvened on Monday 10 February, where Councillors voted 15 to 10 in favour of approving the Pre-Submission Local Plan, with one abstention.</w:t>
      </w:r>
      <w:r w:rsidR="003B1B3B" w:rsidRPr="007A1321">
        <w:rPr>
          <w:rFonts w:cs="Arial"/>
          <w:szCs w:val="22"/>
          <w:lang w:eastAsia="en-GB"/>
        </w:rPr>
        <w:t xml:space="preserve"> </w:t>
      </w:r>
      <w:r w:rsidRPr="007A1321">
        <w:rPr>
          <w:rFonts w:cs="Arial"/>
          <w:szCs w:val="22"/>
          <w:lang w:eastAsia="en-GB"/>
        </w:rPr>
        <w:t xml:space="preserve">The Pre-Submission Local Plan was made available for statutory consultation but this was halted </w:t>
      </w:r>
      <w:r w:rsidR="003B1B3B" w:rsidRPr="007A1321">
        <w:rPr>
          <w:rFonts w:cs="Arial"/>
          <w:szCs w:val="22"/>
          <w:lang w:eastAsia="en-GB"/>
        </w:rPr>
        <w:t>due to CoronaVirus pandemic.</w:t>
      </w:r>
    </w:p>
    <w:p w14:paraId="5EA1873F" w14:textId="73C94C69" w:rsidR="003B1B3B" w:rsidRPr="007A1321" w:rsidRDefault="003B1B3B" w:rsidP="003B1B3B">
      <w:pPr>
        <w:pStyle w:val="NormalWeb"/>
        <w:shd w:val="clear" w:color="auto" w:fill="FFFFFF"/>
        <w:spacing w:before="0" w:beforeAutospacing="0" w:after="240" w:afterAutospacing="0"/>
        <w:rPr>
          <w:sz w:val="22"/>
          <w:szCs w:val="22"/>
        </w:rPr>
      </w:pPr>
      <w:r w:rsidRPr="007A1321">
        <w:rPr>
          <w:rStyle w:val="Strong"/>
          <w:rFonts w:cs="Arial"/>
          <w:b w:val="0"/>
          <w:sz w:val="22"/>
          <w:szCs w:val="22"/>
        </w:rPr>
        <w:t>In January, the Chief Executive, Helen Briggs, announced her intention to retire from the Council.</w:t>
      </w:r>
      <w:r w:rsidRPr="007A1321">
        <w:rPr>
          <w:sz w:val="22"/>
          <w:szCs w:val="22"/>
        </w:rPr>
        <w:t xml:space="preserve"> Mrs Briggs has served as Chief Executive for more than 13 years and was intending to leave in August although this was later deferred until </w:t>
      </w:r>
      <w:r w:rsidR="0044585F">
        <w:rPr>
          <w:sz w:val="22"/>
          <w:szCs w:val="22"/>
        </w:rPr>
        <w:t>the Autumn</w:t>
      </w:r>
      <w:r w:rsidRPr="007A1321">
        <w:rPr>
          <w:sz w:val="22"/>
          <w:szCs w:val="22"/>
        </w:rPr>
        <w:t xml:space="preserve"> as the Council responded to the CoronaVirus.</w:t>
      </w:r>
    </w:p>
    <w:p w14:paraId="7DC71CC0" w14:textId="49034370" w:rsidR="001D2E95" w:rsidRPr="007A1321" w:rsidRDefault="001D2E95" w:rsidP="004F2C4B">
      <w:pPr>
        <w:spacing w:after="120"/>
        <w:jc w:val="both"/>
      </w:pPr>
      <w:r w:rsidRPr="007A1321">
        <w:rPr>
          <w:rFonts w:cs="Arial"/>
          <w:bCs/>
          <w:szCs w:val="22"/>
        </w:rPr>
        <w:t xml:space="preserve">The Council’s Medium Term Financial Plan (MTFP) and budget 2020/21 were approved in February 2019 by Full Council following consultation.  The key message in relation to the MTFP was that the national economic position remains extremely challenging. The Council did receive some positive news in that </w:t>
      </w:r>
      <w:r w:rsidR="004F2C4B" w:rsidRPr="007A1321">
        <w:t>t</w:t>
      </w:r>
      <w:r w:rsidRPr="007A1321">
        <w:t xml:space="preserve">he Settlement for 20/21 was better than originally anticipated when the budget was set in 19/20 but consistent with our expectations following the Spending Review 2019. Delays in implementing Fair Funding and other reforms alongside a recognition that critical local government </w:t>
      </w:r>
      <w:r w:rsidR="004F2C4B" w:rsidRPr="007A1321">
        <w:t xml:space="preserve">services are under pressure </w:t>
      </w:r>
      <w:r w:rsidRPr="007A1321">
        <w:t xml:space="preserve">meant that funding </w:t>
      </w:r>
      <w:r w:rsidR="004F2C4B" w:rsidRPr="007A1321">
        <w:t>was not</w:t>
      </w:r>
      <w:r w:rsidRPr="007A1321">
        <w:t xml:space="preserve"> reduced. However, the Cou</w:t>
      </w:r>
      <w:r w:rsidR="004F2C4B" w:rsidRPr="007A1321">
        <w:t>ncil’s core Government funding wa</w:t>
      </w:r>
      <w:r w:rsidRPr="007A1321">
        <w:t>s in cash terms still only marginally more (£384k) than it was in 19/20 and still £135 per head less than other Unitary Councils</w:t>
      </w:r>
      <w:r w:rsidR="004F2C4B" w:rsidRPr="007A1321">
        <w:t>. On the one hand the position wa</w:t>
      </w:r>
      <w:r w:rsidRPr="007A1321">
        <w:t xml:space="preserve">s positive as the Council </w:t>
      </w:r>
      <w:r w:rsidR="004F2C4B" w:rsidRPr="007A1321">
        <w:t xml:space="preserve">had </w:t>
      </w:r>
      <w:r w:rsidRPr="007A1321">
        <w:t xml:space="preserve">predicted losses of </w:t>
      </w:r>
      <w:r w:rsidR="004F2C4B" w:rsidRPr="007A1321">
        <w:t xml:space="preserve">over </w:t>
      </w:r>
      <w:r w:rsidRPr="007A1321">
        <w:t>c£2.5m</w:t>
      </w:r>
      <w:r w:rsidR="004F2C4B" w:rsidRPr="007A1321">
        <w:t>.</w:t>
      </w:r>
    </w:p>
    <w:p w14:paraId="01877807" w14:textId="2C759469" w:rsidR="004F2C4B" w:rsidRPr="007A1321" w:rsidRDefault="004F2C4B" w:rsidP="004F2C4B">
      <w:pPr>
        <w:spacing w:after="120"/>
        <w:jc w:val="both"/>
      </w:pPr>
      <w:r w:rsidRPr="007A1321">
        <w:t>The future outlook remained challenging but uncertain, with a funding gap of over £1m by 21/22.  The Council began working on an “emergency budget” to enable it to respond to further reductions in funding.  This is still ongoing.</w:t>
      </w:r>
    </w:p>
    <w:p w14:paraId="22B00983" w14:textId="0EE5B707" w:rsidR="003B1B3B" w:rsidRPr="007A1321" w:rsidRDefault="004F2C4B" w:rsidP="003B1B3B">
      <w:pPr>
        <w:shd w:val="clear" w:color="auto" w:fill="FFFFFF"/>
        <w:spacing w:after="240"/>
        <w:rPr>
          <w:rFonts w:cs="Arial"/>
          <w:szCs w:val="22"/>
          <w:lang w:eastAsia="en-GB"/>
        </w:rPr>
      </w:pPr>
      <w:r w:rsidRPr="007A1321">
        <w:rPr>
          <w:rFonts w:cs="Arial"/>
          <w:bCs/>
          <w:szCs w:val="22"/>
          <w:lang w:eastAsia="en-GB"/>
        </w:rPr>
        <w:t>Th</w:t>
      </w:r>
      <w:r w:rsidR="003B1B3B" w:rsidRPr="007A1321">
        <w:rPr>
          <w:rFonts w:cs="Arial"/>
          <w:bCs/>
          <w:szCs w:val="22"/>
          <w:lang w:eastAsia="en-GB"/>
        </w:rPr>
        <w:t xml:space="preserve">e </w:t>
      </w:r>
      <w:r w:rsidR="003B1B3B" w:rsidRPr="007A1321">
        <w:rPr>
          <w:rFonts w:cs="Arial"/>
          <w:szCs w:val="22"/>
          <w:lang w:eastAsia="en-GB"/>
        </w:rPr>
        <w:t xml:space="preserve">Council held its </w:t>
      </w:r>
      <w:r w:rsidR="003B1B3B" w:rsidRPr="007A1321">
        <w:rPr>
          <w:rFonts w:cs="Arial"/>
          <w:bCs/>
          <w:szCs w:val="22"/>
          <w:lang w:eastAsia="en-GB"/>
        </w:rPr>
        <w:t>Spring Business Summit</w:t>
      </w:r>
      <w:r w:rsidRPr="007A1321">
        <w:rPr>
          <w:rFonts w:cs="Arial"/>
          <w:bCs/>
          <w:szCs w:val="22"/>
          <w:lang w:eastAsia="en-GB"/>
        </w:rPr>
        <w:t xml:space="preserve"> in March</w:t>
      </w:r>
      <w:r w:rsidR="003B1B3B" w:rsidRPr="007A1321">
        <w:rPr>
          <w:rFonts w:cs="Arial"/>
          <w:bCs/>
          <w:szCs w:val="22"/>
          <w:lang w:eastAsia="en-GB"/>
        </w:rPr>
        <w:t>, where businesses and stakeholders came to discuss the future of Rutland’s local economy.</w:t>
      </w:r>
      <w:r w:rsidR="003B1B3B" w:rsidRPr="007A1321">
        <w:rPr>
          <w:rFonts w:cs="Arial"/>
          <w:szCs w:val="22"/>
          <w:lang w:eastAsia="en-GB"/>
        </w:rPr>
        <w:t xml:space="preserve"> The Summit looked at how the UK’s departure from the European Union stands to affect local businesses, as well as providing delegates with information and practical advice about business continuity, the importing and exporting of goods to and from the EU and international markets, as well as the EU Settlement Scheme, for those individuals and employers concerned about how this will impact them. Business representatives were also be asked to contribute to discussions about what Rutland’s local economy should look like in future and help shape the Council’s five-year economic plan.</w:t>
      </w:r>
    </w:p>
    <w:p w14:paraId="458FD3D0" w14:textId="66C8761A" w:rsidR="00431FC3" w:rsidRPr="007A1321" w:rsidRDefault="001D2E95" w:rsidP="00431FC3">
      <w:pPr>
        <w:shd w:val="clear" w:color="auto" w:fill="FFFFFF"/>
        <w:spacing w:after="240"/>
        <w:rPr>
          <w:rFonts w:cs="Arial"/>
          <w:szCs w:val="22"/>
          <w:lang w:eastAsia="en-GB"/>
        </w:rPr>
      </w:pPr>
      <w:r w:rsidRPr="007A1321">
        <w:rPr>
          <w:rFonts w:cs="Arial"/>
          <w:bCs/>
          <w:szCs w:val="22"/>
          <w:lang w:eastAsia="en-GB"/>
        </w:rPr>
        <w:t xml:space="preserve">In March, the Council also published its feedback from a </w:t>
      </w:r>
      <w:r w:rsidR="00431FC3" w:rsidRPr="007A1321">
        <w:rPr>
          <w:rFonts w:cs="Arial"/>
          <w:szCs w:val="22"/>
          <w:lang w:eastAsia="en-GB"/>
        </w:rPr>
        <w:t>Local Government Association “Peer Challenge” review of the Council’s operations, which took place in November 2019. </w:t>
      </w:r>
    </w:p>
    <w:p w14:paraId="4B651927" w14:textId="1425A744" w:rsidR="001D2E95" w:rsidRPr="007A1321" w:rsidRDefault="001D2E95" w:rsidP="00431FC3">
      <w:pPr>
        <w:shd w:val="clear" w:color="auto" w:fill="FFFFFF"/>
        <w:spacing w:after="240"/>
        <w:rPr>
          <w:rFonts w:cs="Arial"/>
          <w:szCs w:val="22"/>
          <w:lang w:eastAsia="en-GB"/>
        </w:rPr>
      </w:pPr>
      <w:r w:rsidRPr="007A1321">
        <w:rPr>
          <w:rFonts w:cs="Arial"/>
          <w:bCs/>
          <w:szCs w:val="22"/>
          <w:lang w:eastAsia="en-GB"/>
        </w:rPr>
        <w:t>Peers from the Local Government Association have found the Council to be “delivering good quality services with high performance levels”, “a welcoming organisation with strong and maturing organisational leadership” and “financial stability.”</w:t>
      </w:r>
    </w:p>
    <w:p w14:paraId="3D663343" w14:textId="77777777" w:rsidR="00431FC3" w:rsidRPr="007A1321" w:rsidRDefault="00431FC3" w:rsidP="00431FC3">
      <w:pPr>
        <w:shd w:val="clear" w:color="auto" w:fill="FFFFFF"/>
        <w:spacing w:after="240"/>
        <w:rPr>
          <w:rFonts w:cs="Arial"/>
          <w:szCs w:val="22"/>
          <w:lang w:eastAsia="en-GB"/>
        </w:rPr>
      </w:pPr>
      <w:r w:rsidRPr="007A1321">
        <w:rPr>
          <w:rFonts w:cs="Arial"/>
          <w:szCs w:val="22"/>
          <w:lang w:eastAsia="en-GB"/>
        </w:rPr>
        <w:t>The report also identifies that the Council is “well respected by local and sub-regional partners and has influence beyond its administrative and physical footprint. The Peer Team also felt that “the time is right to build this confidence and exploit opportunities... for more collaborative working” and have recommended the Council seeks to establish ways to work with the local community to co-design and co-produce solutions to future challenges.</w:t>
      </w:r>
    </w:p>
    <w:p w14:paraId="1D24C286" w14:textId="29879276" w:rsidR="00E54025" w:rsidRPr="007A1321" w:rsidRDefault="001D2E95" w:rsidP="004F2C4B">
      <w:pPr>
        <w:shd w:val="clear" w:color="auto" w:fill="FFFFFF"/>
        <w:spacing w:after="240"/>
        <w:rPr>
          <w:rFonts w:cs="Arial"/>
          <w:szCs w:val="22"/>
          <w:lang w:eastAsia="en-GB"/>
        </w:rPr>
      </w:pPr>
      <w:r w:rsidRPr="007A1321">
        <w:rPr>
          <w:rFonts w:cs="Arial"/>
          <w:szCs w:val="22"/>
          <w:lang w:eastAsia="en-GB"/>
        </w:rPr>
        <w:t>At March Council, Councillors agreed to increase Members’ Allowances, following recommendations made by an independent Members Allowances Panel. The review undertaken by the Welland Partnership Members’ Remuneration Panel identified that Rutland County Councillors’ allowances are “comparatively low” when compared to other unitary authorities, nationally, and neighbouring district councillors.  Allowances for Rutland County Council’s elected members have not changed since 2009. </w:t>
      </w:r>
      <w:r w:rsidR="004F2C4B" w:rsidRPr="007A1321">
        <w:rPr>
          <w:rFonts w:cs="Arial"/>
          <w:szCs w:val="22"/>
          <w:lang w:eastAsia="en-GB"/>
        </w:rPr>
        <w:t xml:space="preserve"> </w:t>
      </w:r>
    </w:p>
    <w:p w14:paraId="4DAAB8FD" w14:textId="618EAD7B" w:rsidR="004F2C4B" w:rsidRPr="007A1321" w:rsidRDefault="004F2C4B" w:rsidP="004F2C4B">
      <w:pPr>
        <w:shd w:val="clear" w:color="auto" w:fill="FFFFFF"/>
        <w:spacing w:after="240"/>
        <w:rPr>
          <w:rFonts w:cs="Arial"/>
          <w:szCs w:val="22"/>
          <w:u w:val="single"/>
          <w:lang w:eastAsia="en-GB"/>
        </w:rPr>
      </w:pPr>
      <w:r w:rsidRPr="007A1321">
        <w:rPr>
          <w:rFonts w:cs="Arial"/>
          <w:szCs w:val="22"/>
          <w:u w:val="single"/>
          <w:lang w:eastAsia="en-GB"/>
        </w:rPr>
        <w:t>Coronavirus pandemic</w:t>
      </w:r>
    </w:p>
    <w:p w14:paraId="39A23FB8" w14:textId="6F86139D" w:rsidR="004F2C4B" w:rsidRPr="007A1321" w:rsidRDefault="004F2C4B" w:rsidP="004F2C4B">
      <w:pPr>
        <w:pStyle w:val="NormalWeb"/>
        <w:spacing w:before="0" w:beforeAutospacing="0" w:after="0" w:afterAutospacing="0"/>
        <w:rPr>
          <w:sz w:val="22"/>
          <w:szCs w:val="22"/>
        </w:rPr>
      </w:pPr>
      <w:r w:rsidRPr="007A1321">
        <w:rPr>
          <w:sz w:val="22"/>
          <w:szCs w:val="22"/>
        </w:rPr>
        <w:t xml:space="preserve">From mid-February, the Council joined the Leicestershire, Leicester and Rutland (LLR) Local Resilience Forum (LRF) in preparing its response to the Coronavirus pandemic.  The Council also invoked the emergency delegation in the Constitution (11.10.5) which allows the Chief Executive “to </w:t>
      </w:r>
      <w:r w:rsidRPr="007A1321">
        <w:rPr>
          <w:sz w:val="22"/>
          <w:szCs w:val="22"/>
        </w:rPr>
        <w:lastRenderedPageBreak/>
        <w:t xml:space="preserve">take any urgent action necessary in the event of a civil emergency and deal with matters relating to civil protection/emergency planning arising from the Council’s powers and duties under the appropriate legislation.” and the provisions in the Financial Procedure Rules (4.6) which allows the Chief Finance Officer to put in place alternative financial systems in the case of a major incident.  As part its response, the Council quickly established a Local Strategic Coordinating Group (LSCG) comprising of senior management and a Local Tactical Coordinating Group (LTCG) involving key officers from across the Council.  Up to the end of March and </w:t>
      </w:r>
      <w:r w:rsidR="0044585F">
        <w:rPr>
          <w:sz w:val="22"/>
          <w:szCs w:val="22"/>
        </w:rPr>
        <w:t xml:space="preserve">into 20/21 </w:t>
      </w:r>
      <w:r w:rsidRPr="007A1321">
        <w:rPr>
          <w:sz w:val="22"/>
          <w:szCs w:val="22"/>
        </w:rPr>
        <w:t>these Groups coordinated the Council’s response which focused on:</w:t>
      </w:r>
    </w:p>
    <w:p w14:paraId="20734F3C" w14:textId="77777777" w:rsidR="004F2C4B" w:rsidRPr="007A1321" w:rsidRDefault="004F2C4B" w:rsidP="004F2C4B">
      <w:pPr>
        <w:pStyle w:val="NormalWeb"/>
        <w:spacing w:before="0" w:beforeAutospacing="0" w:after="0" w:afterAutospacing="0"/>
        <w:rPr>
          <w:sz w:val="22"/>
          <w:szCs w:val="22"/>
        </w:rPr>
      </w:pPr>
    </w:p>
    <w:p w14:paraId="02B37F07" w14:textId="77777777" w:rsidR="004F2C4B" w:rsidRPr="007A1321" w:rsidRDefault="004F2C4B" w:rsidP="00203885">
      <w:pPr>
        <w:pStyle w:val="NormalWeb"/>
        <w:numPr>
          <w:ilvl w:val="0"/>
          <w:numId w:val="33"/>
        </w:numPr>
        <w:spacing w:before="0" w:beforeAutospacing="0" w:after="0" w:afterAutospacing="0"/>
        <w:rPr>
          <w:sz w:val="22"/>
          <w:szCs w:val="22"/>
        </w:rPr>
      </w:pPr>
      <w:r w:rsidRPr="007A1321">
        <w:rPr>
          <w:sz w:val="22"/>
          <w:szCs w:val="22"/>
        </w:rPr>
        <w:t>Participating in all of the LRG Groups and Cells covering a range of issues from Personal Protective Equipment to Business issues</w:t>
      </w:r>
    </w:p>
    <w:p w14:paraId="3B1CD4EF" w14:textId="77777777" w:rsidR="004F2C4B" w:rsidRPr="007A1321" w:rsidRDefault="004F2C4B" w:rsidP="00203885">
      <w:pPr>
        <w:pStyle w:val="NormalWeb"/>
        <w:numPr>
          <w:ilvl w:val="0"/>
          <w:numId w:val="33"/>
        </w:numPr>
        <w:spacing w:before="0" w:beforeAutospacing="0" w:after="0" w:afterAutospacing="0"/>
        <w:rPr>
          <w:sz w:val="22"/>
          <w:szCs w:val="22"/>
        </w:rPr>
      </w:pPr>
      <w:r w:rsidRPr="007A1321">
        <w:rPr>
          <w:sz w:val="22"/>
          <w:szCs w:val="22"/>
        </w:rPr>
        <w:t>Establishing a revised operational structure so that resources could be focused on delivering ‘business as usual’ activity as far as possible and responding to the needs of vulnerable people through Operation Shield (announced 22</w:t>
      </w:r>
      <w:r w:rsidRPr="007A1321">
        <w:rPr>
          <w:sz w:val="22"/>
          <w:szCs w:val="22"/>
          <w:vertAlign w:val="superscript"/>
        </w:rPr>
        <w:t>nd</w:t>
      </w:r>
      <w:r w:rsidRPr="007A1321">
        <w:rPr>
          <w:sz w:val="22"/>
          <w:szCs w:val="22"/>
        </w:rPr>
        <w:t xml:space="preserve"> March)</w:t>
      </w:r>
    </w:p>
    <w:p w14:paraId="5C21A0CD" w14:textId="77777777" w:rsidR="004F2C4B" w:rsidRPr="007A1321" w:rsidRDefault="004F2C4B" w:rsidP="00203885">
      <w:pPr>
        <w:pStyle w:val="NormalWeb"/>
        <w:numPr>
          <w:ilvl w:val="0"/>
          <w:numId w:val="33"/>
        </w:numPr>
        <w:spacing w:before="0" w:beforeAutospacing="0" w:after="0" w:afterAutospacing="0"/>
        <w:rPr>
          <w:sz w:val="22"/>
          <w:szCs w:val="22"/>
        </w:rPr>
      </w:pPr>
      <w:r w:rsidRPr="007A1321">
        <w:rPr>
          <w:sz w:val="22"/>
          <w:szCs w:val="22"/>
        </w:rPr>
        <w:t xml:space="preserve">Reviewing all key services, in accordance with Government guidance, and determining which services could continue as ‘business as usual’ and which services would be stopped </w:t>
      </w:r>
    </w:p>
    <w:p w14:paraId="1122D05C" w14:textId="77777777" w:rsidR="004F2C4B" w:rsidRPr="007A1321" w:rsidRDefault="004F2C4B" w:rsidP="00203885">
      <w:pPr>
        <w:pStyle w:val="NormalWeb"/>
        <w:numPr>
          <w:ilvl w:val="0"/>
          <w:numId w:val="33"/>
        </w:numPr>
        <w:spacing w:before="0" w:beforeAutospacing="0" w:after="0" w:afterAutospacing="0"/>
        <w:rPr>
          <w:sz w:val="22"/>
          <w:szCs w:val="22"/>
        </w:rPr>
      </w:pPr>
      <w:r w:rsidRPr="007A1321">
        <w:rPr>
          <w:sz w:val="22"/>
          <w:szCs w:val="22"/>
        </w:rPr>
        <w:t>Developing an approach to the “shielding of vulnerable people” – i.e. supporting those people who are vulnerable, and who have no other means of support through the following types of support (support with obtaining required medication; support with obtaining food; support with social isolation and other welfare support).</w:t>
      </w:r>
    </w:p>
    <w:p w14:paraId="7FA024DF" w14:textId="77777777" w:rsidR="004F2C4B" w:rsidRPr="007A1321" w:rsidRDefault="004F2C4B" w:rsidP="00203885">
      <w:pPr>
        <w:pStyle w:val="NormalWeb"/>
        <w:numPr>
          <w:ilvl w:val="0"/>
          <w:numId w:val="33"/>
        </w:numPr>
        <w:spacing w:before="0" w:beforeAutospacing="0" w:after="0" w:afterAutospacing="0"/>
        <w:rPr>
          <w:sz w:val="22"/>
          <w:szCs w:val="22"/>
        </w:rPr>
      </w:pPr>
      <w:r w:rsidRPr="007A1321">
        <w:rPr>
          <w:sz w:val="22"/>
          <w:szCs w:val="22"/>
        </w:rPr>
        <w:t>Deploying new technology to enable staff to work at home under ‘lockdown’</w:t>
      </w:r>
    </w:p>
    <w:p w14:paraId="3DB37BD8" w14:textId="77777777" w:rsidR="004F2C4B" w:rsidRPr="007A1321" w:rsidRDefault="004F2C4B" w:rsidP="00203885">
      <w:pPr>
        <w:pStyle w:val="NormalWeb"/>
        <w:numPr>
          <w:ilvl w:val="0"/>
          <w:numId w:val="33"/>
        </w:numPr>
        <w:spacing w:before="0" w:beforeAutospacing="0" w:after="0" w:afterAutospacing="0"/>
        <w:rPr>
          <w:sz w:val="22"/>
          <w:szCs w:val="22"/>
        </w:rPr>
      </w:pPr>
      <w:r w:rsidRPr="007A1321">
        <w:rPr>
          <w:sz w:val="22"/>
          <w:szCs w:val="22"/>
        </w:rPr>
        <w:t>Redeploying staff to areas of greatest need as services were discontinued</w:t>
      </w:r>
    </w:p>
    <w:p w14:paraId="29A2D8A0" w14:textId="77777777" w:rsidR="004F2C4B" w:rsidRPr="007A1321" w:rsidRDefault="004F2C4B" w:rsidP="00203885">
      <w:pPr>
        <w:pStyle w:val="NormalWeb"/>
        <w:numPr>
          <w:ilvl w:val="0"/>
          <w:numId w:val="33"/>
        </w:numPr>
        <w:spacing w:before="0" w:beforeAutospacing="0" w:after="0" w:afterAutospacing="0"/>
        <w:rPr>
          <w:sz w:val="22"/>
          <w:szCs w:val="22"/>
        </w:rPr>
      </w:pPr>
      <w:r w:rsidRPr="007A1321">
        <w:rPr>
          <w:sz w:val="22"/>
          <w:szCs w:val="22"/>
        </w:rPr>
        <w:t>Delivering key Government initiatives such as payment of business rate grants and reliefs, ensuring ongoing payments to key suppliers/contractors and enforcing social distancing measures.</w:t>
      </w:r>
    </w:p>
    <w:p w14:paraId="2206EC96" w14:textId="77777777" w:rsidR="004F2C4B" w:rsidRPr="007A1321" w:rsidRDefault="004F2C4B" w:rsidP="004F2C4B">
      <w:pPr>
        <w:pStyle w:val="NormalWeb"/>
        <w:rPr>
          <w:sz w:val="22"/>
          <w:szCs w:val="22"/>
        </w:rPr>
      </w:pPr>
      <w:r w:rsidRPr="007A1321">
        <w:rPr>
          <w:sz w:val="22"/>
          <w:szCs w:val="22"/>
        </w:rPr>
        <w:t>The longer term impacts and consequences on the Council are still uncertain but can be categorised as follow:</w:t>
      </w:r>
    </w:p>
    <w:p w14:paraId="7EAEFDBF" w14:textId="7A30EAF0" w:rsidR="004F2C4B" w:rsidRPr="007A1321" w:rsidRDefault="004F2C4B" w:rsidP="00203885">
      <w:pPr>
        <w:pStyle w:val="NormalWeb"/>
        <w:numPr>
          <w:ilvl w:val="0"/>
          <w:numId w:val="35"/>
        </w:numPr>
        <w:spacing w:before="0" w:beforeAutospacing="0" w:after="0" w:afterAutospacing="0"/>
        <w:rPr>
          <w:sz w:val="22"/>
          <w:szCs w:val="22"/>
        </w:rPr>
      </w:pPr>
      <w:r w:rsidRPr="007A1321">
        <w:rPr>
          <w:sz w:val="22"/>
          <w:szCs w:val="22"/>
        </w:rPr>
        <w:t>Financial impacts – the Council is monitoring the position.  It has received Government funding to deal specifically with the response but the bigger concern is the impact on the Medium Term Financial plan of lost income (with key income generating services stopped), a drop in collection rates for council tax and business rates, any additional costs incurred as key services are restored and backlog issues are dealt with and the fallout on the local economy.</w:t>
      </w:r>
      <w:r w:rsidR="00386D7F">
        <w:rPr>
          <w:sz w:val="22"/>
          <w:szCs w:val="22"/>
        </w:rPr>
        <w:t xml:space="preserve">  As at June 2020, the Council reported that the future gap may be increased by over £1m because of the Pandemic. This position is still clouded </w:t>
      </w:r>
      <w:r w:rsidR="00FE130D">
        <w:rPr>
          <w:sz w:val="22"/>
          <w:szCs w:val="22"/>
        </w:rPr>
        <w:t>in uncertainty and it is very unlikely that the full extent of the financial impact will be unknown until the end of the 20/21 financial year.</w:t>
      </w:r>
    </w:p>
    <w:p w14:paraId="1A497EA0" w14:textId="77777777" w:rsidR="004F2C4B" w:rsidRPr="007A1321" w:rsidRDefault="004F2C4B" w:rsidP="004F2C4B">
      <w:pPr>
        <w:pStyle w:val="NormalWeb"/>
        <w:spacing w:before="0" w:beforeAutospacing="0" w:after="0" w:afterAutospacing="0"/>
        <w:ind w:left="360"/>
        <w:rPr>
          <w:sz w:val="22"/>
          <w:szCs w:val="22"/>
        </w:rPr>
      </w:pPr>
    </w:p>
    <w:p w14:paraId="108B8BE1" w14:textId="6BB6D455" w:rsidR="004F2C4B" w:rsidRDefault="004F2C4B" w:rsidP="00203885">
      <w:pPr>
        <w:pStyle w:val="NormalWeb"/>
        <w:numPr>
          <w:ilvl w:val="0"/>
          <w:numId w:val="34"/>
        </w:numPr>
        <w:spacing w:before="0" w:beforeAutospacing="0" w:after="0" w:afterAutospacing="0"/>
        <w:rPr>
          <w:sz w:val="22"/>
          <w:szCs w:val="22"/>
        </w:rPr>
      </w:pPr>
      <w:r w:rsidRPr="007A1321">
        <w:rPr>
          <w:sz w:val="22"/>
          <w:szCs w:val="22"/>
        </w:rPr>
        <w:t xml:space="preserve">Operational impacts – with key services stopped and resources diverted, officers will have to reinstate key services and catch up on a backlog of issues.  Whilst work is being done to mitigate some of this work, the extent of recovery is likely to be significant. </w:t>
      </w:r>
      <w:r w:rsidR="00386D7F">
        <w:rPr>
          <w:sz w:val="22"/>
          <w:szCs w:val="22"/>
        </w:rPr>
        <w:t xml:space="preserve">The Council has a Recovery Plan </w:t>
      </w:r>
      <w:r w:rsidR="00312471">
        <w:rPr>
          <w:sz w:val="22"/>
          <w:szCs w:val="22"/>
        </w:rPr>
        <w:t>to guide this work.</w:t>
      </w:r>
    </w:p>
    <w:p w14:paraId="35DE208B" w14:textId="77777777" w:rsidR="00386D7F" w:rsidRDefault="00386D7F" w:rsidP="00386D7F">
      <w:pPr>
        <w:pStyle w:val="NormalWeb"/>
        <w:spacing w:before="0" w:beforeAutospacing="0" w:after="0" w:afterAutospacing="0"/>
        <w:rPr>
          <w:sz w:val="22"/>
          <w:szCs w:val="22"/>
        </w:rPr>
      </w:pPr>
    </w:p>
    <w:p w14:paraId="1BE9B0AE" w14:textId="3CD7A247" w:rsidR="00386D7F" w:rsidRDefault="00386D7F" w:rsidP="00203885">
      <w:pPr>
        <w:pStyle w:val="NormalWeb"/>
        <w:numPr>
          <w:ilvl w:val="0"/>
          <w:numId w:val="34"/>
        </w:numPr>
        <w:spacing w:before="0" w:beforeAutospacing="0" w:after="0" w:afterAutospacing="0"/>
        <w:rPr>
          <w:sz w:val="22"/>
          <w:szCs w:val="22"/>
        </w:rPr>
      </w:pPr>
      <w:r>
        <w:rPr>
          <w:sz w:val="22"/>
          <w:szCs w:val="22"/>
        </w:rPr>
        <w:t xml:space="preserve">Wider impacts </w:t>
      </w:r>
      <w:r w:rsidR="00312471">
        <w:rPr>
          <w:sz w:val="22"/>
          <w:szCs w:val="22"/>
        </w:rPr>
        <w:t>–</w:t>
      </w:r>
      <w:r>
        <w:rPr>
          <w:sz w:val="22"/>
          <w:szCs w:val="22"/>
        </w:rPr>
        <w:t xml:space="preserve"> </w:t>
      </w:r>
      <w:r w:rsidR="00312471">
        <w:rPr>
          <w:sz w:val="22"/>
          <w:szCs w:val="22"/>
        </w:rPr>
        <w:t xml:space="preserve">the impact </w:t>
      </w:r>
      <w:r w:rsidR="00FE130D">
        <w:rPr>
          <w:sz w:val="22"/>
          <w:szCs w:val="22"/>
        </w:rPr>
        <w:t>on society, the economy, hea</w:t>
      </w:r>
      <w:r w:rsidR="00BB32E0">
        <w:rPr>
          <w:sz w:val="22"/>
          <w:szCs w:val="22"/>
        </w:rPr>
        <w:t>l</w:t>
      </w:r>
      <w:r w:rsidR="00FE130D">
        <w:rPr>
          <w:sz w:val="22"/>
          <w:szCs w:val="22"/>
        </w:rPr>
        <w:t xml:space="preserve">th and wellbeing and </w:t>
      </w:r>
      <w:r w:rsidR="00FE130D" w:rsidRPr="00FE130D">
        <w:rPr>
          <w:sz w:val="22"/>
          <w:szCs w:val="22"/>
        </w:rPr>
        <w:t>the environment</w:t>
      </w:r>
      <w:r w:rsidR="00312471" w:rsidRPr="00FE130D">
        <w:rPr>
          <w:sz w:val="22"/>
          <w:szCs w:val="22"/>
        </w:rPr>
        <w:t xml:space="preserve"> </w:t>
      </w:r>
      <w:r w:rsidR="00FE130D">
        <w:rPr>
          <w:sz w:val="22"/>
          <w:szCs w:val="22"/>
        </w:rPr>
        <w:t>are all being considered and will have a direct bearing on the work of the Council, the services it provides and how it provides them.</w:t>
      </w:r>
    </w:p>
    <w:p w14:paraId="416B6695" w14:textId="77777777" w:rsidR="00D02DC5" w:rsidRDefault="00D02DC5" w:rsidP="00D02DC5">
      <w:pPr>
        <w:pStyle w:val="ListParagraph"/>
        <w:rPr>
          <w:szCs w:val="22"/>
        </w:rPr>
      </w:pPr>
    </w:p>
    <w:p w14:paraId="5283EB9C" w14:textId="0668FA0F" w:rsidR="00BB32E0" w:rsidRPr="00FE130D" w:rsidRDefault="00D02DC5" w:rsidP="00D02DC5">
      <w:pPr>
        <w:pStyle w:val="NormalWeb"/>
        <w:spacing w:before="0" w:beforeAutospacing="0" w:after="0" w:afterAutospacing="0"/>
        <w:rPr>
          <w:sz w:val="22"/>
          <w:szCs w:val="22"/>
        </w:rPr>
      </w:pPr>
      <w:r>
        <w:rPr>
          <w:sz w:val="22"/>
          <w:szCs w:val="22"/>
        </w:rPr>
        <w:t xml:space="preserve">The </w:t>
      </w:r>
      <w:r w:rsidR="00BB32E0">
        <w:rPr>
          <w:sz w:val="22"/>
          <w:szCs w:val="22"/>
        </w:rPr>
        <w:t>Council has identified financial sustainability as a key part of its Recovery Plan.  It has sufficient General Fund reserves to allow it to plan sensibly to close the financial gap and work has already started in this regard. This work will be a priority for the remainder of 2020/21.</w:t>
      </w:r>
    </w:p>
    <w:p w14:paraId="15EA3F92" w14:textId="61131F24" w:rsidR="00E54025" w:rsidRPr="007A1321" w:rsidRDefault="00304E07" w:rsidP="00203885">
      <w:pPr>
        <w:pStyle w:val="ListParagraph"/>
        <w:numPr>
          <w:ilvl w:val="0"/>
          <w:numId w:val="18"/>
        </w:numPr>
        <w:spacing w:before="240" w:after="240"/>
        <w:ind w:left="0" w:firstLine="0"/>
        <w:contextualSpacing w:val="0"/>
        <w:jc w:val="both"/>
        <w:rPr>
          <w:rFonts w:cs="Arial"/>
          <w:b/>
          <w:bCs/>
          <w:szCs w:val="22"/>
        </w:rPr>
      </w:pPr>
      <w:r w:rsidRPr="007A1321">
        <w:rPr>
          <w:rFonts w:cs="Arial"/>
          <w:b/>
          <w:bCs/>
          <w:szCs w:val="22"/>
        </w:rPr>
        <w:t>Review of Financial Performance in 201</w:t>
      </w:r>
      <w:r w:rsidR="001D2E95" w:rsidRPr="007A1321">
        <w:rPr>
          <w:rFonts w:cs="Arial"/>
          <w:b/>
          <w:bCs/>
          <w:szCs w:val="22"/>
        </w:rPr>
        <w:t>9/20</w:t>
      </w:r>
    </w:p>
    <w:p w14:paraId="5E74C10D" w14:textId="5A985016" w:rsidR="00304E07" w:rsidRPr="007A1321" w:rsidRDefault="00304E07" w:rsidP="00C51F5C">
      <w:pPr>
        <w:spacing w:after="120"/>
        <w:jc w:val="both"/>
        <w:rPr>
          <w:rFonts w:cs="Arial"/>
          <w:bCs/>
          <w:szCs w:val="22"/>
        </w:rPr>
      </w:pPr>
      <w:r w:rsidRPr="007A1321">
        <w:rPr>
          <w:rFonts w:cs="Arial"/>
          <w:bCs/>
          <w:szCs w:val="22"/>
        </w:rPr>
        <w:lastRenderedPageBreak/>
        <w:t>In February 201</w:t>
      </w:r>
      <w:r w:rsidR="00FE130D">
        <w:rPr>
          <w:rFonts w:cs="Arial"/>
          <w:bCs/>
          <w:szCs w:val="22"/>
        </w:rPr>
        <w:t>9</w:t>
      </w:r>
      <w:r w:rsidRPr="007A1321">
        <w:rPr>
          <w:rFonts w:cs="Arial"/>
          <w:bCs/>
          <w:szCs w:val="22"/>
        </w:rPr>
        <w:t xml:space="preserve"> the Council set out its MTFP that took into account assumptions on levels of council tax and government support, inflationary and demand led spending pressures and the impact of its capital programme over a 5 year period.</w:t>
      </w:r>
    </w:p>
    <w:p w14:paraId="401EF926" w14:textId="476E1552" w:rsidR="00304E07" w:rsidRPr="007A1321" w:rsidRDefault="00304E07" w:rsidP="00C51F5C">
      <w:pPr>
        <w:spacing w:after="120"/>
        <w:jc w:val="both"/>
        <w:rPr>
          <w:rFonts w:cs="Arial"/>
          <w:bCs/>
          <w:szCs w:val="22"/>
        </w:rPr>
      </w:pPr>
      <w:r w:rsidRPr="007A1321">
        <w:rPr>
          <w:rFonts w:cs="Arial"/>
          <w:bCs/>
          <w:szCs w:val="22"/>
        </w:rPr>
        <w:t>A brief summary of activity for the year is given below and full details are in the main body of the Statement of Accounts.</w:t>
      </w:r>
    </w:p>
    <w:p w14:paraId="1055A6A0" w14:textId="59801621" w:rsidR="00D81816" w:rsidRPr="007A1321" w:rsidRDefault="00D81816" w:rsidP="00D81816">
      <w:pPr>
        <w:spacing w:after="120"/>
        <w:jc w:val="both"/>
        <w:rPr>
          <w:rFonts w:cs="Arial"/>
          <w:bCs/>
          <w:szCs w:val="22"/>
        </w:rPr>
      </w:pPr>
      <w:r w:rsidRPr="007A1321">
        <w:rPr>
          <w:rFonts w:cs="Arial"/>
          <w:bCs/>
          <w:szCs w:val="22"/>
        </w:rPr>
        <w:t>The end of year provisional revenue position is that the Council has under spent its revenue budget by £</w:t>
      </w:r>
      <w:r w:rsidR="00AA359C">
        <w:rPr>
          <w:rFonts w:cs="Arial"/>
          <w:bCs/>
          <w:szCs w:val="22"/>
        </w:rPr>
        <w:t>313</w:t>
      </w:r>
      <w:r w:rsidRPr="007A1321">
        <w:rPr>
          <w:rFonts w:cs="Arial"/>
          <w:bCs/>
          <w:szCs w:val="22"/>
        </w:rPr>
        <w:t xml:space="preserve">k which equates to an under spend of </w:t>
      </w:r>
      <w:r w:rsidR="00AA359C">
        <w:rPr>
          <w:rFonts w:cs="Arial"/>
          <w:bCs/>
          <w:szCs w:val="22"/>
        </w:rPr>
        <w:t>1.1</w:t>
      </w:r>
      <w:r w:rsidRPr="007A1321">
        <w:rPr>
          <w:rFonts w:cs="Arial"/>
          <w:bCs/>
          <w:szCs w:val="22"/>
        </w:rPr>
        <w:t xml:space="preserve">% when compared to the Net Operating Expenditure.  </w:t>
      </w:r>
    </w:p>
    <w:p w14:paraId="04F86396" w14:textId="77777777" w:rsidR="00D81816" w:rsidRPr="007A1321" w:rsidRDefault="00D81816" w:rsidP="00D81816">
      <w:pPr>
        <w:pStyle w:val="Heading3"/>
        <w:keepNext w:val="0"/>
        <w:widowControl w:val="0"/>
        <w:numPr>
          <w:ilvl w:val="0"/>
          <w:numId w:val="0"/>
        </w:numPr>
        <w:spacing w:before="240" w:after="240"/>
        <w:ind w:left="720" w:hanging="720"/>
        <w:jc w:val="left"/>
        <w:rPr>
          <w:szCs w:val="22"/>
        </w:rPr>
      </w:pPr>
      <w:r w:rsidRPr="007A1321">
        <w:rPr>
          <w:szCs w:val="22"/>
        </w:rPr>
        <w:t xml:space="preserve">The overall position can be summarised as follows: </w:t>
      </w:r>
    </w:p>
    <w:p w14:paraId="48112EA2" w14:textId="56AB43A2" w:rsidR="00D81816" w:rsidRPr="007A1321" w:rsidRDefault="00D81816" w:rsidP="00D81816">
      <w:pPr>
        <w:pStyle w:val="BulletPoint"/>
        <w:tabs>
          <w:tab w:val="clear" w:pos="340"/>
          <w:tab w:val="num" w:pos="1474"/>
        </w:tabs>
        <w:ind w:left="1474"/>
        <w:rPr>
          <w:sz w:val="22"/>
          <w:szCs w:val="22"/>
        </w:rPr>
      </w:pPr>
      <w:r w:rsidRPr="007A1321">
        <w:rPr>
          <w:sz w:val="22"/>
          <w:szCs w:val="22"/>
        </w:rPr>
        <w:t>The Council is reporting an under spend of £</w:t>
      </w:r>
      <w:r w:rsidR="00AA359C">
        <w:rPr>
          <w:sz w:val="22"/>
          <w:szCs w:val="22"/>
        </w:rPr>
        <w:t>313</w:t>
      </w:r>
      <w:r w:rsidRPr="007A1321">
        <w:rPr>
          <w:sz w:val="22"/>
          <w:szCs w:val="22"/>
        </w:rPr>
        <w:t>k after setting aside Directorate under spends in relation to: a) ring fenced budgets; b) demand led budgets; or c) commitments made but not yet fulfilled.  In each of these cases under spent budgets are placed into earmarked reserves and are carried forward for future use.</w:t>
      </w:r>
    </w:p>
    <w:p w14:paraId="5636DF15" w14:textId="57F6DB69" w:rsidR="00D81816" w:rsidRPr="007A1321" w:rsidRDefault="00D81816" w:rsidP="003F4078">
      <w:pPr>
        <w:pStyle w:val="BulletPoint"/>
        <w:tabs>
          <w:tab w:val="clear" w:pos="340"/>
          <w:tab w:val="num" w:pos="1474"/>
        </w:tabs>
        <w:ind w:left="1474"/>
        <w:rPr>
          <w:sz w:val="22"/>
          <w:szCs w:val="22"/>
        </w:rPr>
      </w:pPr>
      <w:r w:rsidRPr="007A1321">
        <w:rPr>
          <w:sz w:val="22"/>
          <w:szCs w:val="22"/>
        </w:rPr>
        <w:t xml:space="preserve">Notwithstanding the above comment, the Directorate budgets do include genuine underspends arising from a) savings from vacant posts and delays in recruiting staff pending reviews or further work; b) additional grant income </w:t>
      </w:r>
      <w:r w:rsidR="00AA359C">
        <w:rPr>
          <w:sz w:val="22"/>
          <w:szCs w:val="22"/>
        </w:rPr>
        <w:t>received e.g. in respect of Homelessness</w:t>
      </w:r>
      <w:r w:rsidRPr="007A1321">
        <w:rPr>
          <w:sz w:val="22"/>
          <w:szCs w:val="22"/>
        </w:rPr>
        <w:t xml:space="preserve">; c) other cost control measures.  </w:t>
      </w:r>
    </w:p>
    <w:p w14:paraId="0F4FD704" w14:textId="6A2212F9" w:rsidR="00D81816" w:rsidRPr="007A1321" w:rsidRDefault="00D81816" w:rsidP="003F4078">
      <w:pPr>
        <w:pStyle w:val="BulletPoint"/>
        <w:tabs>
          <w:tab w:val="clear" w:pos="340"/>
          <w:tab w:val="num" w:pos="1474"/>
        </w:tabs>
        <w:ind w:left="1474"/>
        <w:rPr>
          <w:sz w:val="22"/>
          <w:szCs w:val="22"/>
        </w:rPr>
      </w:pPr>
      <w:r w:rsidRPr="007A1321">
        <w:rPr>
          <w:sz w:val="22"/>
          <w:szCs w:val="22"/>
        </w:rPr>
        <w:t>Despite the overall under spend, there are some areas where there are overspends – there have been significant pressures in waste management, commercia</w:t>
      </w:r>
      <w:r w:rsidR="00AA359C">
        <w:rPr>
          <w:sz w:val="22"/>
          <w:szCs w:val="22"/>
        </w:rPr>
        <w:t>l properties and Social Care</w:t>
      </w:r>
      <w:r w:rsidRPr="007A1321">
        <w:rPr>
          <w:sz w:val="22"/>
          <w:szCs w:val="22"/>
        </w:rPr>
        <w:t xml:space="preserve">. </w:t>
      </w:r>
    </w:p>
    <w:p w14:paraId="289547A4" w14:textId="77777777" w:rsidR="00304E07" w:rsidRPr="007A1321" w:rsidRDefault="00304E07" w:rsidP="00C51F5C">
      <w:pPr>
        <w:spacing w:after="120"/>
        <w:jc w:val="both"/>
        <w:rPr>
          <w:rFonts w:cs="Arial"/>
          <w:bCs/>
          <w:szCs w:val="22"/>
        </w:rPr>
      </w:pPr>
      <w:r w:rsidRPr="007A1321">
        <w:rPr>
          <w:rFonts w:cs="Arial"/>
          <w:bCs/>
          <w:szCs w:val="22"/>
        </w:rPr>
        <w:t>The following charts outline where the Council’s revenue money came from and how it was spent.</w:t>
      </w:r>
    </w:p>
    <w:p w14:paraId="01EA1DBF" w14:textId="2D880D9D" w:rsidR="00304E07" w:rsidRPr="007A1321" w:rsidRDefault="00632D27" w:rsidP="008D1C87">
      <w:pPr>
        <w:spacing w:after="120"/>
        <w:jc w:val="center"/>
        <w:rPr>
          <w:rFonts w:cs="Arial"/>
          <w:bCs/>
          <w:szCs w:val="22"/>
        </w:rPr>
      </w:pPr>
      <w:r w:rsidRPr="007A1321">
        <w:rPr>
          <w:noProof/>
          <w:lang w:eastAsia="en-GB"/>
        </w:rPr>
        <w:drawing>
          <wp:inline distT="0" distB="0" distL="0" distR="0" wp14:anchorId="577EF95B" wp14:editId="1568D25C">
            <wp:extent cx="6390640" cy="3193415"/>
            <wp:effectExtent l="19050" t="19050" r="1016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D83E096" w14:textId="382F832D" w:rsidR="00304E07" w:rsidRPr="007A1321" w:rsidRDefault="00304E07" w:rsidP="00304E07">
      <w:pPr>
        <w:spacing w:after="120"/>
        <w:ind w:left="360"/>
        <w:jc w:val="both"/>
      </w:pPr>
    </w:p>
    <w:p w14:paraId="174B96D1" w14:textId="73AE894B" w:rsidR="00304E07" w:rsidRPr="007A1321" w:rsidRDefault="007A1321" w:rsidP="000C7101">
      <w:pPr>
        <w:spacing w:after="120"/>
      </w:pPr>
      <w:r w:rsidRPr="007A1321">
        <w:rPr>
          <w:noProof/>
          <w:lang w:eastAsia="en-GB"/>
        </w:rPr>
        <w:lastRenderedPageBreak/>
        <w:drawing>
          <wp:inline distT="0" distB="0" distL="0" distR="0" wp14:anchorId="09D5E7A1" wp14:editId="1E500575">
            <wp:extent cx="6390640" cy="2572385"/>
            <wp:effectExtent l="19050" t="19050" r="1016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EEE1824" w14:textId="77777777" w:rsidR="007A1321" w:rsidRPr="007A1321" w:rsidRDefault="007A1321" w:rsidP="00C51F5C">
      <w:pPr>
        <w:spacing w:before="240" w:after="240"/>
        <w:jc w:val="both"/>
        <w:rPr>
          <w:rFonts w:cs="Arial"/>
          <w:b/>
          <w:bCs/>
          <w:szCs w:val="22"/>
        </w:rPr>
      </w:pPr>
    </w:p>
    <w:p w14:paraId="3325A0D7" w14:textId="77777777" w:rsidR="00304E07" w:rsidRPr="007A1321" w:rsidRDefault="00304E07" w:rsidP="00C51F5C">
      <w:pPr>
        <w:spacing w:before="240" w:after="240"/>
        <w:jc w:val="both"/>
        <w:rPr>
          <w:rFonts w:cs="Arial"/>
          <w:b/>
          <w:bCs/>
          <w:szCs w:val="22"/>
        </w:rPr>
      </w:pPr>
      <w:r w:rsidRPr="007A1321">
        <w:rPr>
          <w:rFonts w:cs="Arial"/>
          <w:b/>
          <w:bCs/>
          <w:szCs w:val="22"/>
        </w:rPr>
        <w:t>General Fund Revenue Account</w:t>
      </w:r>
    </w:p>
    <w:p w14:paraId="3833D018" w14:textId="592B54FC" w:rsidR="00D851EB" w:rsidRPr="007A1321" w:rsidRDefault="00304E07" w:rsidP="00C51F5C">
      <w:pPr>
        <w:spacing w:after="120"/>
        <w:jc w:val="both"/>
        <w:rPr>
          <w:rFonts w:cs="Arial"/>
          <w:bCs/>
          <w:szCs w:val="22"/>
        </w:rPr>
      </w:pPr>
      <w:r w:rsidRPr="007A1321">
        <w:rPr>
          <w:rFonts w:cs="Arial"/>
          <w:bCs/>
          <w:szCs w:val="22"/>
        </w:rPr>
        <w:t>The following table summarises the position for the General Fund for 201</w:t>
      </w:r>
      <w:r w:rsidR="009A3034" w:rsidRPr="007A1321">
        <w:rPr>
          <w:rFonts w:cs="Arial"/>
          <w:bCs/>
          <w:szCs w:val="22"/>
        </w:rPr>
        <w:t>9</w:t>
      </w:r>
      <w:r w:rsidRPr="007A1321">
        <w:rPr>
          <w:rFonts w:cs="Arial"/>
          <w:bCs/>
          <w:szCs w:val="22"/>
        </w:rPr>
        <w:t>/</w:t>
      </w:r>
      <w:r w:rsidR="009A3034" w:rsidRPr="007A1321">
        <w:rPr>
          <w:rFonts w:cs="Arial"/>
          <w:bCs/>
          <w:szCs w:val="22"/>
        </w:rPr>
        <w:t>20</w:t>
      </w:r>
      <w:r w:rsidRPr="007A1321">
        <w:rPr>
          <w:rFonts w:cs="Arial"/>
          <w:bCs/>
          <w:szCs w:val="22"/>
        </w:rPr>
        <w:t xml:space="preserve">. </w:t>
      </w:r>
      <w:r w:rsidR="00D851EB" w:rsidRPr="007A1321">
        <w:rPr>
          <w:rFonts w:cs="Arial"/>
          <w:bCs/>
          <w:szCs w:val="22"/>
        </w:rPr>
        <w:t>The Council is repo</w:t>
      </w:r>
      <w:r w:rsidR="008934A6" w:rsidRPr="007A1321">
        <w:rPr>
          <w:rFonts w:cs="Arial"/>
          <w:bCs/>
          <w:szCs w:val="22"/>
        </w:rPr>
        <w:t xml:space="preserve">rting a year end </w:t>
      </w:r>
      <w:r w:rsidR="00E558FB">
        <w:rPr>
          <w:rFonts w:cs="Arial"/>
          <w:bCs/>
          <w:szCs w:val="22"/>
        </w:rPr>
        <w:t>surplus</w:t>
      </w:r>
      <w:r w:rsidR="008934A6" w:rsidRPr="007A1321">
        <w:rPr>
          <w:rFonts w:cs="Arial"/>
          <w:bCs/>
          <w:szCs w:val="22"/>
        </w:rPr>
        <w:t xml:space="preserve"> of £</w:t>
      </w:r>
      <w:r w:rsidR="00E558FB">
        <w:rPr>
          <w:rFonts w:cs="Arial"/>
          <w:bCs/>
          <w:szCs w:val="22"/>
        </w:rPr>
        <w:t>313</w:t>
      </w:r>
      <w:r w:rsidR="008934A6" w:rsidRPr="007A1321">
        <w:rPr>
          <w:rFonts w:cs="Arial"/>
          <w:bCs/>
          <w:szCs w:val="22"/>
        </w:rPr>
        <w:t>k.  This represents an under</w:t>
      </w:r>
      <w:r w:rsidR="00D851EB" w:rsidRPr="007A1321">
        <w:rPr>
          <w:rFonts w:cs="Arial"/>
          <w:bCs/>
          <w:szCs w:val="22"/>
        </w:rPr>
        <w:t>spend of £</w:t>
      </w:r>
      <w:r w:rsidR="00E558FB">
        <w:rPr>
          <w:rFonts w:cs="Arial"/>
          <w:bCs/>
          <w:szCs w:val="22"/>
        </w:rPr>
        <w:t>207</w:t>
      </w:r>
      <w:r w:rsidR="00D851EB" w:rsidRPr="007A1321">
        <w:rPr>
          <w:rFonts w:cs="Arial"/>
          <w:bCs/>
          <w:szCs w:val="22"/>
        </w:rPr>
        <w:t>k</w:t>
      </w:r>
      <w:r w:rsidR="008934A6" w:rsidRPr="007A1321">
        <w:rPr>
          <w:rFonts w:cs="Arial"/>
          <w:bCs/>
          <w:szCs w:val="22"/>
        </w:rPr>
        <w:t xml:space="preserve"> </w:t>
      </w:r>
      <w:r w:rsidR="00E558FB">
        <w:rPr>
          <w:rFonts w:cs="Arial"/>
          <w:bCs/>
          <w:szCs w:val="22"/>
        </w:rPr>
        <w:t>compared to the budgeted deficit of £106</w:t>
      </w:r>
      <w:r w:rsidR="00D851EB" w:rsidRPr="007A1321">
        <w:rPr>
          <w:rFonts w:cs="Arial"/>
          <w:bCs/>
          <w:szCs w:val="22"/>
        </w:rPr>
        <w:t xml:space="preserve">k. In the context of an MTFP which shows reducing funding levels (Report </w:t>
      </w:r>
      <w:r w:rsidR="00A12743" w:rsidRPr="007A1321">
        <w:rPr>
          <w:rFonts w:cs="Arial"/>
          <w:bCs/>
          <w:szCs w:val="22"/>
        </w:rPr>
        <w:t>44/</w:t>
      </w:r>
      <w:r w:rsidR="00D851EB" w:rsidRPr="007A1321">
        <w:rPr>
          <w:rFonts w:cs="Arial"/>
          <w:bCs/>
          <w:szCs w:val="22"/>
        </w:rPr>
        <w:t>201</w:t>
      </w:r>
      <w:r w:rsidR="00A12743" w:rsidRPr="007A1321">
        <w:rPr>
          <w:rFonts w:cs="Arial"/>
          <w:bCs/>
          <w:szCs w:val="22"/>
        </w:rPr>
        <w:t>9</w:t>
      </w:r>
      <w:r w:rsidR="00D851EB" w:rsidRPr="007A1321">
        <w:rPr>
          <w:rFonts w:cs="Arial"/>
          <w:bCs/>
          <w:szCs w:val="22"/>
        </w:rPr>
        <w:t>), the overall outcome is reasonably positive because in reporting an overall overspend, the Council is setting aside some service underspends  into earmarked reserves to meet future pressures. Without these transfers, the Council would be underspent against its budget. The revenue position at 31 March 20</w:t>
      </w:r>
      <w:r w:rsidR="009A3034" w:rsidRPr="007A1321">
        <w:rPr>
          <w:rFonts w:cs="Arial"/>
          <w:bCs/>
          <w:szCs w:val="22"/>
        </w:rPr>
        <w:t>20</w:t>
      </w:r>
      <w:r w:rsidR="00D851EB" w:rsidRPr="007A1321">
        <w:rPr>
          <w:rFonts w:cs="Arial"/>
          <w:bCs/>
          <w:szCs w:val="22"/>
        </w:rPr>
        <w:t xml:space="preserve"> is shown below:</w:t>
      </w:r>
    </w:p>
    <w:tbl>
      <w:tblPr>
        <w:tblW w:w="8505"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blBorders>
        <w:tblLook w:val="00A0" w:firstRow="1" w:lastRow="0" w:firstColumn="1" w:lastColumn="0" w:noHBand="0" w:noVBand="0"/>
      </w:tblPr>
      <w:tblGrid>
        <w:gridCol w:w="3453"/>
        <w:gridCol w:w="1749"/>
        <w:gridCol w:w="1746"/>
        <w:gridCol w:w="1557"/>
      </w:tblGrid>
      <w:tr w:rsidR="00304E07" w:rsidRPr="007A1321" w14:paraId="547816CF" w14:textId="77777777" w:rsidTr="00A974E3">
        <w:trPr>
          <w:jc w:val="center"/>
        </w:trPr>
        <w:tc>
          <w:tcPr>
            <w:tcW w:w="3453" w:type="dxa"/>
            <w:tcBorders>
              <w:top w:val="single" w:sz="18" w:space="0" w:color="A8D08D" w:themeColor="accent6" w:themeTint="99"/>
              <w:left w:val="single" w:sz="18" w:space="0" w:color="A8D08D" w:themeColor="accent6" w:themeTint="99"/>
            </w:tcBorders>
            <w:vAlign w:val="center"/>
          </w:tcPr>
          <w:p w14:paraId="762E98ED" w14:textId="6BC6375B" w:rsidR="00304E07" w:rsidRPr="007A1321" w:rsidRDefault="00304E07" w:rsidP="00DE143B">
            <w:pPr>
              <w:rPr>
                <w:rFonts w:cs="Arial"/>
                <w:b/>
                <w:szCs w:val="22"/>
              </w:rPr>
            </w:pPr>
            <w:r w:rsidRPr="007A1321">
              <w:rPr>
                <w:rFonts w:cs="Arial"/>
                <w:szCs w:val="22"/>
              </w:rPr>
              <w:t>.</w:t>
            </w:r>
            <w:r w:rsidRPr="007A1321">
              <w:rPr>
                <w:rFonts w:cs="Arial"/>
                <w:b/>
                <w:szCs w:val="22"/>
              </w:rPr>
              <w:t>General Fund</w:t>
            </w:r>
          </w:p>
        </w:tc>
        <w:tc>
          <w:tcPr>
            <w:tcW w:w="1749" w:type="dxa"/>
            <w:tcBorders>
              <w:top w:val="single" w:sz="18" w:space="0" w:color="A8D08D" w:themeColor="accent6" w:themeTint="99"/>
            </w:tcBorders>
          </w:tcPr>
          <w:p w14:paraId="74ADBACC" w14:textId="77777777" w:rsidR="00304E07" w:rsidRPr="007A1321" w:rsidRDefault="00304E07" w:rsidP="00DE143B">
            <w:pPr>
              <w:jc w:val="center"/>
              <w:rPr>
                <w:rFonts w:cs="Arial"/>
                <w:b/>
                <w:bCs/>
                <w:szCs w:val="22"/>
              </w:rPr>
            </w:pPr>
            <w:r w:rsidRPr="007A1321">
              <w:rPr>
                <w:rFonts w:cs="Arial"/>
                <w:b/>
                <w:bCs/>
                <w:szCs w:val="22"/>
              </w:rPr>
              <w:t>Revised Budget</w:t>
            </w:r>
          </w:p>
        </w:tc>
        <w:tc>
          <w:tcPr>
            <w:tcW w:w="1746" w:type="dxa"/>
            <w:tcBorders>
              <w:top w:val="single" w:sz="18" w:space="0" w:color="A8D08D" w:themeColor="accent6" w:themeTint="99"/>
            </w:tcBorders>
            <w:vAlign w:val="center"/>
          </w:tcPr>
          <w:p w14:paraId="47E42A4E" w14:textId="77777777" w:rsidR="00304E07" w:rsidRPr="007A1321" w:rsidRDefault="00304E07" w:rsidP="00DE143B">
            <w:pPr>
              <w:jc w:val="center"/>
              <w:rPr>
                <w:rFonts w:cs="Arial"/>
                <w:b/>
                <w:bCs/>
                <w:szCs w:val="22"/>
              </w:rPr>
            </w:pPr>
            <w:r w:rsidRPr="007A1321">
              <w:rPr>
                <w:rFonts w:cs="Arial"/>
                <w:b/>
                <w:bCs/>
                <w:szCs w:val="22"/>
              </w:rPr>
              <w:t>Outturn</w:t>
            </w:r>
          </w:p>
        </w:tc>
        <w:tc>
          <w:tcPr>
            <w:tcW w:w="1557" w:type="dxa"/>
            <w:tcBorders>
              <w:top w:val="single" w:sz="18" w:space="0" w:color="A8D08D" w:themeColor="accent6" w:themeTint="99"/>
              <w:right w:val="single" w:sz="18" w:space="0" w:color="A8D08D" w:themeColor="accent6" w:themeTint="99"/>
            </w:tcBorders>
            <w:vAlign w:val="center"/>
          </w:tcPr>
          <w:p w14:paraId="1737D877" w14:textId="77777777" w:rsidR="00304E07" w:rsidRPr="007A1321" w:rsidRDefault="00304E07" w:rsidP="00DE143B">
            <w:pPr>
              <w:jc w:val="center"/>
              <w:rPr>
                <w:rFonts w:cs="Arial"/>
                <w:b/>
                <w:bCs/>
                <w:szCs w:val="22"/>
              </w:rPr>
            </w:pPr>
            <w:r w:rsidRPr="007A1321">
              <w:rPr>
                <w:rFonts w:cs="Arial"/>
                <w:b/>
                <w:bCs/>
                <w:szCs w:val="22"/>
              </w:rPr>
              <w:t>Variance</w:t>
            </w:r>
          </w:p>
        </w:tc>
      </w:tr>
      <w:tr w:rsidR="00304E07" w:rsidRPr="007A1321" w14:paraId="0ED6A1F9" w14:textId="77777777" w:rsidTr="00A974E3">
        <w:trPr>
          <w:jc w:val="center"/>
        </w:trPr>
        <w:tc>
          <w:tcPr>
            <w:tcW w:w="3453" w:type="dxa"/>
            <w:tcBorders>
              <w:left w:val="single" w:sz="18" w:space="0" w:color="A8D08D" w:themeColor="accent6" w:themeTint="99"/>
            </w:tcBorders>
          </w:tcPr>
          <w:p w14:paraId="1E0FEB47" w14:textId="77777777" w:rsidR="00304E07" w:rsidRPr="007A1321" w:rsidRDefault="00304E07" w:rsidP="00DE143B">
            <w:pPr>
              <w:jc w:val="center"/>
              <w:rPr>
                <w:rFonts w:cs="Arial"/>
                <w:szCs w:val="22"/>
              </w:rPr>
            </w:pPr>
          </w:p>
        </w:tc>
        <w:tc>
          <w:tcPr>
            <w:tcW w:w="1749" w:type="dxa"/>
          </w:tcPr>
          <w:p w14:paraId="63C1C1BB" w14:textId="77777777" w:rsidR="00304E07" w:rsidRPr="007A1321" w:rsidRDefault="00304E07" w:rsidP="00DE143B">
            <w:pPr>
              <w:jc w:val="center"/>
              <w:rPr>
                <w:rFonts w:cs="Arial"/>
                <w:b/>
                <w:bCs/>
                <w:szCs w:val="22"/>
              </w:rPr>
            </w:pPr>
            <w:r w:rsidRPr="007A1321">
              <w:rPr>
                <w:rFonts w:cs="Arial"/>
                <w:b/>
                <w:bCs/>
                <w:szCs w:val="22"/>
              </w:rPr>
              <w:t>£000</w:t>
            </w:r>
          </w:p>
        </w:tc>
        <w:tc>
          <w:tcPr>
            <w:tcW w:w="1746" w:type="dxa"/>
          </w:tcPr>
          <w:p w14:paraId="1B3212F4" w14:textId="77777777" w:rsidR="00304E07" w:rsidRPr="007A1321" w:rsidRDefault="00304E07" w:rsidP="00DE143B">
            <w:pPr>
              <w:jc w:val="center"/>
              <w:rPr>
                <w:rFonts w:cs="Arial"/>
                <w:b/>
                <w:bCs/>
                <w:szCs w:val="22"/>
              </w:rPr>
            </w:pPr>
            <w:r w:rsidRPr="007A1321">
              <w:rPr>
                <w:rFonts w:cs="Arial"/>
                <w:b/>
                <w:bCs/>
                <w:szCs w:val="22"/>
              </w:rPr>
              <w:t>£000</w:t>
            </w:r>
          </w:p>
        </w:tc>
        <w:tc>
          <w:tcPr>
            <w:tcW w:w="1557" w:type="dxa"/>
            <w:tcBorders>
              <w:right w:val="single" w:sz="18" w:space="0" w:color="A8D08D" w:themeColor="accent6" w:themeTint="99"/>
            </w:tcBorders>
          </w:tcPr>
          <w:p w14:paraId="6B0DE352" w14:textId="77777777" w:rsidR="00304E07" w:rsidRPr="007A1321" w:rsidRDefault="00304E07" w:rsidP="00DE143B">
            <w:pPr>
              <w:jc w:val="center"/>
              <w:rPr>
                <w:rFonts w:cs="Arial"/>
                <w:b/>
                <w:bCs/>
                <w:szCs w:val="22"/>
              </w:rPr>
            </w:pPr>
            <w:r w:rsidRPr="007A1321">
              <w:rPr>
                <w:rFonts w:cs="Arial"/>
                <w:b/>
                <w:bCs/>
                <w:szCs w:val="22"/>
              </w:rPr>
              <w:t>£000</w:t>
            </w:r>
          </w:p>
        </w:tc>
      </w:tr>
      <w:tr w:rsidR="00304E07" w:rsidRPr="007A1321" w14:paraId="6BCBCC67" w14:textId="77777777" w:rsidTr="00A974E3">
        <w:trPr>
          <w:jc w:val="center"/>
        </w:trPr>
        <w:tc>
          <w:tcPr>
            <w:tcW w:w="3453" w:type="dxa"/>
            <w:tcBorders>
              <w:left w:val="single" w:sz="18" w:space="0" w:color="A8D08D" w:themeColor="accent6" w:themeTint="99"/>
            </w:tcBorders>
          </w:tcPr>
          <w:p w14:paraId="5B10978F" w14:textId="77777777" w:rsidR="00304E07" w:rsidRPr="007A1321" w:rsidRDefault="00304E07" w:rsidP="00DE143B">
            <w:pPr>
              <w:jc w:val="both"/>
              <w:rPr>
                <w:rFonts w:cs="Arial"/>
                <w:szCs w:val="22"/>
              </w:rPr>
            </w:pPr>
            <w:r w:rsidRPr="007A1321">
              <w:rPr>
                <w:rFonts w:cs="Arial"/>
                <w:szCs w:val="22"/>
              </w:rPr>
              <w:t>Net cost of Services</w:t>
            </w:r>
          </w:p>
        </w:tc>
        <w:tc>
          <w:tcPr>
            <w:tcW w:w="1749" w:type="dxa"/>
          </w:tcPr>
          <w:p w14:paraId="26933B71" w14:textId="30015A70" w:rsidR="00304E07" w:rsidRPr="007A1321" w:rsidRDefault="00AD17C1" w:rsidP="00E558FB">
            <w:pPr>
              <w:jc w:val="right"/>
              <w:rPr>
                <w:rFonts w:cs="Arial"/>
                <w:szCs w:val="22"/>
              </w:rPr>
            </w:pPr>
            <w:r w:rsidRPr="007A1321">
              <w:rPr>
                <w:rFonts w:cs="Arial"/>
                <w:szCs w:val="22"/>
              </w:rPr>
              <w:t>38,</w:t>
            </w:r>
            <w:r w:rsidR="00E558FB">
              <w:rPr>
                <w:rFonts w:cs="Arial"/>
                <w:szCs w:val="22"/>
              </w:rPr>
              <w:t>414</w:t>
            </w:r>
          </w:p>
        </w:tc>
        <w:tc>
          <w:tcPr>
            <w:tcW w:w="1746" w:type="dxa"/>
          </w:tcPr>
          <w:p w14:paraId="795C2681" w14:textId="3CC41714" w:rsidR="00304E07" w:rsidRPr="007A1321" w:rsidRDefault="00304E07" w:rsidP="00E558FB">
            <w:pPr>
              <w:jc w:val="right"/>
              <w:rPr>
                <w:rFonts w:cs="Arial"/>
                <w:szCs w:val="22"/>
              </w:rPr>
            </w:pPr>
            <w:r w:rsidRPr="007A1321">
              <w:rPr>
                <w:rFonts w:cs="Arial"/>
                <w:szCs w:val="22"/>
              </w:rPr>
              <w:t>3</w:t>
            </w:r>
            <w:r w:rsidR="00E558FB">
              <w:rPr>
                <w:rFonts w:cs="Arial"/>
                <w:szCs w:val="22"/>
              </w:rPr>
              <w:t>7</w:t>
            </w:r>
            <w:r w:rsidRPr="007A1321">
              <w:rPr>
                <w:rFonts w:cs="Arial"/>
                <w:szCs w:val="22"/>
              </w:rPr>
              <w:t>,</w:t>
            </w:r>
            <w:r w:rsidR="00E558FB">
              <w:rPr>
                <w:rFonts w:cs="Arial"/>
                <w:szCs w:val="22"/>
              </w:rPr>
              <w:t>349</w:t>
            </w:r>
          </w:p>
        </w:tc>
        <w:tc>
          <w:tcPr>
            <w:tcW w:w="1557" w:type="dxa"/>
            <w:tcBorders>
              <w:right w:val="single" w:sz="18" w:space="0" w:color="A8D08D" w:themeColor="accent6" w:themeTint="99"/>
            </w:tcBorders>
          </w:tcPr>
          <w:p w14:paraId="5F3E1581" w14:textId="4202B739" w:rsidR="00304E07" w:rsidRPr="007A1321" w:rsidRDefault="00304E07" w:rsidP="00DE143B">
            <w:pPr>
              <w:jc w:val="right"/>
              <w:rPr>
                <w:rFonts w:cs="Arial"/>
                <w:szCs w:val="22"/>
              </w:rPr>
            </w:pPr>
            <w:r w:rsidRPr="007A1321">
              <w:rPr>
                <w:rFonts w:cs="Arial"/>
                <w:szCs w:val="22"/>
              </w:rPr>
              <w:fldChar w:fldCharType="begin"/>
            </w:r>
            <w:r w:rsidRPr="007A1321">
              <w:rPr>
                <w:rFonts w:cs="Arial"/>
                <w:szCs w:val="22"/>
              </w:rPr>
              <w:instrText xml:space="preserve"> =C3-B3 \# "#,##0;(#,##0)" </w:instrText>
            </w:r>
            <w:r w:rsidRPr="007A1321">
              <w:rPr>
                <w:rFonts w:cs="Arial"/>
                <w:szCs w:val="22"/>
              </w:rPr>
              <w:fldChar w:fldCharType="separate"/>
            </w:r>
            <w:r w:rsidR="00E558FB" w:rsidRPr="007A1321">
              <w:rPr>
                <w:rFonts w:cs="Arial"/>
                <w:noProof/>
                <w:szCs w:val="22"/>
              </w:rPr>
              <w:t>(</w:t>
            </w:r>
            <w:r w:rsidR="00E558FB">
              <w:rPr>
                <w:rFonts w:cs="Arial"/>
                <w:noProof/>
                <w:szCs w:val="22"/>
              </w:rPr>
              <w:t>1,065</w:t>
            </w:r>
            <w:r w:rsidR="00E558FB" w:rsidRPr="007A1321">
              <w:rPr>
                <w:rFonts w:cs="Arial"/>
                <w:noProof/>
                <w:szCs w:val="22"/>
              </w:rPr>
              <w:t>)</w:t>
            </w:r>
            <w:r w:rsidRPr="007A1321">
              <w:rPr>
                <w:rFonts w:cs="Arial"/>
                <w:szCs w:val="22"/>
              </w:rPr>
              <w:fldChar w:fldCharType="end"/>
            </w:r>
          </w:p>
        </w:tc>
      </w:tr>
      <w:tr w:rsidR="00304E07" w:rsidRPr="007A1321" w14:paraId="4AF64EE9" w14:textId="77777777" w:rsidTr="00A974E3">
        <w:trPr>
          <w:jc w:val="center"/>
        </w:trPr>
        <w:tc>
          <w:tcPr>
            <w:tcW w:w="3453" w:type="dxa"/>
            <w:tcBorders>
              <w:left w:val="single" w:sz="18" w:space="0" w:color="A8D08D" w:themeColor="accent6" w:themeTint="99"/>
            </w:tcBorders>
          </w:tcPr>
          <w:p w14:paraId="046D83C2" w14:textId="77777777" w:rsidR="00304E07" w:rsidRPr="007A1321" w:rsidRDefault="00304E07" w:rsidP="00DE143B">
            <w:pPr>
              <w:jc w:val="both"/>
              <w:rPr>
                <w:rFonts w:cs="Arial"/>
                <w:szCs w:val="22"/>
              </w:rPr>
            </w:pPr>
            <w:r w:rsidRPr="007A1321">
              <w:rPr>
                <w:rFonts w:cs="Arial"/>
                <w:szCs w:val="22"/>
              </w:rPr>
              <w:t>Other Operating costs</w:t>
            </w:r>
          </w:p>
        </w:tc>
        <w:tc>
          <w:tcPr>
            <w:tcW w:w="1749" w:type="dxa"/>
            <w:tcBorders>
              <w:bottom w:val="single" w:sz="4" w:space="0" w:color="auto"/>
            </w:tcBorders>
          </w:tcPr>
          <w:p w14:paraId="78645229" w14:textId="21593F78" w:rsidR="00304E07" w:rsidRPr="007A1321" w:rsidRDefault="00E558FB" w:rsidP="00DE143B">
            <w:pPr>
              <w:jc w:val="right"/>
              <w:rPr>
                <w:rFonts w:cs="Arial"/>
                <w:szCs w:val="22"/>
              </w:rPr>
            </w:pPr>
            <w:r>
              <w:rPr>
                <w:rFonts w:cs="Arial"/>
                <w:szCs w:val="22"/>
              </w:rPr>
              <w:t>(746</w:t>
            </w:r>
            <w:r w:rsidR="008D1C87" w:rsidRPr="007A1321">
              <w:rPr>
                <w:rFonts w:cs="Arial"/>
                <w:szCs w:val="22"/>
              </w:rPr>
              <w:t>)</w:t>
            </w:r>
          </w:p>
        </w:tc>
        <w:tc>
          <w:tcPr>
            <w:tcW w:w="1746" w:type="dxa"/>
            <w:tcBorders>
              <w:bottom w:val="single" w:sz="4" w:space="0" w:color="auto"/>
            </w:tcBorders>
          </w:tcPr>
          <w:p w14:paraId="3BB0E0F0" w14:textId="169F2FE5" w:rsidR="00304E07" w:rsidRPr="007A1321" w:rsidRDefault="00E558FB" w:rsidP="00DE143B">
            <w:pPr>
              <w:jc w:val="right"/>
              <w:rPr>
                <w:rFonts w:cs="Arial"/>
                <w:szCs w:val="22"/>
              </w:rPr>
            </w:pPr>
            <w:r>
              <w:rPr>
                <w:rFonts w:cs="Arial"/>
                <w:szCs w:val="22"/>
              </w:rPr>
              <w:t>(1,060</w:t>
            </w:r>
            <w:r w:rsidR="008D1C87" w:rsidRPr="007A1321">
              <w:rPr>
                <w:rFonts w:cs="Arial"/>
                <w:szCs w:val="22"/>
              </w:rPr>
              <w:t>)</w:t>
            </w:r>
          </w:p>
        </w:tc>
        <w:tc>
          <w:tcPr>
            <w:tcW w:w="1557" w:type="dxa"/>
            <w:tcBorders>
              <w:bottom w:val="single" w:sz="4" w:space="0" w:color="auto"/>
              <w:right w:val="single" w:sz="18" w:space="0" w:color="A8D08D" w:themeColor="accent6" w:themeTint="99"/>
            </w:tcBorders>
          </w:tcPr>
          <w:p w14:paraId="0BB21C5A" w14:textId="7E603F7E" w:rsidR="00304E07" w:rsidRPr="007A1321" w:rsidRDefault="00304E07" w:rsidP="00DE143B">
            <w:pPr>
              <w:jc w:val="right"/>
              <w:rPr>
                <w:rFonts w:cs="Arial"/>
                <w:szCs w:val="22"/>
              </w:rPr>
            </w:pPr>
            <w:r w:rsidRPr="007A1321">
              <w:rPr>
                <w:rFonts w:cs="Arial"/>
                <w:szCs w:val="22"/>
              </w:rPr>
              <w:fldChar w:fldCharType="begin"/>
            </w:r>
            <w:r w:rsidRPr="007A1321">
              <w:rPr>
                <w:rFonts w:cs="Arial"/>
                <w:szCs w:val="22"/>
              </w:rPr>
              <w:instrText xml:space="preserve"> =C4-B4 \# "0;(0)" </w:instrText>
            </w:r>
            <w:r w:rsidRPr="007A1321">
              <w:rPr>
                <w:rFonts w:cs="Arial"/>
                <w:szCs w:val="22"/>
              </w:rPr>
              <w:fldChar w:fldCharType="separate"/>
            </w:r>
            <w:r w:rsidR="00E558FB" w:rsidRPr="007A1321">
              <w:rPr>
                <w:rFonts w:cs="Arial"/>
                <w:noProof/>
                <w:szCs w:val="22"/>
              </w:rPr>
              <w:t>(</w:t>
            </w:r>
            <w:r w:rsidR="00E558FB">
              <w:rPr>
                <w:rFonts w:cs="Arial"/>
                <w:noProof/>
                <w:szCs w:val="22"/>
              </w:rPr>
              <w:t>314</w:t>
            </w:r>
            <w:r w:rsidR="00E558FB" w:rsidRPr="007A1321">
              <w:rPr>
                <w:rFonts w:cs="Arial"/>
                <w:noProof/>
                <w:szCs w:val="22"/>
              </w:rPr>
              <w:t>)</w:t>
            </w:r>
            <w:r w:rsidRPr="007A1321">
              <w:rPr>
                <w:rFonts w:cs="Arial"/>
                <w:szCs w:val="22"/>
              </w:rPr>
              <w:fldChar w:fldCharType="end"/>
            </w:r>
          </w:p>
        </w:tc>
      </w:tr>
      <w:tr w:rsidR="00304E07" w:rsidRPr="007A1321" w14:paraId="7256372B" w14:textId="77777777" w:rsidTr="00A974E3">
        <w:trPr>
          <w:jc w:val="center"/>
        </w:trPr>
        <w:tc>
          <w:tcPr>
            <w:tcW w:w="3453" w:type="dxa"/>
            <w:tcBorders>
              <w:left w:val="single" w:sz="18" w:space="0" w:color="A8D08D" w:themeColor="accent6" w:themeTint="99"/>
            </w:tcBorders>
          </w:tcPr>
          <w:p w14:paraId="663E0C8B" w14:textId="77777777" w:rsidR="00304E07" w:rsidRPr="007A1321" w:rsidRDefault="00304E07" w:rsidP="00DE143B">
            <w:pPr>
              <w:jc w:val="both"/>
              <w:rPr>
                <w:rFonts w:cs="Arial"/>
                <w:b/>
                <w:szCs w:val="22"/>
              </w:rPr>
            </w:pPr>
            <w:r w:rsidRPr="007A1321">
              <w:rPr>
                <w:rFonts w:cs="Arial"/>
                <w:b/>
                <w:szCs w:val="22"/>
              </w:rPr>
              <w:t>Net Operating Expenditure</w:t>
            </w:r>
          </w:p>
        </w:tc>
        <w:tc>
          <w:tcPr>
            <w:tcW w:w="1749" w:type="dxa"/>
            <w:tcBorders>
              <w:top w:val="single" w:sz="4" w:space="0" w:color="auto"/>
            </w:tcBorders>
          </w:tcPr>
          <w:p w14:paraId="757430C5" w14:textId="77777777" w:rsidR="00304E07" w:rsidRPr="007A1321" w:rsidRDefault="00304E07" w:rsidP="00DE143B">
            <w:pPr>
              <w:jc w:val="right"/>
              <w:rPr>
                <w:rFonts w:cs="Arial"/>
                <w:b/>
                <w:szCs w:val="22"/>
              </w:rPr>
            </w:pPr>
            <w:r w:rsidRPr="007A1321">
              <w:rPr>
                <w:rFonts w:cs="Arial"/>
                <w:b/>
                <w:szCs w:val="22"/>
              </w:rPr>
              <w:fldChar w:fldCharType="begin"/>
            </w:r>
            <w:r w:rsidRPr="007A1321">
              <w:rPr>
                <w:rFonts w:cs="Arial"/>
                <w:b/>
                <w:szCs w:val="22"/>
              </w:rPr>
              <w:instrText xml:space="preserve"> =SUM(B3:B4) </w:instrText>
            </w:r>
            <w:r w:rsidRPr="007A1321">
              <w:rPr>
                <w:rFonts w:cs="Arial"/>
                <w:b/>
                <w:szCs w:val="22"/>
              </w:rPr>
              <w:fldChar w:fldCharType="separate"/>
            </w:r>
            <w:r w:rsidR="00E558FB">
              <w:rPr>
                <w:rFonts w:cs="Arial"/>
                <w:b/>
                <w:noProof/>
                <w:szCs w:val="22"/>
              </w:rPr>
              <w:t>37,668</w:t>
            </w:r>
            <w:r w:rsidRPr="007A1321">
              <w:rPr>
                <w:rFonts w:cs="Arial"/>
                <w:b/>
                <w:szCs w:val="22"/>
              </w:rPr>
              <w:fldChar w:fldCharType="end"/>
            </w:r>
          </w:p>
        </w:tc>
        <w:tc>
          <w:tcPr>
            <w:tcW w:w="1746" w:type="dxa"/>
            <w:tcBorders>
              <w:top w:val="single" w:sz="4" w:space="0" w:color="auto"/>
            </w:tcBorders>
          </w:tcPr>
          <w:p w14:paraId="057FF493" w14:textId="2D7BFA76" w:rsidR="00304E07" w:rsidRPr="007A1321" w:rsidRDefault="007939D2" w:rsidP="00DE143B">
            <w:pPr>
              <w:jc w:val="right"/>
              <w:rPr>
                <w:rFonts w:cs="Arial"/>
                <w:b/>
                <w:szCs w:val="22"/>
              </w:rPr>
            </w:pPr>
            <w:r w:rsidRPr="007A1321">
              <w:rPr>
                <w:rFonts w:cs="Arial"/>
                <w:b/>
                <w:szCs w:val="22"/>
              </w:rPr>
              <w:fldChar w:fldCharType="begin"/>
            </w:r>
            <w:r w:rsidRPr="007A1321">
              <w:rPr>
                <w:rFonts w:cs="Arial"/>
                <w:b/>
                <w:szCs w:val="22"/>
              </w:rPr>
              <w:instrText xml:space="preserve"> =SUM(c3:c4) </w:instrText>
            </w:r>
            <w:r w:rsidRPr="007A1321">
              <w:rPr>
                <w:rFonts w:cs="Arial"/>
                <w:b/>
                <w:szCs w:val="22"/>
              </w:rPr>
              <w:fldChar w:fldCharType="separate"/>
            </w:r>
            <w:r w:rsidR="00E558FB">
              <w:rPr>
                <w:rFonts w:cs="Arial"/>
                <w:b/>
                <w:noProof/>
                <w:szCs w:val="22"/>
              </w:rPr>
              <w:t>36,289</w:t>
            </w:r>
            <w:r w:rsidRPr="007A1321">
              <w:rPr>
                <w:rFonts w:cs="Arial"/>
                <w:b/>
                <w:szCs w:val="22"/>
              </w:rPr>
              <w:fldChar w:fldCharType="end"/>
            </w:r>
          </w:p>
        </w:tc>
        <w:tc>
          <w:tcPr>
            <w:tcW w:w="1557" w:type="dxa"/>
            <w:tcBorders>
              <w:top w:val="single" w:sz="4" w:space="0" w:color="auto"/>
              <w:right w:val="single" w:sz="18" w:space="0" w:color="A8D08D" w:themeColor="accent6" w:themeTint="99"/>
            </w:tcBorders>
          </w:tcPr>
          <w:p w14:paraId="18D65A63" w14:textId="23AFCC86" w:rsidR="00304E07" w:rsidRPr="007A1321" w:rsidRDefault="007939D2" w:rsidP="00DE143B">
            <w:pPr>
              <w:jc w:val="right"/>
              <w:rPr>
                <w:rFonts w:cs="Arial"/>
                <w:b/>
                <w:szCs w:val="22"/>
              </w:rPr>
            </w:pPr>
            <w:r w:rsidRPr="007A1321">
              <w:rPr>
                <w:rFonts w:cs="Arial"/>
                <w:b/>
                <w:szCs w:val="22"/>
              </w:rPr>
              <w:fldChar w:fldCharType="begin"/>
            </w:r>
            <w:r w:rsidRPr="007A1321">
              <w:rPr>
                <w:rFonts w:cs="Arial"/>
                <w:b/>
                <w:szCs w:val="22"/>
              </w:rPr>
              <w:instrText xml:space="preserve"> =SUM(d3:d4) </w:instrText>
            </w:r>
            <w:r w:rsidRPr="007A1321">
              <w:rPr>
                <w:rFonts w:cs="Arial"/>
                <w:b/>
                <w:szCs w:val="22"/>
              </w:rPr>
              <w:fldChar w:fldCharType="separate"/>
            </w:r>
            <w:r w:rsidR="00E558FB">
              <w:rPr>
                <w:rFonts w:cs="Arial"/>
                <w:b/>
                <w:noProof/>
                <w:szCs w:val="22"/>
              </w:rPr>
              <w:t>(1,379)</w:t>
            </w:r>
            <w:r w:rsidRPr="007A1321">
              <w:rPr>
                <w:rFonts w:cs="Arial"/>
                <w:b/>
                <w:szCs w:val="22"/>
              </w:rPr>
              <w:fldChar w:fldCharType="end"/>
            </w:r>
          </w:p>
        </w:tc>
      </w:tr>
      <w:tr w:rsidR="00304E07" w:rsidRPr="007A1321" w14:paraId="7573CD0B" w14:textId="77777777" w:rsidTr="00A974E3">
        <w:trPr>
          <w:jc w:val="center"/>
        </w:trPr>
        <w:tc>
          <w:tcPr>
            <w:tcW w:w="3453" w:type="dxa"/>
            <w:tcBorders>
              <w:left w:val="single" w:sz="18" w:space="0" w:color="A8D08D" w:themeColor="accent6" w:themeTint="99"/>
            </w:tcBorders>
          </w:tcPr>
          <w:p w14:paraId="708F5717" w14:textId="77777777" w:rsidR="00304E07" w:rsidRPr="007A1321" w:rsidRDefault="00304E07" w:rsidP="00DE143B">
            <w:pPr>
              <w:jc w:val="both"/>
              <w:rPr>
                <w:rFonts w:cs="Arial"/>
                <w:szCs w:val="22"/>
              </w:rPr>
            </w:pPr>
            <w:r w:rsidRPr="007A1321">
              <w:rPr>
                <w:rFonts w:cs="Arial"/>
                <w:szCs w:val="22"/>
              </w:rPr>
              <w:t>Financing</w:t>
            </w:r>
          </w:p>
        </w:tc>
        <w:tc>
          <w:tcPr>
            <w:tcW w:w="1749" w:type="dxa"/>
            <w:tcBorders>
              <w:bottom w:val="single" w:sz="4" w:space="0" w:color="auto"/>
            </w:tcBorders>
          </w:tcPr>
          <w:p w14:paraId="460D11E7" w14:textId="51BAF330" w:rsidR="00304E07" w:rsidRPr="007A1321" w:rsidRDefault="00304E07" w:rsidP="00E558FB">
            <w:pPr>
              <w:jc w:val="right"/>
              <w:rPr>
                <w:rFonts w:cs="Arial"/>
                <w:szCs w:val="22"/>
              </w:rPr>
            </w:pPr>
            <w:r w:rsidRPr="007A1321">
              <w:rPr>
                <w:rFonts w:cs="Arial"/>
                <w:szCs w:val="22"/>
              </w:rPr>
              <w:t>(3</w:t>
            </w:r>
            <w:r w:rsidR="00AD17C1" w:rsidRPr="007A1321">
              <w:rPr>
                <w:rFonts w:cs="Arial"/>
                <w:szCs w:val="22"/>
              </w:rPr>
              <w:t>7,</w:t>
            </w:r>
            <w:r w:rsidR="00E558FB">
              <w:rPr>
                <w:rFonts w:cs="Arial"/>
                <w:szCs w:val="22"/>
              </w:rPr>
              <w:t>562</w:t>
            </w:r>
            <w:r w:rsidRPr="007A1321">
              <w:rPr>
                <w:rFonts w:cs="Arial"/>
                <w:szCs w:val="22"/>
              </w:rPr>
              <w:t>)</w:t>
            </w:r>
          </w:p>
        </w:tc>
        <w:tc>
          <w:tcPr>
            <w:tcW w:w="1746" w:type="dxa"/>
            <w:tcBorders>
              <w:bottom w:val="single" w:sz="4" w:space="0" w:color="auto"/>
            </w:tcBorders>
          </w:tcPr>
          <w:p w14:paraId="7E74B131" w14:textId="3EA0A235" w:rsidR="00304E07" w:rsidRPr="007A1321" w:rsidRDefault="00304E07" w:rsidP="00E558FB">
            <w:pPr>
              <w:jc w:val="right"/>
              <w:rPr>
                <w:rFonts w:cs="Arial"/>
                <w:szCs w:val="22"/>
              </w:rPr>
            </w:pPr>
            <w:r w:rsidRPr="007A1321">
              <w:rPr>
                <w:rFonts w:cs="Arial"/>
                <w:szCs w:val="22"/>
              </w:rPr>
              <w:t>(3</w:t>
            </w:r>
            <w:r w:rsidR="00E558FB">
              <w:rPr>
                <w:rFonts w:cs="Arial"/>
                <w:szCs w:val="22"/>
              </w:rPr>
              <w:t>6</w:t>
            </w:r>
            <w:r w:rsidRPr="007A1321">
              <w:rPr>
                <w:rFonts w:cs="Arial"/>
                <w:szCs w:val="22"/>
              </w:rPr>
              <w:t>,</w:t>
            </w:r>
            <w:r w:rsidR="00E558FB">
              <w:rPr>
                <w:rFonts w:cs="Arial"/>
                <w:szCs w:val="22"/>
              </w:rPr>
              <w:t>496</w:t>
            </w:r>
            <w:r w:rsidRPr="007A1321">
              <w:rPr>
                <w:rFonts w:cs="Arial"/>
                <w:szCs w:val="22"/>
              </w:rPr>
              <w:t>)</w:t>
            </w:r>
          </w:p>
        </w:tc>
        <w:tc>
          <w:tcPr>
            <w:tcW w:w="1557" w:type="dxa"/>
            <w:tcBorders>
              <w:bottom w:val="single" w:sz="4" w:space="0" w:color="auto"/>
              <w:right w:val="single" w:sz="18" w:space="0" w:color="A8D08D" w:themeColor="accent6" w:themeTint="99"/>
            </w:tcBorders>
          </w:tcPr>
          <w:p w14:paraId="5DBEA2AE" w14:textId="2A59914E" w:rsidR="00304E07" w:rsidRPr="007A1321" w:rsidRDefault="00E558FB" w:rsidP="00AD17C1">
            <w:pPr>
              <w:jc w:val="right"/>
              <w:rPr>
                <w:rFonts w:cs="Arial"/>
                <w:szCs w:val="22"/>
              </w:rPr>
            </w:pPr>
            <w:r>
              <w:rPr>
                <w:rFonts w:cs="Arial"/>
                <w:szCs w:val="22"/>
              </w:rPr>
              <w:t>1,066</w:t>
            </w:r>
          </w:p>
        </w:tc>
      </w:tr>
      <w:tr w:rsidR="00304E07" w:rsidRPr="007A1321" w14:paraId="4C62BADA" w14:textId="77777777" w:rsidTr="00A974E3">
        <w:trPr>
          <w:jc w:val="center"/>
        </w:trPr>
        <w:tc>
          <w:tcPr>
            <w:tcW w:w="3453" w:type="dxa"/>
            <w:tcBorders>
              <w:left w:val="single" w:sz="18" w:space="0" w:color="A8D08D" w:themeColor="accent6" w:themeTint="99"/>
            </w:tcBorders>
          </w:tcPr>
          <w:p w14:paraId="768E050C" w14:textId="77777777" w:rsidR="00304E07" w:rsidRPr="007A1321" w:rsidRDefault="00304E07" w:rsidP="00DE143B">
            <w:pPr>
              <w:jc w:val="both"/>
              <w:rPr>
                <w:rFonts w:cs="Arial"/>
                <w:b/>
                <w:szCs w:val="22"/>
              </w:rPr>
            </w:pPr>
            <w:r w:rsidRPr="007A1321">
              <w:rPr>
                <w:rFonts w:cs="Arial"/>
                <w:b/>
                <w:szCs w:val="22"/>
              </w:rPr>
              <w:t>(Surplus)/Deficit for year</w:t>
            </w:r>
          </w:p>
        </w:tc>
        <w:tc>
          <w:tcPr>
            <w:tcW w:w="1749" w:type="dxa"/>
            <w:tcBorders>
              <w:top w:val="single" w:sz="4" w:space="0" w:color="auto"/>
              <w:bottom w:val="single" w:sz="4" w:space="0" w:color="auto"/>
            </w:tcBorders>
          </w:tcPr>
          <w:p w14:paraId="4164867C" w14:textId="77777777" w:rsidR="00304E07" w:rsidRPr="007A1321" w:rsidRDefault="00304E07" w:rsidP="00DE143B">
            <w:pPr>
              <w:jc w:val="right"/>
              <w:rPr>
                <w:rFonts w:cs="Arial"/>
                <w:b/>
                <w:szCs w:val="22"/>
              </w:rPr>
            </w:pPr>
            <w:r w:rsidRPr="007A1321">
              <w:rPr>
                <w:rFonts w:cs="Arial"/>
                <w:b/>
                <w:szCs w:val="22"/>
              </w:rPr>
              <w:fldChar w:fldCharType="begin"/>
            </w:r>
            <w:r w:rsidRPr="007A1321">
              <w:rPr>
                <w:rFonts w:cs="Arial"/>
                <w:b/>
                <w:szCs w:val="22"/>
              </w:rPr>
              <w:instrText xml:space="preserve"> =SUM(B5:B6) </w:instrText>
            </w:r>
            <w:r w:rsidRPr="007A1321">
              <w:rPr>
                <w:rFonts w:cs="Arial"/>
                <w:b/>
                <w:szCs w:val="22"/>
              </w:rPr>
              <w:fldChar w:fldCharType="separate"/>
            </w:r>
            <w:r w:rsidR="00E558FB">
              <w:rPr>
                <w:rFonts w:cs="Arial"/>
                <w:b/>
                <w:noProof/>
                <w:szCs w:val="22"/>
              </w:rPr>
              <w:t>106</w:t>
            </w:r>
            <w:r w:rsidRPr="007A1321">
              <w:rPr>
                <w:rFonts w:cs="Arial"/>
                <w:b/>
                <w:szCs w:val="22"/>
              </w:rPr>
              <w:fldChar w:fldCharType="end"/>
            </w:r>
          </w:p>
        </w:tc>
        <w:tc>
          <w:tcPr>
            <w:tcW w:w="1746" w:type="dxa"/>
            <w:tcBorders>
              <w:top w:val="single" w:sz="4" w:space="0" w:color="auto"/>
              <w:bottom w:val="single" w:sz="4" w:space="0" w:color="auto"/>
            </w:tcBorders>
          </w:tcPr>
          <w:p w14:paraId="488816E4" w14:textId="77777777" w:rsidR="00304E07" w:rsidRPr="007A1321" w:rsidRDefault="00304E07" w:rsidP="00DE143B">
            <w:pPr>
              <w:jc w:val="right"/>
              <w:rPr>
                <w:rFonts w:cs="Arial"/>
                <w:b/>
                <w:szCs w:val="22"/>
              </w:rPr>
            </w:pPr>
            <w:r w:rsidRPr="007A1321">
              <w:rPr>
                <w:rFonts w:cs="Arial"/>
                <w:b/>
                <w:szCs w:val="22"/>
              </w:rPr>
              <w:fldChar w:fldCharType="begin"/>
            </w:r>
            <w:r w:rsidRPr="007A1321">
              <w:rPr>
                <w:rFonts w:cs="Arial"/>
                <w:b/>
                <w:szCs w:val="22"/>
              </w:rPr>
              <w:instrText xml:space="preserve"> =SUM(C5:C6) </w:instrText>
            </w:r>
            <w:r w:rsidRPr="007A1321">
              <w:rPr>
                <w:rFonts w:cs="Arial"/>
                <w:b/>
                <w:szCs w:val="22"/>
              </w:rPr>
              <w:fldChar w:fldCharType="separate"/>
            </w:r>
            <w:r w:rsidR="00E558FB">
              <w:rPr>
                <w:rFonts w:cs="Arial"/>
                <w:b/>
                <w:noProof/>
                <w:szCs w:val="22"/>
              </w:rPr>
              <w:t>(207)</w:t>
            </w:r>
            <w:r w:rsidRPr="007A1321">
              <w:rPr>
                <w:rFonts w:cs="Arial"/>
                <w:b/>
                <w:szCs w:val="22"/>
              </w:rPr>
              <w:fldChar w:fldCharType="end"/>
            </w:r>
          </w:p>
        </w:tc>
        <w:tc>
          <w:tcPr>
            <w:tcW w:w="1557" w:type="dxa"/>
            <w:tcBorders>
              <w:top w:val="single" w:sz="4" w:space="0" w:color="auto"/>
              <w:bottom w:val="single" w:sz="4" w:space="0" w:color="auto"/>
              <w:right w:val="single" w:sz="18" w:space="0" w:color="A8D08D" w:themeColor="accent6" w:themeTint="99"/>
            </w:tcBorders>
          </w:tcPr>
          <w:p w14:paraId="27E30C7C" w14:textId="77777777" w:rsidR="00304E07" w:rsidRPr="007A1321" w:rsidRDefault="00304E07" w:rsidP="00DE143B">
            <w:pPr>
              <w:jc w:val="right"/>
              <w:rPr>
                <w:rFonts w:cs="Arial"/>
                <w:b/>
                <w:szCs w:val="22"/>
              </w:rPr>
            </w:pPr>
            <w:r w:rsidRPr="007A1321">
              <w:rPr>
                <w:rFonts w:cs="Arial"/>
                <w:b/>
                <w:szCs w:val="22"/>
              </w:rPr>
              <w:fldChar w:fldCharType="begin"/>
            </w:r>
            <w:r w:rsidRPr="007A1321">
              <w:rPr>
                <w:rFonts w:cs="Arial"/>
                <w:b/>
                <w:szCs w:val="22"/>
              </w:rPr>
              <w:instrText xml:space="preserve"> =SUM(d5:d6) </w:instrText>
            </w:r>
            <w:r w:rsidRPr="007A1321">
              <w:rPr>
                <w:rFonts w:cs="Arial"/>
                <w:b/>
                <w:szCs w:val="22"/>
              </w:rPr>
              <w:fldChar w:fldCharType="separate"/>
            </w:r>
            <w:r w:rsidR="00E558FB">
              <w:rPr>
                <w:rFonts w:cs="Arial"/>
                <w:b/>
                <w:noProof/>
                <w:szCs w:val="22"/>
              </w:rPr>
              <w:t>(313)</w:t>
            </w:r>
            <w:r w:rsidRPr="007A1321">
              <w:rPr>
                <w:rFonts w:cs="Arial"/>
                <w:b/>
                <w:szCs w:val="22"/>
              </w:rPr>
              <w:fldChar w:fldCharType="end"/>
            </w:r>
          </w:p>
        </w:tc>
      </w:tr>
      <w:tr w:rsidR="00304E07" w:rsidRPr="007A1321" w14:paraId="2911077A" w14:textId="77777777" w:rsidTr="00A974E3">
        <w:trPr>
          <w:jc w:val="center"/>
        </w:trPr>
        <w:tc>
          <w:tcPr>
            <w:tcW w:w="3453" w:type="dxa"/>
            <w:tcBorders>
              <w:left w:val="single" w:sz="18" w:space="0" w:color="A8D08D" w:themeColor="accent6" w:themeTint="99"/>
              <w:bottom w:val="single" w:sz="18" w:space="0" w:color="A8D08D" w:themeColor="accent6" w:themeTint="99"/>
            </w:tcBorders>
          </w:tcPr>
          <w:p w14:paraId="02A713D1" w14:textId="77777777" w:rsidR="00304E07" w:rsidRPr="007A1321" w:rsidRDefault="00304E07" w:rsidP="00DE143B">
            <w:pPr>
              <w:jc w:val="both"/>
              <w:rPr>
                <w:rFonts w:cs="Arial"/>
                <w:b/>
                <w:szCs w:val="22"/>
              </w:rPr>
            </w:pPr>
          </w:p>
        </w:tc>
        <w:tc>
          <w:tcPr>
            <w:tcW w:w="1749" w:type="dxa"/>
            <w:tcBorders>
              <w:top w:val="single" w:sz="4" w:space="0" w:color="auto"/>
              <w:bottom w:val="single" w:sz="18" w:space="0" w:color="A8D08D" w:themeColor="accent6" w:themeTint="99"/>
            </w:tcBorders>
          </w:tcPr>
          <w:p w14:paraId="5EAFEB80" w14:textId="77777777" w:rsidR="00304E07" w:rsidRPr="007A1321" w:rsidRDefault="00304E07" w:rsidP="00DE143B">
            <w:pPr>
              <w:jc w:val="right"/>
              <w:rPr>
                <w:rFonts w:cs="Arial"/>
                <w:b/>
                <w:szCs w:val="22"/>
              </w:rPr>
            </w:pPr>
          </w:p>
        </w:tc>
        <w:tc>
          <w:tcPr>
            <w:tcW w:w="1746" w:type="dxa"/>
            <w:tcBorders>
              <w:top w:val="single" w:sz="4" w:space="0" w:color="auto"/>
              <w:bottom w:val="single" w:sz="18" w:space="0" w:color="A8D08D" w:themeColor="accent6" w:themeTint="99"/>
            </w:tcBorders>
          </w:tcPr>
          <w:p w14:paraId="1DEA7EA5" w14:textId="77777777" w:rsidR="00304E07" w:rsidRPr="007A1321" w:rsidRDefault="00304E07" w:rsidP="00DE143B">
            <w:pPr>
              <w:jc w:val="right"/>
              <w:rPr>
                <w:rFonts w:cs="Arial"/>
                <w:b/>
                <w:szCs w:val="22"/>
              </w:rPr>
            </w:pPr>
          </w:p>
        </w:tc>
        <w:tc>
          <w:tcPr>
            <w:tcW w:w="1557" w:type="dxa"/>
            <w:tcBorders>
              <w:top w:val="single" w:sz="4" w:space="0" w:color="auto"/>
              <w:bottom w:val="single" w:sz="18" w:space="0" w:color="A8D08D" w:themeColor="accent6" w:themeTint="99"/>
              <w:right w:val="single" w:sz="18" w:space="0" w:color="A8D08D" w:themeColor="accent6" w:themeTint="99"/>
            </w:tcBorders>
          </w:tcPr>
          <w:p w14:paraId="4809550F" w14:textId="77777777" w:rsidR="00304E07" w:rsidRPr="007A1321" w:rsidRDefault="00304E07" w:rsidP="00DE143B">
            <w:pPr>
              <w:jc w:val="right"/>
              <w:rPr>
                <w:rFonts w:cs="Arial"/>
                <w:b/>
                <w:szCs w:val="22"/>
              </w:rPr>
            </w:pPr>
          </w:p>
        </w:tc>
      </w:tr>
    </w:tbl>
    <w:p w14:paraId="0D58A3CC" w14:textId="77777777" w:rsidR="00304E07" w:rsidRPr="007A1321" w:rsidRDefault="00304E07" w:rsidP="00304E07">
      <w:pPr>
        <w:jc w:val="both"/>
        <w:rPr>
          <w:rFonts w:cs="Arial"/>
          <w:szCs w:val="22"/>
        </w:rPr>
      </w:pPr>
    </w:p>
    <w:p w14:paraId="1C907FBC" w14:textId="77777777" w:rsidR="00304E07" w:rsidRPr="00B12DD2" w:rsidRDefault="00304E07" w:rsidP="00304E07">
      <w:pPr>
        <w:spacing w:after="240"/>
        <w:jc w:val="both"/>
        <w:rPr>
          <w:rFonts w:cs="Arial"/>
          <w:b/>
          <w:bCs/>
          <w:szCs w:val="22"/>
        </w:rPr>
      </w:pPr>
      <w:r w:rsidRPr="00B12DD2">
        <w:rPr>
          <w:rFonts w:cs="Arial"/>
          <w:b/>
          <w:bCs/>
          <w:szCs w:val="22"/>
        </w:rPr>
        <w:t xml:space="preserve">Capital </w:t>
      </w:r>
    </w:p>
    <w:p w14:paraId="6E8112BB" w14:textId="7D13ACE4" w:rsidR="00304E07" w:rsidRPr="00B12DD2" w:rsidRDefault="00304E07" w:rsidP="00304E07">
      <w:pPr>
        <w:spacing w:after="120"/>
        <w:jc w:val="both"/>
        <w:rPr>
          <w:rFonts w:cs="Arial"/>
          <w:bCs/>
          <w:szCs w:val="22"/>
          <w:lang w:eastAsia="en-GB"/>
        </w:rPr>
      </w:pPr>
      <w:r w:rsidRPr="00B12DD2">
        <w:rPr>
          <w:rFonts w:cs="Arial"/>
          <w:bCs/>
          <w:szCs w:val="22"/>
          <w:lang w:eastAsia="en-GB"/>
        </w:rPr>
        <w:t>Capital Expenditure relates primarily to spending on Council assets (i.e. an item with an expected life of more than one year).  Overall the expend</w:t>
      </w:r>
      <w:r w:rsidR="00075581" w:rsidRPr="00B12DD2">
        <w:rPr>
          <w:rFonts w:cs="Arial"/>
          <w:bCs/>
          <w:szCs w:val="22"/>
          <w:lang w:eastAsia="en-GB"/>
        </w:rPr>
        <w:t>iture during the year was</w:t>
      </w:r>
      <w:r w:rsidR="00D05E3F" w:rsidRPr="00B12DD2">
        <w:rPr>
          <w:rFonts w:cs="Arial"/>
          <w:bCs/>
          <w:szCs w:val="22"/>
          <w:lang w:eastAsia="en-GB"/>
        </w:rPr>
        <w:t xml:space="preserve"> £4.076</w:t>
      </w:r>
      <w:r w:rsidRPr="00B12DD2">
        <w:rPr>
          <w:rFonts w:cs="Arial"/>
          <w:bCs/>
          <w:szCs w:val="22"/>
          <w:lang w:eastAsia="en-GB"/>
        </w:rPr>
        <w:t>m, compared to the approv</w:t>
      </w:r>
      <w:r w:rsidR="00A62A58" w:rsidRPr="00B12DD2">
        <w:rPr>
          <w:rFonts w:cs="Arial"/>
          <w:bCs/>
          <w:szCs w:val="22"/>
          <w:lang w:eastAsia="en-GB"/>
        </w:rPr>
        <w:t xml:space="preserve">ed capital </w:t>
      </w:r>
      <w:r w:rsidR="00D05E3F" w:rsidRPr="00B12DD2">
        <w:rPr>
          <w:rFonts w:cs="Arial"/>
          <w:bCs/>
          <w:szCs w:val="22"/>
          <w:lang w:eastAsia="en-GB"/>
        </w:rPr>
        <w:t>project budget of £26.805m (i.e. 15</w:t>
      </w:r>
      <w:r w:rsidRPr="00B12DD2">
        <w:rPr>
          <w:rFonts w:cs="Arial"/>
          <w:bCs/>
          <w:szCs w:val="22"/>
          <w:lang w:eastAsia="en-GB"/>
        </w:rPr>
        <w:t>% of the approved programme</w:t>
      </w:r>
      <w:r w:rsidR="00D05E3F" w:rsidRPr="00B12DD2">
        <w:rPr>
          <w:rFonts w:cs="Arial"/>
          <w:bCs/>
          <w:szCs w:val="22"/>
          <w:lang w:eastAsia="en-GB"/>
        </w:rPr>
        <w:t xml:space="preserve"> </w:t>
      </w:r>
      <w:r w:rsidR="00B12DD2" w:rsidRPr="00B12DD2">
        <w:rPr>
          <w:rFonts w:cs="Arial"/>
          <w:bCs/>
          <w:szCs w:val="22"/>
          <w:lang w:eastAsia="en-GB"/>
        </w:rPr>
        <w:t>was actually spent) with £13.654</w:t>
      </w:r>
      <w:r w:rsidR="00D05E3F" w:rsidRPr="00B12DD2">
        <w:rPr>
          <w:rFonts w:cs="Arial"/>
          <w:bCs/>
          <w:szCs w:val="22"/>
          <w:lang w:eastAsia="en-GB"/>
        </w:rPr>
        <w:t>m declared as an under</w:t>
      </w:r>
      <w:r w:rsidRPr="00B12DD2">
        <w:rPr>
          <w:rFonts w:cs="Arial"/>
          <w:bCs/>
          <w:szCs w:val="22"/>
          <w:lang w:eastAsia="en-GB"/>
        </w:rPr>
        <w:t xml:space="preserve">spend due to </w:t>
      </w:r>
      <w:r w:rsidR="008934A6" w:rsidRPr="00B12DD2">
        <w:rPr>
          <w:rFonts w:cs="Arial"/>
          <w:bCs/>
          <w:szCs w:val="22"/>
          <w:lang w:eastAsia="en-GB"/>
        </w:rPr>
        <w:t xml:space="preserve">a </w:t>
      </w:r>
      <w:r w:rsidR="00D05E3F" w:rsidRPr="00B12DD2">
        <w:rPr>
          <w:rFonts w:cs="Arial"/>
          <w:bCs/>
          <w:szCs w:val="22"/>
          <w:lang w:eastAsia="en-GB"/>
        </w:rPr>
        <w:t>number of project being on hold at the</w:t>
      </w:r>
      <w:r w:rsidR="008934A6" w:rsidRPr="00B12DD2">
        <w:rPr>
          <w:rFonts w:cs="Arial"/>
          <w:bCs/>
          <w:szCs w:val="22"/>
          <w:lang w:eastAsia="en-GB"/>
        </w:rPr>
        <w:t xml:space="preserve"> </w:t>
      </w:r>
      <w:r w:rsidR="00D05E3F" w:rsidRPr="00B12DD2">
        <w:rPr>
          <w:rFonts w:cs="Arial"/>
          <w:bCs/>
          <w:szCs w:val="22"/>
          <w:lang w:eastAsia="en-GB"/>
        </w:rPr>
        <w:t>year-end (£13.409m)</w:t>
      </w:r>
      <w:r w:rsidRPr="00B12DD2">
        <w:rPr>
          <w:rFonts w:cs="Arial"/>
          <w:bCs/>
          <w:szCs w:val="22"/>
          <w:lang w:eastAsia="en-GB"/>
        </w:rPr>
        <w:t>.</w:t>
      </w:r>
    </w:p>
    <w:p w14:paraId="68B87C0E" w14:textId="28BFBA2D" w:rsidR="00304E07" w:rsidRPr="00B12DD2" w:rsidRDefault="00304E07" w:rsidP="00304E07">
      <w:pPr>
        <w:spacing w:after="120"/>
        <w:jc w:val="both"/>
        <w:rPr>
          <w:rFonts w:cs="Arial"/>
          <w:bCs/>
          <w:szCs w:val="22"/>
          <w:lang w:eastAsia="en-GB"/>
        </w:rPr>
      </w:pPr>
      <w:r w:rsidRPr="00B12DD2">
        <w:rPr>
          <w:rFonts w:cs="Arial"/>
          <w:bCs/>
          <w:szCs w:val="22"/>
          <w:lang w:eastAsia="en-GB"/>
        </w:rPr>
        <w:t xml:space="preserve">Expenditure was funded from external </w:t>
      </w:r>
      <w:r w:rsidR="00075581" w:rsidRPr="00B12DD2">
        <w:rPr>
          <w:rFonts w:cs="Arial"/>
          <w:bCs/>
          <w:szCs w:val="22"/>
          <w:lang w:eastAsia="en-GB"/>
        </w:rPr>
        <w:t>grants and contribu</w:t>
      </w:r>
      <w:r w:rsidR="00D05E3F" w:rsidRPr="00B12DD2">
        <w:rPr>
          <w:rFonts w:cs="Arial"/>
          <w:bCs/>
          <w:szCs w:val="22"/>
          <w:lang w:eastAsia="en-GB"/>
        </w:rPr>
        <w:t>tions (£3.355</w:t>
      </w:r>
      <w:r w:rsidRPr="00B12DD2">
        <w:rPr>
          <w:rFonts w:cs="Arial"/>
          <w:bCs/>
          <w:szCs w:val="22"/>
          <w:lang w:eastAsia="en-GB"/>
        </w:rPr>
        <w:t xml:space="preserve">m), </w:t>
      </w:r>
      <w:r w:rsidR="00D05E3F" w:rsidRPr="00B12DD2">
        <w:rPr>
          <w:rFonts w:cs="Arial"/>
          <w:bCs/>
          <w:szCs w:val="22"/>
          <w:lang w:eastAsia="en-GB"/>
        </w:rPr>
        <w:t>Capital Receipts (£0.140</w:t>
      </w:r>
      <w:r w:rsidR="008934A6" w:rsidRPr="00B12DD2">
        <w:rPr>
          <w:rFonts w:cs="Arial"/>
          <w:bCs/>
          <w:szCs w:val="22"/>
          <w:lang w:eastAsia="en-GB"/>
        </w:rPr>
        <w:t xml:space="preserve">m), </w:t>
      </w:r>
      <w:r w:rsidR="00C51F5C" w:rsidRPr="00B12DD2">
        <w:rPr>
          <w:rFonts w:cs="Arial"/>
          <w:bCs/>
          <w:szCs w:val="22"/>
          <w:lang w:eastAsia="en-GB"/>
        </w:rPr>
        <w:t>Developer Contributions</w:t>
      </w:r>
      <w:r w:rsidR="00075581" w:rsidRPr="00B12DD2">
        <w:rPr>
          <w:rFonts w:cs="Arial"/>
          <w:bCs/>
          <w:szCs w:val="22"/>
          <w:lang w:eastAsia="en-GB"/>
        </w:rPr>
        <w:t xml:space="preserve"> (£0.</w:t>
      </w:r>
      <w:r w:rsidR="00D05E3F" w:rsidRPr="00B12DD2">
        <w:rPr>
          <w:rFonts w:cs="Arial"/>
          <w:bCs/>
          <w:szCs w:val="22"/>
          <w:lang w:eastAsia="en-GB"/>
        </w:rPr>
        <w:t>166</w:t>
      </w:r>
      <w:r w:rsidR="00C51F5C" w:rsidRPr="00B12DD2">
        <w:rPr>
          <w:rFonts w:cs="Arial"/>
          <w:bCs/>
          <w:szCs w:val="22"/>
          <w:lang w:eastAsia="en-GB"/>
        </w:rPr>
        <w:t>m)</w:t>
      </w:r>
      <w:r w:rsidR="008934A6" w:rsidRPr="00B12DD2">
        <w:rPr>
          <w:rFonts w:cs="Arial"/>
          <w:bCs/>
          <w:szCs w:val="22"/>
          <w:lang w:eastAsia="en-GB"/>
        </w:rPr>
        <w:t xml:space="preserve"> and</w:t>
      </w:r>
      <w:r w:rsidR="00D05E3F" w:rsidRPr="00B12DD2">
        <w:rPr>
          <w:rFonts w:cs="Arial"/>
          <w:bCs/>
          <w:szCs w:val="22"/>
          <w:lang w:eastAsia="en-GB"/>
        </w:rPr>
        <w:t xml:space="preserve"> the remainder from RCCO (£0.415</w:t>
      </w:r>
      <w:r w:rsidR="008934A6" w:rsidRPr="00B12DD2">
        <w:rPr>
          <w:rFonts w:cs="Arial"/>
          <w:bCs/>
          <w:szCs w:val="22"/>
          <w:lang w:eastAsia="en-GB"/>
        </w:rPr>
        <w:t>m)</w:t>
      </w:r>
      <w:r w:rsidR="00C51F5C" w:rsidRPr="00B12DD2">
        <w:rPr>
          <w:rFonts w:cs="Arial"/>
          <w:bCs/>
          <w:szCs w:val="22"/>
          <w:lang w:eastAsia="en-GB"/>
        </w:rPr>
        <w:t>.</w:t>
      </w:r>
    </w:p>
    <w:tbl>
      <w:tblPr>
        <w:tblW w:w="11404"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blBorders>
        <w:tblLook w:val="00A0" w:firstRow="1" w:lastRow="0" w:firstColumn="1" w:lastColumn="0" w:noHBand="0" w:noVBand="0"/>
      </w:tblPr>
      <w:tblGrid>
        <w:gridCol w:w="3238"/>
        <w:gridCol w:w="1361"/>
        <w:gridCol w:w="1361"/>
        <w:gridCol w:w="1361"/>
        <w:gridCol w:w="1361"/>
        <w:gridCol w:w="1361"/>
        <w:gridCol w:w="1361"/>
      </w:tblGrid>
      <w:tr w:rsidR="00844E24" w:rsidRPr="00B12DD2" w14:paraId="706FE5D9" w14:textId="77777777" w:rsidTr="00D05E3F">
        <w:trPr>
          <w:trHeight w:val="20"/>
          <w:jc w:val="center"/>
        </w:trPr>
        <w:tc>
          <w:tcPr>
            <w:tcW w:w="3238" w:type="dxa"/>
            <w:vAlign w:val="center"/>
          </w:tcPr>
          <w:p w14:paraId="087C0320" w14:textId="63C2ABAF" w:rsidR="00844E24" w:rsidRPr="00B12DD2" w:rsidRDefault="000C7101" w:rsidP="00DE143B">
            <w:pPr>
              <w:rPr>
                <w:rFonts w:cs="Arial"/>
                <w:b/>
                <w:bCs/>
                <w:szCs w:val="22"/>
              </w:rPr>
            </w:pPr>
            <w:r w:rsidRPr="00B12DD2">
              <w:rPr>
                <w:rFonts w:cs="Arial"/>
                <w:b/>
                <w:bCs/>
                <w:szCs w:val="22"/>
              </w:rPr>
              <w:t>Capital Programme – Approved Projects</w:t>
            </w:r>
          </w:p>
        </w:tc>
        <w:tc>
          <w:tcPr>
            <w:tcW w:w="1361" w:type="dxa"/>
            <w:vAlign w:val="center"/>
          </w:tcPr>
          <w:p w14:paraId="0ED39C41" w14:textId="2701421D" w:rsidR="00844E24" w:rsidRPr="00B12DD2" w:rsidRDefault="00844E24" w:rsidP="00D05E3F">
            <w:pPr>
              <w:jc w:val="center"/>
              <w:rPr>
                <w:rFonts w:cs="Arial"/>
                <w:b/>
                <w:bCs/>
                <w:szCs w:val="22"/>
              </w:rPr>
            </w:pPr>
            <w:r w:rsidRPr="00B12DD2">
              <w:rPr>
                <w:rFonts w:cs="Arial"/>
                <w:b/>
                <w:bCs/>
                <w:szCs w:val="22"/>
              </w:rPr>
              <w:t>Total Project</w:t>
            </w:r>
          </w:p>
          <w:p w14:paraId="28249145" w14:textId="4EF62FF6" w:rsidR="00844E24" w:rsidRPr="00B12DD2" w:rsidRDefault="00844E24" w:rsidP="00D05E3F">
            <w:pPr>
              <w:jc w:val="center"/>
              <w:rPr>
                <w:rFonts w:cs="Arial"/>
                <w:b/>
                <w:bCs/>
                <w:szCs w:val="22"/>
              </w:rPr>
            </w:pPr>
            <w:r w:rsidRPr="00B12DD2">
              <w:rPr>
                <w:rFonts w:cs="Arial"/>
                <w:b/>
                <w:bCs/>
                <w:szCs w:val="22"/>
              </w:rPr>
              <w:t>Budget</w:t>
            </w:r>
          </w:p>
        </w:tc>
        <w:tc>
          <w:tcPr>
            <w:tcW w:w="1361" w:type="dxa"/>
            <w:vAlign w:val="center"/>
          </w:tcPr>
          <w:p w14:paraId="7DEB3FC1" w14:textId="77777777" w:rsidR="00844E24" w:rsidRPr="00B12DD2" w:rsidRDefault="00844E24" w:rsidP="00D05E3F">
            <w:pPr>
              <w:jc w:val="center"/>
              <w:rPr>
                <w:rFonts w:cs="Arial"/>
                <w:b/>
                <w:bCs/>
                <w:szCs w:val="22"/>
              </w:rPr>
            </w:pPr>
            <w:r w:rsidRPr="00B12DD2">
              <w:rPr>
                <w:rFonts w:cs="Arial"/>
                <w:b/>
                <w:bCs/>
                <w:szCs w:val="22"/>
              </w:rPr>
              <w:t>Prior Year</w:t>
            </w:r>
          </w:p>
          <w:p w14:paraId="6114136A" w14:textId="125E1C59" w:rsidR="00844E24" w:rsidRPr="00B12DD2" w:rsidRDefault="001E2376" w:rsidP="00D05E3F">
            <w:pPr>
              <w:jc w:val="center"/>
              <w:rPr>
                <w:rFonts w:cs="Arial"/>
                <w:b/>
                <w:bCs/>
                <w:szCs w:val="22"/>
              </w:rPr>
            </w:pPr>
            <w:r w:rsidRPr="00B12DD2">
              <w:rPr>
                <w:rFonts w:cs="Arial"/>
                <w:b/>
                <w:bCs/>
                <w:szCs w:val="22"/>
              </w:rPr>
              <w:t>Actuals</w:t>
            </w:r>
          </w:p>
        </w:tc>
        <w:tc>
          <w:tcPr>
            <w:tcW w:w="1361" w:type="dxa"/>
            <w:vAlign w:val="center"/>
          </w:tcPr>
          <w:p w14:paraId="67D729E3" w14:textId="77777777" w:rsidR="00844E24" w:rsidRPr="00B12DD2" w:rsidRDefault="00844E24" w:rsidP="00D05E3F">
            <w:pPr>
              <w:jc w:val="center"/>
              <w:rPr>
                <w:rFonts w:cs="Arial"/>
                <w:b/>
                <w:bCs/>
                <w:szCs w:val="22"/>
              </w:rPr>
            </w:pPr>
          </w:p>
          <w:p w14:paraId="446EE6F8" w14:textId="77777777" w:rsidR="00844E24" w:rsidRPr="00B12DD2" w:rsidRDefault="00844E24" w:rsidP="00D05E3F">
            <w:pPr>
              <w:jc w:val="center"/>
              <w:rPr>
                <w:rFonts w:cs="Arial"/>
                <w:b/>
                <w:bCs/>
                <w:szCs w:val="22"/>
              </w:rPr>
            </w:pPr>
            <w:r w:rsidRPr="00B12DD2">
              <w:rPr>
                <w:rFonts w:cs="Arial"/>
                <w:b/>
                <w:bCs/>
                <w:szCs w:val="22"/>
              </w:rPr>
              <w:t>Outturn</w:t>
            </w:r>
          </w:p>
          <w:p w14:paraId="3914F715" w14:textId="09FEAB41" w:rsidR="00844E24" w:rsidRPr="00B12DD2" w:rsidRDefault="00AD17C1" w:rsidP="00D05E3F">
            <w:pPr>
              <w:jc w:val="center"/>
              <w:rPr>
                <w:rFonts w:cs="Arial"/>
                <w:b/>
                <w:bCs/>
                <w:szCs w:val="22"/>
              </w:rPr>
            </w:pPr>
            <w:r w:rsidRPr="00B12DD2">
              <w:rPr>
                <w:rFonts w:cs="Arial"/>
                <w:b/>
                <w:bCs/>
                <w:szCs w:val="22"/>
              </w:rPr>
              <w:t>201</w:t>
            </w:r>
            <w:r w:rsidR="009A3034" w:rsidRPr="00B12DD2">
              <w:rPr>
                <w:rFonts w:cs="Arial"/>
                <w:b/>
                <w:bCs/>
                <w:szCs w:val="22"/>
              </w:rPr>
              <w:t>9</w:t>
            </w:r>
            <w:r w:rsidRPr="00B12DD2">
              <w:rPr>
                <w:rFonts w:cs="Arial"/>
                <w:b/>
                <w:bCs/>
                <w:szCs w:val="22"/>
              </w:rPr>
              <w:t>/</w:t>
            </w:r>
            <w:r w:rsidR="009A3034" w:rsidRPr="00B12DD2">
              <w:rPr>
                <w:rFonts w:cs="Arial"/>
                <w:b/>
                <w:bCs/>
                <w:szCs w:val="22"/>
              </w:rPr>
              <w:t>20</w:t>
            </w:r>
          </w:p>
        </w:tc>
        <w:tc>
          <w:tcPr>
            <w:tcW w:w="1361" w:type="dxa"/>
            <w:vAlign w:val="center"/>
          </w:tcPr>
          <w:p w14:paraId="5442E403" w14:textId="77777777" w:rsidR="00844E24" w:rsidRPr="00B12DD2" w:rsidRDefault="00844E24" w:rsidP="00D05E3F">
            <w:pPr>
              <w:jc w:val="center"/>
              <w:rPr>
                <w:rFonts w:cs="Arial"/>
                <w:b/>
                <w:bCs/>
                <w:szCs w:val="22"/>
              </w:rPr>
            </w:pPr>
            <w:r w:rsidRPr="00B12DD2">
              <w:rPr>
                <w:rFonts w:cs="Arial"/>
                <w:b/>
                <w:bCs/>
                <w:szCs w:val="22"/>
              </w:rPr>
              <w:t>Future Year</w:t>
            </w:r>
          </w:p>
          <w:p w14:paraId="18909488" w14:textId="0FAD360F" w:rsidR="00844E24" w:rsidRPr="00B12DD2" w:rsidRDefault="00844E24" w:rsidP="00D05E3F">
            <w:pPr>
              <w:jc w:val="center"/>
              <w:rPr>
                <w:rFonts w:cs="Arial"/>
                <w:b/>
                <w:bCs/>
                <w:szCs w:val="22"/>
              </w:rPr>
            </w:pPr>
            <w:r w:rsidRPr="00B12DD2">
              <w:rPr>
                <w:rFonts w:cs="Arial"/>
                <w:b/>
                <w:bCs/>
                <w:szCs w:val="22"/>
              </w:rPr>
              <w:t>Outturn</w:t>
            </w:r>
          </w:p>
        </w:tc>
        <w:tc>
          <w:tcPr>
            <w:tcW w:w="1361" w:type="dxa"/>
            <w:vAlign w:val="center"/>
          </w:tcPr>
          <w:p w14:paraId="26850B42" w14:textId="77777777" w:rsidR="00844E24" w:rsidRPr="00B12DD2" w:rsidRDefault="00844E24" w:rsidP="00D05E3F">
            <w:pPr>
              <w:jc w:val="center"/>
              <w:rPr>
                <w:rFonts w:cs="Arial"/>
                <w:b/>
                <w:bCs/>
                <w:szCs w:val="22"/>
              </w:rPr>
            </w:pPr>
            <w:r w:rsidRPr="00B12DD2">
              <w:rPr>
                <w:rFonts w:cs="Arial"/>
                <w:b/>
                <w:bCs/>
                <w:szCs w:val="22"/>
              </w:rPr>
              <w:t>Estimated</w:t>
            </w:r>
          </w:p>
          <w:p w14:paraId="7D9ED7D4" w14:textId="7F258EB0" w:rsidR="00844E24" w:rsidRPr="00B12DD2" w:rsidRDefault="00844E24" w:rsidP="00D05E3F">
            <w:pPr>
              <w:jc w:val="center"/>
              <w:rPr>
                <w:rFonts w:cs="Arial"/>
                <w:b/>
                <w:bCs/>
                <w:szCs w:val="22"/>
              </w:rPr>
            </w:pPr>
            <w:r w:rsidRPr="00B12DD2">
              <w:rPr>
                <w:rFonts w:cs="Arial"/>
                <w:b/>
                <w:bCs/>
                <w:szCs w:val="22"/>
              </w:rPr>
              <w:t>Outturn</w:t>
            </w:r>
          </w:p>
        </w:tc>
        <w:tc>
          <w:tcPr>
            <w:tcW w:w="1361" w:type="dxa"/>
            <w:vAlign w:val="center"/>
          </w:tcPr>
          <w:p w14:paraId="51CAE995" w14:textId="506FE18A" w:rsidR="00844E24" w:rsidRPr="00B12DD2" w:rsidRDefault="00844E24" w:rsidP="00D05E3F">
            <w:pPr>
              <w:jc w:val="center"/>
              <w:rPr>
                <w:rFonts w:cs="Arial"/>
                <w:b/>
                <w:bCs/>
                <w:szCs w:val="22"/>
              </w:rPr>
            </w:pPr>
            <w:r w:rsidRPr="00B12DD2">
              <w:rPr>
                <w:rFonts w:cs="Arial"/>
                <w:b/>
                <w:bCs/>
                <w:szCs w:val="22"/>
              </w:rPr>
              <w:t>Total Project Variance</w:t>
            </w:r>
          </w:p>
        </w:tc>
      </w:tr>
      <w:tr w:rsidR="00844E24" w:rsidRPr="00B12DD2" w14:paraId="1F01BEE6" w14:textId="77777777" w:rsidTr="00D05E3F">
        <w:trPr>
          <w:trHeight w:val="20"/>
          <w:jc w:val="center"/>
        </w:trPr>
        <w:tc>
          <w:tcPr>
            <w:tcW w:w="3238" w:type="dxa"/>
            <w:vAlign w:val="center"/>
          </w:tcPr>
          <w:p w14:paraId="3EDDF67D" w14:textId="77777777" w:rsidR="00844E24" w:rsidRPr="00B12DD2" w:rsidRDefault="00844E24" w:rsidP="00DE143B">
            <w:pPr>
              <w:rPr>
                <w:rFonts w:cs="Arial"/>
                <w:b/>
                <w:bCs/>
                <w:szCs w:val="22"/>
              </w:rPr>
            </w:pPr>
          </w:p>
        </w:tc>
        <w:tc>
          <w:tcPr>
            <w:tcW w:w="1361" w:type="dxa"/>
            <w:vAlign w:val="center"/>
          </w:tcPr>
          <w:p w14:paraId="69DFA855" w14:textId="61B70987" w:rsidR="00844E24" w:rsidRPr="00B12DD2" w:rsidRDefault="00844E24" w:rsidP="00D05E3F">
            <w:pPr>
              <w:jc w:val="center"/>
              <w:rPr>
                <w:rFonts w:cs="Arial"/>
                <w:b/>
                <w:bCs/>
                <w:szCs w:val="22"/>
              </w:rPr>
            </w:pPr>
            <w:r w:rsidRPr="00B12DD2">
              <w:rPr>
                <w:rFonts w:cs="Arial"/>
                <w:b/>
                <w:bCs/>
                <w:szCs w:val="22"/>
              </w:rPr>
              <w:t>£000</w:t>
            </w:r>
          </w:p>
        </w:tc>
        <w:tc>
          <w:tcPr>
            <w:tcW w:w="1361" w:type="dxa"/>
            <w:vAlign w:val="center"/>
          </w:tcPr>
          <w:p w14:paraId="4449B0B3" w14:textId="45F55862" w:rsidR="00844E24" w:rsidRPr="00B12DD2" w:rsidRDefault="00844E24" w:rsidP="00D05E3F">
            <w:pPr>
              <w:jc w:val="center"/>
              <w:rPr>
                <w:rFonts w:cs="Arial"/>
                <w:b/>
                <w:bCs/>
                <w:szCs w:val="22"/>
              </w:rPr>
            </w:pPr>
            <w:r w:rsidRPr="00B12DD2">
              <w:rPr>
                <w:rFonts w:cs="Arial"/>
                <w:b/>
                <w:bCs/>
                <w:szCs w:val="22"/>
              </w:rPr>
              <w:t>£000</w:t>
            </w:r>
          </w:p>
        </w:tc>
        <w:tc>
          <w:tcPr>
            <w:tcW w:w="1361" w:type="dxa"/>
            <w:vAlign w:val="center"/>
          </w:tcPr>
          <w:p w14:paraId="5A0CAB7A" w14:textId="704C875B" w:rsidR="00844E24" w:rsidRPr="00B12DD2" w:rsidRDefault="00844E24" w:rsidP="00D05E3F">
            <w:pPr>
              <w:jc w:val="center"/>
              <w:rPr>
                <w:rFonts w:cs="Arial"/>
                <w:b/>
                <w:bCs/>
                <w:szCs w:val="22"/>
              </w:rPr>
            </w:pPr>
            <w:r w:rsidRPr="00B12DD2">
              <w:rPr>
                <w:rFonts w:cs="Arial"/>
                <w:b/>
                <w:bCs/>
                <w:szCs w:val="22"/>
              </w:rPr>
              <w:t>£000</w:t>
            </w:r>
          </w:p>
        </w:tc>
        <w:tc>
          <w:tcPr>
            <w:tcW w:w="1361" w:type="dxa"/>
            <w:vAlign w:val="center"/>
          </w:tcPr>
          <w:p w14:paraId="331B491A" w14:textId="42F1B382" w:rsidR="00844E24" w:rsidRPr="00B12DD2" w:rsidRDefault="00844E24" w:rsidP="00D05E3F">
            <w:pPr>
              <w:jc w:val="center"/>
              <w:rPr>
                <w:rFonts w:cs="Arial"/>
                <w:b/>
                <w:bCs/>
                <w:szCs w:val="22"/>
              </w:rPr>
            </w:pPr>
            <w:r w:rsidRPr="00B12DD2">
              <w:rPr>
                <w:rFonts w:cs="Arial"/>
                <w:b/>
                <w:bCs/>
                <w:szCs w:val="22"/>
              </w:rPr>
              <w:t>£000</w:t>
            </w:r>
          </w:p>
        </w:tc>
        <w:tc>
          <w:tcPr>
            <w:tcW w:w="1361" w:type="dxa"/>
            <w:vAlign w:val="center"/>
          </w:tcPr>
          <w:p w14:paraId="38D045DC" w14:textId="4D804909" w:rsidR="00844E24" w:rsidRPr="00B12DD2" w:rsidRDefault="00844E24" w:rsidP="00D05E3F">
            <w:pPr>
              <w:jc w:val="center"/>
              <w:rPr>
                <w:rFonts w:cs="Arial"/>
                <w:b/>
                <w:bCs/>
                <w:szCs w:val="22"/>
              </w:rPr>
            </w:pPr>
            <w:r w:rsidRPr="00B12DD2">
              <w:rPr>
                <w:rFonts w:cs="Arial"/>
                <w:b/>
                <w:bCs/>
                <w:szCs w:val="22"/>
              </w:rPr>
              <w:t>£000</w:t>
            </w:r>
          </w:p>
        </w:tc>
        <w:tc>
          <w:tcPr>
            <w:tcW w:w="1361" w:type="dxa"/>
            <w:vAlign w:val="center"/>
          </w:tcPr>
          <w:p w14:paraId="2914D37A" w14:textId="4D7EAAB2" w:rsidR="00844E24" w:rsidRPr="00B12DD2" w:rsidRDefault="00844E24" w:rsidP="00D05E3F">
            <w:pPr>
              <w:jc w:val="center"/>
              <w:rPr>
                <w:rFonts w:cs="Arial"/>
                <w:b/>
                <w:bCs/>
                <w:szCs w:val="22"/>
              </w:rPr>
            </w:pPr>
            <w:r w:rsidRPr="00B12DD2">
              <w:rPr>
                <w:rFonts w:cs="Arial"/>
                <w:b/>
                <w:bCs/>
                <w:szCs w:val="22"/>
              </w:rPr>
              <w:t>£000</w:t>
            </w:r>
          </w:p>
        </w:tc>
      </w:tr>
      <w:tr w:rsidR="00844E24" w:rsidRPr="00B12DD2" w14:paraId="68712401" w14:textId="77777777" w:rsidTr="001415B3">
        <w:trPr>
          <w:trHeight w:val="20"/>
          <w:jc w:val="center"/>
        </w:trPr>
        <w:tc>
          <w:tcPr>
            <w:tcW w:w="3238" w:type="dxa"/>
            <w:vAlign w:val="center"/>
          </w:tcPr>
          <w:p w14:paraId="4F3BCBE8" w14:textId="27BBB8C6" w:rsidR="00D05E3F" w:rsidRPr="00B12DD2" w:rsidRDefault="00844E24" w:rsidP="00DE143B">
            <w:pPr>
              <w:rPr>
                <w:rFonts w:cs="Arial"/>
                <w:szCs w:val="22"/>
              </w:rPr>
            </w:pPr>
            <w:r w:rsidRPr="00B12DD2">
              <w:rPr>
                <w:rFonts w:cs="Arial"/>
                <w:szCs w:val="22"/>
              </w:rPr>
              <w:t>Commercialisation</w:t>
            </w:r>
          </w:p>
        </w:tc>
        <w:tc>
          <w:tcPr>
            <w:tcW w:w="1361" w:type="dxa"/>
          </w:tcPr>
          <w:p w14:paraId="5A697A70" w14:textId="765A18DA" w:rsidR="00844E24" w:rsidRPr="00B12DD2" w:rsidRDefault="00D05E3F" w:rsidP="000C7101">
            <w:pPr>
              <w:jc w:val="right"/>
              <w:rPr>
                <w:rFonts w:cs="Arial"/>
                <w:szCs w:val="22"/>
              </w:rPr>
            </w:pPr>
            <w:r w:rsidRPr="00B12DD2">
              <w:rPr>
                <w:rFonts w:cs="Arial"/>
                <w:szCs w:val="22"/>
              </w:rPr>
              <w:t>10,310</w:t>
            </w:r>
          </w:p>
        </w:tc>
        <w:tc>
          <w:tcPr>
            <w:tcW w:w="1361" w:type="dxa"/>
          </w:tcPr>
          <w:p w14:paraId="1CA6E6C2" w14:textId="0BAB766E" w:rsidR="00844E24" w:rsidRPr="00B12DD2" w:rsidRDefault="00D05E3F" w:rsidP="000C7101">
            <w:pPr>
              <w:jc w:val="right"/>
              <w:rPr>
                <w:rFonts w:cs="Arial"/>
                <w:szCs w:val="22"/>
              </w:rPr>
            </w:pPr>
            <w:r w:rsidRPr="00B12DD2">
              <w:rPr>
                <w:rFonts w:cs="Arial"/>
                <w:szCs w:val="22"/>
              </w:rPr>
              <w:t>0</w:t>
            </w:r>
          </w:p>
        </w:tc>
        <w:tc>
          <w:tcPr>
            <w:tcW w:w="1361" w:type="dxa"/>
          </w:tcPr>
          <w:p w14:paraId="14CE696C" w14:textId="738A8882" w:rsidR="00844E24" w:rsidRPr="00B12DD2" w:rsidRDefault="00D05E3F" w:rsidP="000C7101">
            <w:pPr>
              <w:jc w:val="right"/>
              <w:rPr>
                <w:rFonts w:cs="Arial"/>
                <w:szCs w:val="22"/>
              </w:rPr>
            </w:pPr>
            <w:r w:rsidRPr="00B12DD2">
              <w:rPr>
                <w:rFonts w:cs="Arial"/>
                <w:szCs w:val="22"/>
              </w:rPr>
              <w:t>69</w:t>
            </w:r>
          </w:p>
        </w:tc>
        <w:tc>
          <w:tcPr>
            <w:tcW w:w="1361" w:type="dxa"/>
            <w:vAlign w:val="center"/>
          </w:tcPr>
          <w:p w14:paraId="440A6297" w14:textId="0D8D1892" w:rsidR="00844E24" w:rsidRPr="00B12DD2" w:rsidRDefault="00D05E3F" w:rsidP="000C7101">
            <w:pPr>
              <w:jc w:val="right"/>
              <w:rPr>
                <w:rFonts w:cs="Arial"/>
                <w:szCs w:val="22"/>
              </w:rPr>
            </w:pPr>
            <w:r w:rsidRPr="00B12DD2">
              <w:rPr>
                <w:rFonts w:cs="Arial"/>
                <w:szCs w:val="22"/>
              </w:rPr>
              <w:t>44</w:t>
            </w:r>
          </w:p>
        </w:tc>
        <w:tc>
          <w:tcPr>
            <w:tcW w:w="1361" w:type="dxa"/>
            <w:vAlign w:val="center"/>
          </w:tcPr>
          <w:p w14:paraId="5D75167E" w14:textId="00E0B882" w:rsidR="00844E24" w:rsidRPr="00B12DD2" w:rsidRDefault="00D05E3F" w:rsidP="000C7101">
            <w:pPr>
              <w:jc w:val="right"/>
              <w:rPr>
                <w:rFonts w:cs="Arial"/>
                <w:szCs w:val="22"/>
              </w:rPr>
            </w:pPr>
            <w:r w:rsidRPr="00B12DD2">
              <w:rPr>
                <w:rFonts w:cs="Arial"/>
                <w:szCs w:val="22"/>
              </w:rPr>
              <w:t>113</w:t>
            </w:r>
          </w:p>
        </w:tc>
        <w:tc>
          <w:tcPr>
            <w:tcW w:w="1361" w:type="dxa"/>
            <w:vAlign w:val="center"/>
          </w:tcPr>
          <w:p w14:paraId="6FECBF3B" w14:textId="394DBB38" w:rsidR="00844E24" w:rsidRPr="00B12DD2" w:rsidRDefault="00830272" w:rsidP="000C7101">
            <w:pPr>
              <w:jc w:val="right"/>
              <w:rPr>
                <w:rFonts w:cs="Arial"/>
                <w:noProof/>
                <w:szCs w:val="22"/>
              </w:rPr>
            </w:pPr>
            <w:r w:rsidRPr="00B12DD2">
              <w:rPr>
                <w:rFonts w:cs="Arial"/>
                <w:noProof/>
                <w:szCs w:val="22"/>
              </w:rPr>
              <w:fldChar w:fldCharType="begin"/>
            </w:r>
            <w:r w:rsidRPr="00B12DD2">
              <w:rPr>
                <w:rFonts w:cs="Arial"/>
                <w:noProof/>
                <w:szCs w:val="22"/>
              </w:rPr>
              <w:instrText xml:space="preserve"> =f3-b3 \# "0;(0)" </w:instrText>
            </w:r>
            <w:r w:rsidRPr="00B12DD2">
              <w:rPr>
                <w:rFonts w:cs="Arial"/>
                <w:noProof/>
                <w:szCs w:val="22"/>
              </w:rPr>
              <w:fldChar w:fldCharType="separate"/>
            </w:r>
            <w:r w:rsidR="00B12DD2" w:rsidRPr="00B12DD2">
              <w:rPr>
                <w:rFonts w:cs="Arial"/>
                <w:noProof/>
                <w:szCs w:val="22"/>
              </w:rPr>
              <w:t>(10,197)</w:t>
            </w:r>
            <w:r w:rsidRPr="00B12DD2">
              <w:rPr>
                <w:rFonts w:cs="Arial"/>
                <w:noProof/>
                <w:szCs w:val="22"/>
              </w:rPr>
              <w:fldChar w:fldCharType="end"/>
            </w:r>
          </w:p>
        </w:tc>
      </w:tr>
      <w:tr w:rsidR="00844E24" w:rsidRPr="00B12DD2" w14:paraId="1106DB89" w14:textId="77777777" w:rsidTr="005B0635">
        <w:trPr>
          <w:trHeight w:val="323"/>
          <w:jc w:val="center"/>
        </w:trPr>
        <w:tc>
          <w:tcPr>
            <w:tcW w:w="3238" w:type="dxa"/>
            <w:vAlign w:val="center"/>
          </w:tcPr>
          <w:p w14:paraId="577F3804" w14:textId="38C4D046" w:rsidR="00844E24" w:rsidRPr="00B12DD2" w:rsidRDefault="00D05E3F" w:rsidP="00DE143B">
            <w:pPr>
              <w:rPr>
                <w:rFonts w:cs="Arial"/>
                <w:szCs w:val="22"/>
              </w:rPr>
            </w:pPr>
            <w:r w:rsidRPr="00B12DD2">
              <w:rPr>
                <w:rFonts w:cs="Arial"/>
                <w:szCs w:val="22"/>
              </w:rPr>
              <w:t>Asset Manage</w:t>
            </w:r>
            <w:r w:rsidR="00844E24" w:rsidRPr="00B12DD2">
              <w:rPr>
                <w:rFonts w:cs="Arial"/>
                <w:szCs w:val="22"/>
              </w:rPr>
              <w:t>ment Requirements</w:t>
            </w:r>
          </w:p>
        </w:tc>
        <w:tc>
          <w:tcPr>
            <w:tcW w:w="1361" w:type="dxa"/>
            <w:vAlign w:val="center"/>
          </w:tcPr>
          <w:p w14:paraId="40A224E0" w14:textId="19819DB4" w:rsidR="00844E24" w:rsidRPr="00B12DD2" w:rsidRDefault="00D05E3F" w:rsidP="005B0635">
            <w:pPr>
              <w:jc w:val="right"/>
              <w:rPr>
                <w:rFonts w:cs="Arial"/>
                <w:szCs w:val="22"/>
              </w:rPr>
            </w:pPr>
            <w:r w:rsidRPr="00B12DD2">
              <w:rPr>
                <w:rFonts w:cs="Arial"/>
                <w:szCs w:val="22"/>
              </w:rPr>
              <w:t>8,216</w:t>
            </w:r>
          </w:p>
        </w:tc>
        <w:tc>
          <w:tcPr>
            <w:tcW w:w="1361" w:type="dxa"/>
            <w:vAlign w:val="center"/>
          </w:tcPr>
          <w:p w14:paraId="003A8960" w14:textId="13D10EF7" w:rsidR="00844E24" w:rsidRPr="00B12DD2" w:rsidRDefault="00D05E3F" w:rsidP="005B0635">
            <w:pPr>
              <w:jc w:val="right"/>
              <w:rPr>
                <w:rFonts w:cs="Arial"/>
                <w:szCs w:val="22"/>
              </w:rPr>
            </w:pPr>
            <w:r w:rsidRPr="00B12DD2">
              <w:rPr>
                <w:rFonts w:cs="Arial"/>
                <w:szCs w:val="22"/>
              </w:rPr>
              <w:t>794</w:t>
            </w:r>
          </w:p>
        </w:tc>
        <w:tc>
          <w:tcPr>
            <w:tcW w:w="1361" w:type="dxa"/>
            <w:vAlign w:val="center"/>
          </w:tcPr>
          <w:p w14:paraId="4ED8E203" w14:textId="3D72CF0E" w:rsidR="00844E24" w:rsidRPr="00B12DD2" w:rsidRDefault="00D05E3F" w:rsidP="005B0635">
            <w:pPr>
              <w:jc w:val="right"/>
              <w:rPr>
                <w:rFonts w:cs="Arial"/>
                <w:szCs w:val="22"/>
              </w:rPr>
            </w:pPr>
            <w:r w:rsidRPr="00B12DD2">
              <w:rPr>
                <w:rFonts w:cs="Arial"/>
                <w:szCs w:val="22"/>
              </w:rPr>
              <w:t>3,025</w:t>
            </w:r>
          </w:p>
        </w:tc>
        <w:tc>
          <w:tcPr>
            <w:tcW w:w="1361" w:type="dxa"/>
            <w:vAlign w:val="center"/>
          </w:tcPr>
          <w:p w14:paraId="4694E2BF" w14:textId="4D0BCDF0" w:rsidR="00844E24" w:rsidRPr="00B12DD2" w:rsidRDefault="00D05E3F" w:rsidP="005B0635">
            <w:pPr>
              <w:jc w:val="right"/>
              <w:rPr>
                <w:rFonts w:cs="Arial"/>
                <w:szCs w:val="22"/>
              </w:rPr>
            </w:pPr>
            <w:r w:rsidRPr="00B12DD2">
              <w:rPr>
                <w:rFonts w:cs="Arial"/>
                <w:szCs w:val="22"/>
              </w:rPr>
              <w:t>1,100</w:t>
            </w:r>
          </w:p>
        </w:tc>
        <w:tc>
          <w:tcPr>
            <w:tcW w:w="1361" w:type="dxa"/>
            <w:vAlign w:val="center"/>
          </w:tcPr>
          <w:p w14:paraId="58CB8570" w14:textId="1C37419A" w:rsidR="00844E24" w:rsidRPr="00B12DD2" w:rsidRDefault="00D05E3F" w:rsidP="005B0635">
            <w:pPr>
              <w:jc w:val="right"/>
              <w:rPr>
                <w:rFonts w:cs="Arial"/>
                <w:szCs w:val="22"/>
              </w:rPr>
            </w:pPr>
            <w:r w:rsidRPr="00B12DD2">
              <w:rPr>
                <w:rFonts w:cs="Arial"/>
                <w:szCs w:val="22"/>
              </w:rPr>
              <w:t>4,918</w:t>
            </w:r>
          </w:p>
        </w:tc>
        <w:tc>
          <w:tcPr>
            <w:tcW w:w="1361" w:type="dxa"/>
            <w:vAlign w:val="center"/>
          </w:tcPr>
          <w:p w14:paraId="12CB018B" w14:textId="1D4A1F54" w:rsidR="00844E24" w:rsidRPr="00B12DD2" w:rsidRDefault="00830272" w:rsidP="005B0635">
            <w:pPr>
              <w:jc w:val="right"/>
              <w:rPr>
                <w:rFonts w:cs="Arial"/>
                <w:szCs w:val="22"/>
              </w:rPr>
            </w:pPr>
            <w:r w:rsidRPr="00B12DD2">
              <w:rPr>
                <w:rFonts w:cs="Arial"/>
                <w:szCs w:val="22"/>
              </w:rPr>
              <w:fldChar w:fldCharType="begin"/>
            </w:r>
            <w:r w:rsidRPr="00B12DD2">
              <w:rPr>
                <w:rFonts w:cs="Arial"/>
                <w:szCs w:val="22"/>
              </w:rPr>
              <w:instrText xml:space="preserve"> =f4-b4 \# "#,##0;(#,##0)" </w:instrText>
            </w:r>
            <w:r w:rsidRPr="00B12DD2">
              <w:rPr>
                <w:rFonts w:cs="Arial"/>
                <w:szCs w:val="22"/>
              </w:rPr>
              <w:fldChar w:fldCharType="separate"/>
            </w:r>
            <w:r w:rsidR="00B12DD2" w:rsidRPr="00B12DD2">
              <w:rPr>
                <w:rFonts w:cs="Arial"/>
                <w:noProof/>
                <w:szCs w:val="22"/>
              </w:rPr>
              <w:t>(3,298)</w:t>
            </w:r>
            <w:r w:rsidRPr="00B12DD2">
              <w:rPr>
                <w:rFonts w:cs="Arial"/>
                <w:szCs w:val="22"/>
              </w:rPr>
              <w:fldChar w:fldCharType="end"/>
            </w:r>
          </w:p>
        </w:tc>
      </w:tr>
      <w:tr w:rsidR="00844E24" w:rsidRPr="00B12DD2" w14:paraId="68CDDD4F" w14:textId="77777777" w:rsidTr="001415B3">
        <w:trPr>
          <w:trHeight w:val="323"/>
          <w:jc w:val="center"/>
        </w:trPr>
        <w:tc>
          <w:tcPr>
            <w:tcW w:w="3238" w:type="dxa"/>
            <w:vAlign w:val="center"/>
          </w:tcPr>
          <w:p w14:paraId="4F20C66C" w14:textId="67AC511B" w:rsidR="00D05E3F" w:rsidRPr="00B12DD2" w:rsidRDefault="00844E24" w:rsidP="00DE143B">
            <w:pPr>
              <w:rPr>
                <w:rFonts w:cs="Arial"/>
                <w:szCs w:val="22"/>
              </w:rPr>
            </w:pPr>
            <w:r w:rsidRPr="00B12DD2">
              <w:rPr>
                <w:rFonts w:cs="Arial"/>
                <w:szCs w:val="22"/>
              </w:rPr>
              <w:lastRenderedPageBreak/>
              <w:t>Strategic Aims and Priorities</w:t>
            </w:r>
          </w:p>
        </w:tc>
        <w:tc>
          <w:tcPr>
            <w:tcW w:w="1361" w:type="dxa"/>
            <w:tcBorders>
              <w:bottom w:val="single" w:sz="8" w:space="0" w:color="auto"/>
            </w:tcBorders>
          </w:tcPr>
          <w:p w14:paraId="2C40AEFA" w14:textId="371D53B3" w:rsidR="00844E24" w:rsidRPr="00B12DD2" w:rsidRDefault="00D05E3F" w:rsidP="000C7101">
            <w:pPr>
              <w:jc w:val="right"/>
              <w:rPr>
                <w:rFonts w:cs="Arial"/>
                <w:szCs w:val="22"/>
              </w:rPr>
            </w:pPr>
            <w:r w:rsidRPr="00B12DD2">
              <w:rPr>
                <w:rFonts w:cs="Arial"/>
                <w:szCs w:val="22"/>
              </w:rPr>
              <w:t>8,279</w:t>
            </w:r>
          </w:p>
        </w:tc>
        <w:tc>
          <w:tcPr>
            <w:tcW w:w="1361" w:type="dxa"/>
            <w:tcBorders>
              <w:bottom w:val="single" w:sz="8" w:space="0" w:color="auto"/>
            </w:tcBorders>
          </w:tcPr>
          <w:p w14:paraId="122DE174" w14:textId="37B6A5AF" w:rsidR="00844E24" w:rsidRPr="00B12DD2" w:rsidRDefault="00D05E3F" w:rsidP="000C7101">
            <w:pPr>
              <w:jc w:val="right"/>
              <w:rPr>
                <w:rFonts w:cs="Arial"/>
                <w:szCs w:val="22"/>
              </w:rPr>
            </w:pPr>
            <w:r w:rsidRPr="00B12DD2">
              <w:rPr>
                <w:rFonts w:cs="Arial"/>
                <w:szCs w:val="22"/>
              </w:rPr>
              <w:t>4,712</w:t>
            </w:r>
          </w:p>
        </w:tc>
        <w:tc>
          <w:tcPr>
            <w:tcW w:w="1361" w:type="dxa"/>
            <w:tcBorders>
              <w:bottom w:val="single" w:sz="8" w:space="0" w:color="auto"/>
            </w:tcBorders>
          </w:tcPr>
          <w:p w14:paraId="0F6A7360" w14:textId="1925F66C" w:rsidR="00844E24" w:rsidRPr="00B12DD2" w:rsidRDefault="00D05E3F" w:rsidP="000C7101">
            <w:pPr>
              <w:jc w:val="right"/>
              <w:rPr>
                <w:rFonts w:cs="Arial"/>
                <w:szCs w:val="22"/>
              </w:rPr>
            </w:pPr>
            <w:r w:rsidRPr="00B12DD2">
              <w:rPr>
                <w:rFonts w:cs="Arial"/>
                <w:szCs w:val="22"/>
              </w:rPr>
              <w:t>982</w:t>
            </w:r>
          </w:p>
        </w:tc>
        <w:tc>
          <w:tcPr>
            <w:tcW w:w="1361" w:type="dxa"/>
            <w:tcBorders>
              <w:bottom w:val="single" w:sz="8" w:space="0" w:color="auto"/>
            </w:tcBorders>
            <w:vAlign w:val="center"/>
          </w:tcPr>
          <w:p w14:paraId="37690B28" w14:textId="20EF3934" w:rsidR="00844E24" w:rsidRPr="00B12DD2" w:rsidRDefault="00D05E3F" w:rsidP="000C7101">
            <w:pPr>
              <w:jc w:val="right"/>
              <w:rPr>
                <w:rFonts w:cs="Arial"/>
                <w:szCs w:val="22"/>
              </w:rPr>
            </w:pPr>
            <w:r w:rsidRPr="00B12DD2">
              <w:rPr>
                <w:rFonts w:cs="Arial"/>
                <w:szCs w:val="22"/>
              </w:rPr>
              <w:t>2,426</w:t>
            </w:r>
          </w:p>
        </w:tc>
        <w:tc>
          <w:tcPr>
            <w:tcW w:w="1361" w:type="dxa"/>
            <w:tcBorders>
              <w:bottom w:val="single" w:sz="8" w:space="0" w:color="auto"/>
            </w:tcBorders>
            <w:vAlign w:val="center"/>
          </w:tcPr>
          <w:p w14:paraId="53DDC2EA" w14:textId="3A301BF2" w:rsidR="00844E24" w:rsidRPr="00B12DD2" w:rsidRDefault="00D05E3F" w:rsidP="000C7101">
            <w:pPr>
              <w:jc w:val="right"/>
              <w:rPr>
                <w:rFonts w:cs="Arial"/>
                <w:szCs w:val="22"/>
              </w:rPr>
            </w:pPr>
            <w:r w:rsidRPr="00B12DD2">
              <w:rPr>
                <w:rFonts w:cs="Arial"/>
                <w:szCs w:val="22"/>
              </w:rPr>
              <w:t>8,120</w:t>
            </w:r>
          </w:p>
        </w:tc>
        <w:tc>
          <w:tcPr>
            <w:tcW w:w="1361" w:type="dxa"/>
            <w:tcBorders>
              <w:bottom w:val="single" w:sz="8" w:space="0" w:color="auto"/>
            </w:tcBorders>
            <w:vAlign w:val="center"/>
          </w:tcPr>
          <w:p w14:paraId="7D8B6C7C" w14:textId="6126E104" w:rsidR="00844E24" w:rsidRPr="00B12DD2" w:rsidRDefault="00830272" w:rsidP="000C7101">
            <w:pPr>
              <w:jc w:val="right"/>
              <w:rPr>
                <w:rFonts w:cs="Arial"/>
                <w:szCs w:val="22"/>
              </w:rPr>
            </w:pPr>
            <w:r w:rsidRPr="00B12DD2">
              <w:rPr>
                <w:rFonts w:cs="Arial"/>
                <w:noProof/>
                <w:szCs w:val="22"/>
              </w:rPr>
              <w:fldChar w:fldCharType="begin"/>
            </w:r>
            <w:r w:rsidRPr="00B12DD2">
              <w:rPr>
                <w:rFonts w:cs="Arial"/>
                <w:noProof/>
                <w:szCs w:val="22"/>
              </w:rPr>
              <w:instrText xml:space="preserve"> =f5-b5 \# "#,##0;(#,##0)" </w:instrText>
            </w:r>
            <w:r w:rsidRPr="00B12DD2">
              <w:rPr>
                <w:rFonts w:cs="Arial"/>
                <w:noProof/>
                <w:szCs w:val="22"/>
              </w:rPr>
              <w:fldChar w:fldCharType="separate"/>
            </w:r>
            <w:r w:rsidR="00B12DD2" w:rsidRPr="00B12DD2">
              <w:rPr>
                <w:rFonts w:cs="Arial"/>
                <w:noProof/>
                <w:szCs w:val="22"/>
              </w:rPr>
              <w:t>( 159)</w:t>
            </w:r>
            <w:r w:rsidRPr="00B12DD2">
              <w:rPr>
                <w:rFonts w:cs="Arial"/>
                <w:noProof/>
                <w:szCs w:val="22"/>
              </w:rPr>
              <w:fldChar w:fldCharType="end"/>
            </w:r>
          </w:p>
        </w:tc>
      </w:tr>
      <w:tr w:rsidR="00844E24" w:rsidRPr="007A1321" w14:paraId="0B61C132" w14:textId="77777777" w:rsidTr="001415B3">
        <w:trPr>
          <w:trHeight w:val="20"/>
          <w:jc w:val="center"/>
        </w:trPr>
        <w:tc>
          <w:tcPr>
            <w:tcW w:w="3238" w:type="dxa"/>
            <w:vAlign w:val="center"/>
          </w:tcPr>
          <w:p w14:paraId="3CB0211A" w14:textId="0D7C32D0" w:rsidR="00844E24" w:rsidRPr="00B12DD2" w:rsidRDefault="000C7101" w:rsidP="00C12187">
            <w:pPr>
              <w:rPr>
                <w:rFonts w:cs="Arial"/>
                <w:b/>
                <w:bCs/>
                <w:szCs w:val="22"/>
              </w:rPr>
            </w:pPr>
            <w:r w:rsidRPr="00B12DD2">
              <w:rPr>
                <w:rFonts w:cs="Arial"/>
                <w:b/>
                <w:bCs/>
                <w:szCs w:val="22"/>
              </w:rPr>
              <w:t>Total</w:t>
            </w:r>
          </w:p>
        </w:tc>
        <w:tc>
          <w:tcPr>
            <w:tcW w:w="1361" w:type="dxa"/>
            <w:tcBorders>
              <w:top w:val="single" w:sz="8" w:space="0" w:color="auto"/>
              <w:bottom w:val="single" w:sz="8" w:space="0" w:color="auto"/>
            </w:tcBorders>
          </w:tcPr>
          <w:p w14:paraId="42C01345" w14:textId="57A11281" w:rsidR="00844E24" w:rsidRPr="00B12DD2" w:rsidRDefault="00CE07CF" w:rsidP="000C7101">
            <w:pPr>
              <w:jc w:val="right"/>
              <w:rPr>
                <w:rFonts w:cs="Arial"/>
                <w:b/>
                <w:szCs w:val="22"/>
              </w:rPr>
            </w:pPr>
            <w:r w:rsidRPr="00B12DD2">
              <w:rPr>
                <w:rFonts w:cs="Arial"/>
                <w:b/>
                <w:szCs w:val="22"/>
              </w:rPr>
              <w:fldChar w:fldCharType="begin"/>
            </w:r>
            <w:r w:rsidRPr="00B12DD2">
              <w:rPr>
                <w:rFonts w:cs="Arial"/>
                <w:b/>
                <w:szCs w:val="22"/>
              </w:rPr>
              <w:instrText xml:space="preserve"> =SUM(ABOVE) \# "#,##0;(#,##0)" </w:instrText>
            </w:r>
            <w:r w:rsidRPr="00B12DD2">
              <w:rPr>
                <w:rFonts w:cs="Arial"/>
                <w:b/>
                <w:szCs w:val="22"/>
              </w:rPr>
              <w:fldChar w:fldCharType="separate"/>
            </w:r>
            <w:r w:rsidR="00D05E3F" w:rsidRPr="00B12DD2">
              <w:rPr>
                <w:rFonts w:cs="Arial"/>
                <w:b/>
                <w:noProof/>
                <w:szCs w:val="22"/>
              </w:rPr>
              <w:t>26,805</w:t>
            </w:r>
            <w:r w:rsidRPr="00B12DD2">
              <w:rPr>
                <w:rFonts w:cs="Arial"/>
                <w:b/>
                <w:szCs w:val="22"/>
              </w:rPr>
              <w:fldChar w:fldCharType="end"/>
            </w:r>
          </w:p>
        </w:tc>
        <w:tc>
          <w:tcPr>
            <w:tcW w:w="1361" w:type="dxa"/>
            <w:tcBorders>
              <w:top w:val="single" w:sz="8" w:space="0" w:color="auto"/>
              <w:bottom w:val="single" w:sz="8" w:space="0" w:color="auto"/>
            </w:tcBorders>
          </w:tcPr>
          <w:p w14:paraId="723E52F4" w14:textId="0A8C19F4" w:rsidR="00844E24" w:rsidRPr="00B12DD2" w:rsidRDefault="009E20FF" w:rsidP="000C7101">
            <w:pPr>
              <w:jc w:val="right"/>
              <w:rPr>
                <w:rFonts w:cs="Arial"/>
                <w:b/>
                <w:szCs w:val="22"/>
              </w:rPr>
            </w:pPr>
            <w:r w:rsidRPr="00B12DD2">
              <w:rPr>
                <w:rFonts w:cs="Arial"/>
                <w:b/>
                <w:szCs w:val="22"/>
              </w:rPr>
              <w:fldChar w:fldCharType="begin"/>
            </w:r>
            <w:r w:rsidRPr="00B12DD2">
              <w:rPr>
                <w:rFonts w:cs="Arial"/>
                <w:b/>
                <w:szCs w:val="22"/>
              </w:rPr>
              <w:instrText xml:space="preserve"> =SUM(ABOVE) \# "#,##0;(#,##0)" </w:instrText>
            </w:r>
            <w:r w:rsidRPr="00B12DD2">
              <w:rPr>
                <w:rFonts w:cs="Arial"/>
                <w:b/>
                <w:szCs w:val="22"/>
              </w:rPr>
              <w:fldChar w:fldCharType="separate"/>
            </w:r>
            <w:r w:rsidR="00D05E3F" w:rsidRPr="00B12DD2">
              <w:rPr>
                <w:rFonts w:cs="Arial"/>
                <w:b/>
                <w:noProof/>
                <w:szCs w:val="22"/>
              </w:rPr>
              <w:t>5,506</w:t>
            </w:r>
            <w:r w:rsidRPr="00B12DD2">
              <w:rPr>
                <w:rFonts w:cs="Arial"/>
                <w:b/>
                <w:szCs w:val="22"/>
              </w:rPr>
              <w:fldChar w:fldCharType="end"/>
            </w:r>
          </w:p>
        </w:tc>
        <w:tc>
          <w:tcPr>
            <w:tcW w:w="1361" w:type="dxa"/>
            <w:tcBorders>
              <w:top w:val="single" w:sz="8" w:space="0" w:color="auto"/>
              <w:bottom w:val="single" w:sz="8" w:space="0" w:color="auto"/>
            </w:tcBorders>
          </w:tcPr>
          <w:p w14:paraId="782F11AC" w14:textId="2AD3F671" w:rsidR="00844E24" w:rsidRPr="00B12DD2" w:rsidRDefault="009E20FF" w:rsidP="000C7101">
            <w:pPr>
              <w:jc w:val="right"/>
              <w:rPr>
                <w:rFonts w:cs="Arial"/>
                <w:b/>
                <w:szCs w:val="22"/>
              </w:rPr>
            </w:pPr>
            <w:r w:rsidRPr="00B12DD2">
              <w:rPr>
                <w:rFonts w:cs="Arial"/>
                <w:b/>
                <w:szCs w:val="22"/>
              </w:rPr>
              <w:fldChar w:fldCharType="begin"/>
            </w:r>
            <w:r w:rsidRPr="00B12DD2">
              <w:rPr>
                <w:rFonts w:cs="Arial"/>
                <w:b/>
                <w:szCs w:val="22"/>
              </w:rPr>
              <w:instrText xml:space="preserve"> =SUM(ABOVE) \# "#,##0;(#,##0)" </w:instrText>
            </w:r>
            <w:r w:rsidRPr="00B12DD2">
              <w:rPr>
                <w:rFonts w:cs="Arial"/>
                <w:b/>
                <w:szCs w:val="22"/>
              </w:rPr>
              <w:fldChar w:fldCharType="separate"/>
            </w:r>
            <w:r w:rsidR="00D05E3F" w:rsidRPr="00B12DD2">
              <w:rPr>
                <w:rFonts w:cs="Arial"/>
                <w:b/>
                <w:noProof/>
                <w:szCs w:val="22"/>
              </w:rPr>
              <w:t>4,076</w:t>
            </w:r>
            <w:r w:rsidRPr="00B12DD2">
              <w:rPr>
                <w:rFonts w:cs="Arial"/>
                <w:b/>
                <w:szCs w:val="22"/>
              </w:rPr>
              <w:fldChar w:fldCharType="end"/>
            </w:r>
          </w:p>
        </w:tc>
        <w:tc>
          <w:tcPr>
            <w:tcW w:w="1361" w:type="dxa"/>
            <w:tcBorders>
              <w:top w:val="single" w:sz="8" w:space="0" w:color="auto"/>
              <w:bottom w:val="single" w:sz="8" w:space="0" w:color="auto"/>
            </w:tcBorders>
          </w:tcPr>
          <w:p w14:paraId="4BF2B085" w14:textId="046510EA" w:rsidR="00844E24" w:rsidRPr="00B12DD2" w:rsidRDefault="009E20FF" w:rsidP="000C7101">
            <w:pPr>
              <w:jc w:val="right"/>
              <w:rPr>
                <w:rFonts w:cs="Arial"/>
                <w:b/>
                <w:szCs w:val="22"/>
              </w:rPr>
            </w:pPr>
            <w:r w:rsidRPr="00B12DD2">
              <w:rPr>
                <w:rFonts w:cs="Arial"/>
                <w:b/>
                <w:szCs w:val="22"/>
              </w:rPr>
              <w:fldChar w:fldCharType="begin"/>
            </w:r>
            <w:r w:rsidRPr="00B12DD2">
              <w:rPr>
                <w:rFonts w:cs="Arial"/>
                <w:b/>
                <w:szCs w:val="22"/>
              </w:rPr>
              <w:instrText xml:space="preserve"> =SUM(ABOVE) \# "#,##0;(#,##0)" </w:instrText>
            </w:r>
            <w:r w:rsidRPr="00B12DD2">
              <w:rPr>
                <w:rFonts w:cs="Arial"/>
                <w:b/>
                <w:szCs w:val="22"/>
              </w:rPr>
              <w:fldChar w:fldCharType="separate"/>
            </w:r>
            <w:r w:rsidR="00D05E3F" w:rsidRPr="00B12DD2">
              <w:rPr>
                <w:rFonts w:cs="Arial"/>
                <w:b/>
                <w:noProof/>
                <w:szCs w:val="22"/>
              </w:rPr>
              <w:t>3,570</w:t>
            </w:r>
            <w:r w:rsidRPr="00B12DD2">
              <w:rPr>
                <w:rFonts w:cs="Arial"/>
                <w:b/>
                <w:szCs w:val="22"/>
              </w:rPr>
              <w:fldChar w:fldCharType="end"/>
            </w:r>
          </w:p>
        </w:tc>
        <w:tc>
          <w:tcPr>
            <w:tcW w:w="1361" w:type="dxa"/>
            <w:tcBorders>
              <w:top w:val="single" w:sz="8" w:space="0" w:color="auto"/>
              <w:bottom w:val="single" w:sz="8" w:space="0" w:color="auto"/>
            </w:tcBorders>
          </w:tcPr>
          <w:p w14:paraId="386AC27F" w14:textId="121D11D6" w:rsidR="00844E24" w:rsidRPr="00B12DD2" w:rsidRDefault="009E20FF" w:rsidP="000C7101">
            <w:pPr>
              <w:jc w:val="right"/>
              <w:rPr>
                <w:rFonts w:cs="Arial"/>
                <w:b/>
                <w:szCs w:val="22"/>
              </w:rPr>
            </w:pPr>
            <w:r w:rsidRPr="00B12DD2">
              <w:rPr>
                <w:rFonts w:cs="Arial"/>
                <w:b/>
                <w:szCs w:val="22"/>
              </w:rPr>
              <w:fldChar w:fldCharType="begin"/>
            </w:r>
            <w:r w:rsidRPr="00B12DD2">
              <w:rPr>
                <w:rFonts w:cs="Arial"/>
                <w:b/>
                <w:szCs w:val="22"/>
              </w:rPr>
              <w:instrText xml:space="preserve"> =SUM(ABOVE) \# "#,##0;(#,##0)" </w:instrText>
            </w:r>
            <w:r w:rsidRPr="00B12DD2">
              <w:rPr>
                <w:rFonts w:cs="Arial"/>
                <w:b/>
                <w:szCs w:val="22"/>
              </w:rPr>
              <w:fldChar w:fldCharType="separate"/>
            </w:r>
            <w:r w:rsidR="00D05E3F" w:rsidRPr="00B12DD2">
              <w:rPr>
                <w:rFonts w:cs="Arial"/>
                <w:b/>
                <w:noProof/>
                <w:szCs w:val="22"/>
              </w:rPr>
              <w:t>13,151</w:t>
            </w:r>
            <w:r w:rsidRPr="00B12DD2">
              <w:rPr>
                <w:rFonts w:cs="Arial"/>
                <w:b/>
                <w:szCs w:val="22"/>
              </w:rPr>
              <w:fldChar w:fldCharType="end"/>
            </w:r>
          </w:p>
        </w:tc>
        <w:tc>
          <w:tcPr>
            <w:tcW w:w="1361" w:type="dxa"/>
            <w:tcBorders>
              <w:top w:val="single" w:sz="8" w:space="0" w:color="auto"/>
              <w:bottom w:val="single" w:sz="8" w:space="0" w:color="auto"/>
            </w:tcBorders>
          </w:tcPr>
          <w:p w14:paraId="72B4565A" w14:textId="73546242" w:rsidR="00844E24" w:rsidRPr="007A1321" w:rsidRDefault="004B0EAB" w:rsidP="000C7101">
            <w:pPr>
              <w:jc w:val="right"/>
              <w:rPr>
                <w:rFonts w:cs="Arial"/>
                <w:b/>
                <w:szCs w:val="22"/>
              </w:rPr>
            </w:pPr>
            <w:r w:rsidRPr="00B12DD2">
              <w:rPr>
                <w:rFonts w:cs="Arial"/>
                <w:b/>
                <w:szCs w:val="22"/>
              </w:rPr>
              <w:fldChar w:fldCharType="begin"/>
            </w:r>
            <w:r w:rsidRPr="00B12DD2">
              <w:rPr>
                <w:rFonts w:cs="Arial"/>
                <w:b/>
                <w:szCs w:val="22"/>
              </w:rPr>
              <w:instrText xml:space="preserve"> =G3+G4+G5 \# "#,##0;(#,##0)" </w:instrText>
            </w:r>
            <w:r w:rsidRPr="00B12DD2">
              <w:rPr>
                <w:rFonts w:cs="Arial"/>
                <w:b/>
                <w:szCs w:val="22"/>
              </w:rPr>
              <w:fldChar w:fldCharType="separate"/>
            </w:r>
            <w:r w:rsidR="00B12DD2" w:rsidRPr="00B12DD2">
              <w:rPr>
                <w:rFonts w:cs="Arial"/>
                <w:b/>
                <w:noProof/>
                <w:szCs w:val="22"/>
              </w:rPr>
              <w:t>(13,654)</w:t>
            </w:r>
            <w:r w:rsidRPr="00B12DD2">
              <w:rPr>
                <w:rFonts w:cs="Arial"/>
                <w:b/>
                <w:szCs w:val="22"/>
              </w:rPr>
              <w:fldChar w:fldCharType="end"/>
            </w:r>
          </w:p>
        </w:tc>
      </w:tr>
      <w:tr w:rsidR="00844E24" w:rsidRPr="007A1321" w14:paraId="6299AF71" w14:textId="77777777" w:rsidTr="001415B3">
        <w:trPr>
          <w:trHeight w:val="20"/>
          <w:jc w:val="center"/>
        </w:trPr>
        <w:tc>
          <w:tcPr>
            <w:tcW w:w="3238" w:type="dxa"/>
            <w:vAlign w:val="center"/>
          </w:tcPr>
          <w:p w14:paraId="403D5070" w14:textId="77777777" w:rsidR="00844E24" w:rsidRPr="007A1321" w:rsidRDefault="00844E24" w:rsidP="00DE143B">
            <w:pPr>
              <w:rPr>
                <w:rFonts w:cs="Arial"/>
                <w:bCs/>
                <w:szCs w:val="22"/>
              </w:rPr>
            </w:pPr>
          </w:p>
        </w:tc>
        <w:tc>
          <w:tcPr>
            <w:tcW w:w="1361" w:type="dxa"/>
            <w:tcBorders>
              <w:top w:val="single" w:sz="8" w:space="0" w:color="auto"/>
            </w:tcBorders>
          </w:tcPr>
          <w:p w14:paraId="460DE269" w14:textId="77777777" w:rsidR="00844E24" w:rsidRPr="007A1321" w:rsidRDefault="00844E24" w:rsidP="00DE143B">
            <w:pPr>
              <w:jc w:val="right"/>
              <w:rPr>
                <w:rFonts w:cs="Arial"/>
                <w:bCs/>
                <w:szCs w:val="22"/>
              </w:rPr>
            </w:pPr>
          </w:p>
        </w:tc>
        <w:tc>
          <w:tcPr>
            <w:tcW w:w="1361" w:type="dxa"/>
            <w:tcBorders>
              <w:top w:val="single" w:sz="8" w:space="0" w:color="auto"/>
            </w:tcBorders>
          </w:tcPr>
          <w:p w14:paraId="38D65B5C" w14:textId="5DB00DCA" w:rsidR="00844E24" w:rsidRPr="007A1321" w:rsidRDefault="00844E24" w:rsidP="00DE143B">
            <w:pPr>
              <w:jc w:val="right"/>
              <w:rPr>
                <w:rFonts w:cs="Arial"/>
                <w:bCs/>
                <w:szCs w:val="22"/>
              </w:rPr>
            </w:pPr>
          </w:p>
        </w:tc>
        <w:tc>
          <w:tcPr>
            <w:tcW w:w="1361" w:type="dxa"/>
            <w:tcBorders>
              <w:top w:val="single" w:sz="8" w:space="0" w:color="auto"/>
            </w:tcBorders>
          </w:tcPr>
          <w:p w14:paraId="06A3BE49" w14:textId="77777777" w:rsidR="00844E24" w:rsidRPr="007A1321" w:rsidRDefault="00844E24" w:rsidP="00DE143B">
            <w:pPr>
              <w:jc w:val="right"/>
              <w:rPr>
                <w:rFonts w:cs="Arial"/>
                <w:bCs/>
                <w:szCs w:val="22"/>
              </w:rPr>
            </w:pPr>
          </w:p>
        </w:tc>
        <w:tc>
          <w:tcPr>
            <w:tcW w:w="1361" w:type="dxa"/>
            <w:tcBorders>
              <w:top w:val="single" w:sz="8" w:space="0" w:color="auto"/>
            </w:tcBorders>
            <w:vAlign w:val="center"/>
          </w:tcPr>
          <w:p w14:paraId="0B43B826" w14:textId="40C5FDBB" w:rsidR="00844E24" w:rsidRPr="007A1321" w:rsidRDefault="00844E24" w:rsidP="00DE143B">
            <w:pPr>
              <w:jc w:val="right"/>
              <w:rPr>
                <w:rFonts w:cs="Arial"/>
                <w:bCs/>
                <w:szCs w:val="22"/>
              </w:rPr>
            </w:pPr>
          </w:p>
        </w:tc>
        <w:tc>
          <w:tcPr>
            <w:tcW w:w="1361" w:type="dxa"/>
            <w:tcBorders>
              <w:top w:val="single" w:sz="8" w:space="0" w:color="auto"/>
            </w:tcBorders>
            <w:vAlign w:val="center"/>
          </w:tcPr>
          <w:p w14:paraId="3FFC4D04" w14:textId="77777777" w:rsidR="00844E24" w:rsidRPr="007A1321" w:rsidRDefault="00844E24" w:rsidP="00DE143B">
            <w:pPr>
              <w:jc w:val="right"/>
              <w:rPr>
                <w:rFonts w:cs="Arial"/>
                <w:bCs/>
                <w:szCs w:val="22"/>
              </w:rPr>
            </w:pPr>
          </w:p>
        </w:tc>
        <w:tc>
          <w:tcPr>
            <w:tcW w:w="1361" w:type="dxa"/>
            <w:tcBorders>
              <w:top w:val="single" w:sz="8" w:space="0" w:color="auto"/>
            </w:tcBorders>
            <w:vAlign w:val="center"/>
          </w:tcPr>
          <w:p w14:paraId="4D2369AB" w14:textId="77777777" w:rsidR="00844E24" w:rsidRPr="007A1321" w:rsidRDefault="00844E24" w:rsidP="00DE143B">
            <w:pPr>
              <w:jc w:val="right"/>
              <w:rPr>
                <w:rFonts w:cs="Arial"/>
                <w:bCs/>
                <w:szCs w:val="22"/>
              </w:rPr>
            </w:pPr>
          </w:p>
        </w:tc>
      </w:tr>
    </w:tbl>
    <w:p w14:paraId="3CEC7896" w14:textId="667F6C9E" w:rsidR="00304E07" w:rsidRPr="007A1321" w:rsidRDefault="00304E07" w:rsidP="00203885">
      <w:pPr>
        <w:pStyle w:val="ListParagraph"/>
        <w:numPr>
          <w:ilvl w:val="0"/>
          <w:numId w:val="17"/>
        </w:numPr>
        <w:spacing w:before="240" w:after="240"/>
        <w:ind w:left="0" w:firstLine="0"/>
        <w:contextualSpacing w:val="0"/>
        <w:jc w:val="both"/>
        <w:rPr>
          <w:rFonts w:cs="Arial"/>
          <w:b/>
          <w:bCs/>
          <w:szCs w:val="22"/>
        </w:rPr>
      </w:pPr>
      <w:r w:rsidRPr="007A1321">
        <w:rPr>
          <w:rFonts w:cs="Arial"/>
          <w:b/>
          <w:bCs/>
          <w:szCs w:val="22"/>
        </w:rPr>
        <w:t>Princip</w:t>
      </w:r>
      <w:r w:rsidR="000229A6" w:rsidRPr="007A1321">
        <w:rPr>
          <w:rFonts w:cs="Arial"/>
          <w:b/>
          <w:bCs/>
          <w:szCs w:val="22"/>
        </w:rPr>
        <w:t>al</w:t>
      </w:r>
      <w:r w:rsidRPr="007A1321">
        <w:rPr>
          <w:rFonts w:cs="Arial"/>
          <w:b/>
          <w:bCs/>
          <w:szCs w:val="22"/>
        </w:rPr>
        <w:t xml:space="preserve"> Risks and Uncertainty</w:t>
      </w:r>
    </w:p>
    <w:p w14:paraId="56DAF9F8" w14:textId="1B657016" w:rsidR="00304E07" w:rsidRPr="007A1321" w:rsidRDefault="00304E07" w:rsidP="00304E07">
      <w:pPr>
        <w:spacing w:after="120"/>
        <w:jc w:val="both"/>
        <w:rPr>
          <w:rFonts w:cs="Arial"/>
          <w:bCs/>
          <w:szCs w:val="22"/>
          <w:lang w:eastAsia="en-GB"/>
        </w:rPr>
      </w:pPr>
      <w:r w:rsidRPr="007A1321">
        <w:rPr>
          <w:rFonts w:cs="Arial"/>
          <w:bCs/>
          <w:szCs w:val="22"/>
          <w:lang w:eastAsia="en-GB"/>
        </w:rPr>
        <w:t xml:space="preserve">A risk management strategy is in place to identify and evaluate risks. There are clearly defined steps to support better decision making through the understanding of risks, whether a positive opportunity or a threat and the likely impact. The risk management process was re-presented to the audit and risk committee in </w:t>
      </w:r>
      <w:r w:rsidR="00AE180E" w:rsidRPr="007A1321">
        <w:rPr>
          <w:rFonts w:cs="Arial"/>
          <w:bCs/>
          <w:szCs w:val="22"/>
          <w:lang w:eastAsia="en-GB"/>
        </w:rPr>
        <w:t>January 2020</w:t>
      </w:r>
      <w:r w:rsidRPr="007A1321">
        <w:rPr>
          <w:rFonts w:cs="Arial"/>
          <w:bCs/>
          <w:szCs w:val="22"/>
          <w:lang w:eastAsia="en-GB"/>
        </w:rPr>
        <w:t>, and satisfied all assurance requirements. Below are our top risks from the Council’s comprehensive risk register.</w:t>
      </w:r>
    </w:p>
    <w:tbl>
      <w:tblPr>
        <w:tblW w:w="0" w:type="auto"/>
        <w:jc w:val="center"/>
        <w:shd w:val="clear" w:color="auto" w:fill="FFFFFF"/>
        <w:tblCellMar>
          <w:left w:w="0" w:type="dxa"/>
          <w:right w:w="0" w:type="dxa"/>
        </w:tblCellMar>
        <w:tblLook w:val="04A0" w:firstRow="1" w:lastRow="0" w:firstColumn="1" w:lastColumn="0" w:noHBand="0" w:noVBand="1"/>
      </w:tblPr>
      <w:tblGrid>
        <w:gridCol w:w="3327"/>
        <w:gridCol w:w="2707"/>
        <w:gridCol w:w="3311"/>
      </w:tblGrid>
      <w:tr w:rsidR="00304E07" w:rsidRPr="007A1321" w14:paraId="019E9041" w14:textId="77777777" w:rsidTr="00C51F5C">
        <w:trPr>
          <w:trHeight w:val="129"/>
          <w:tblHeader/>
          <w:jc w:val="center"/>
        </w:trPr>
        <w:tc>
          <w:tcPr>
            <w:tcW w:w="3327" w:type="dxa"/>
            <w:tcBorders>
              <w:top w:val="single" w:sz="18" w:space="0" w:color="A8D08D"/>
              <w:left w:val="single" w:sz="18" w:space="0" w:color="A8D08D"/>
              <w:bottom w:val="single" w:sz="18" w:space="0" w:color="A8D08D"/>
              <w:right w:val="single" w:sz="18" w:space="0" w:color="A8D08D"/>
            </w:tcBorders>
            <w:shd w:val="clear" w:color="auto" w:fill="FFFFFF"/>
            <w:tcMar>
              <w:top w:w="0" w:type="dxa"/>
              <w:left w:w="108" w:type="dxa"/>
              <w:bottom w:w="0" w:type="dxa"/>
              <w:right w:w="108" w:type="dxa"/>
            </w:tcMar>
            <w:hideMark/>
          </w:tcPr>
          <w:p w14:paraId="29B47304" w14:textId="77777777" w:rsidR="00304E07" w:rsidRPr="007A1321" w:rsidRDefault="00304E07" w:rsidP="00DE143B">
            <w:pPr>
              <w:spacing w:line="129" w:lineRule="atLeast"/>
              <w:rPr>
                <w:rFonts w:cs="Arial"/>
                <w:b/>
                <w:bCs/>
                <w:szCs w:val="22"/>
                <w:lang w:eastAsia="en-GB"/>
              </w:rPr>
            </w:pPr>
            <w:r w:rsidRPr="007A1321">
              <w:rPr>
                <w:rFonts w:cs="Arial"/>
                <w:b/>
                <w:bCs/>
                <w:szCs w:val="22"/>
                <w:lang w:eastAsia="en-GB"/>
              </w:rPr>
              <w:t>Risk</w:t>
            </w:r>
          </w:p>
        </w:tc>
        <w:tc>
          <w:tcPr>
            <w:tcW w:w="2707" w:type="dxa"/>
            <w:tcBorders>
              <w:top w:val="single" w:sz="18" w:space="0" w:color="A8D08D"/>
              <w:left w:val="nil"/>
              <w:bottom w:val="single" w:sz="18" w:space="0" w:color="A8D08D"/>
              <w:right w:val="single" w:sz="18" w:space="0" w:color="A8D08D"/>
            </w:tcBorders>
            <w:shd w:val="clear" w:color="auto" w:fill="FFFFFF"/>
            <w:tcMar>
              <w:top w:w="0" w:type="dxa"/>
              <w:left w:w="108" w:type="dxa"/>
              <w:bottom w:w="0" w:type="dxa"/>
              <w:right w:w="108" w:type="dxa"/>
            </w:tcMar>
            <w:hideMark/>
          </w:tcPr>
          <w:p w14:paraId="0AAD24B7" w14:textId="77777777" w:rsidR="00304E07" w:rsidRPr="007A1321" w:rsidRDefault="00304E07" w:rsidP="00DE143B">
            <w:pPr>
              <w:spacing w:line="129" w:lineRule="atLeast"/>
              <w:rPr>
                <w:rFonts w:cs="Arial"/>
                <w:b/>
                <w:bCs/>
                <w:szCs w:val="22"/>
                <w:lang w:eastAsia="en-GB"/>
              </w:rPr>
            </w:pPr>
            <w:r w:rsidRPr="007A1321">
              <w:rPr>
                <w:rFonts w:cs="Arial"/>
                <w:b/>
                <w:bCs/>
                <w:szCs w:val="22"/>
                <w:lang w:eastAsia="en-GB"/>
              </w:rPr>
              <w:t>Impact</w:t>
            </w:r>
          </w:p>
        </w:tc>
        <w:tc>
          <w:tcPr>
            <w:tcW w:w="3311" w:type="dxa"/>
            <w:tcBorders>
              <w:top w:val="single" w:sz="18" w:space="0" w:color="A8D08D"/>
              <w:left w:val="nil"/>
              <w:bottom w:val="single" w:sz="18" w:space="0" w:color="A8D08D"/>
              <w:right w:val="single" w:sz="18" w:space="0" w:color="A8D08D"/>
            </w:tcBorders>
            <w:shd w:val="clear" w:color="auto" w:fill="FFFFFF"/>
            <w:tcMar>
              <w:top w:w="0" w:type="dxa"/>
              <w:left w:w="108" w:type="dxa"/>
              <w:bottom w:w="0" w:type="dxa"/>
              <w:right w:w="108" w:type="dxa"/>
            </w:tcMar>
            <w:hideMark/>
          </w:tcPr>
          <w:p w14:paraId="2F66462A" w14:textId="77777777" w:rsidR="00304E07" w:rsidRPr="007A1321" w:rsidRDefault="00304E07" w:rsidP="00DE143B">
            <w:pPr>
              <w:spacing w:line="129" w:lineRule="atLeast"/>
              <w:rPr>
                <w:rFonts w:cs="Arial"/>
                <w:b/>
                <w:bCs/>
                <w:szCs w:val="22"/>
                <w:lang w:eastAsia="en-GB"/>
              </w:rPr>
            </w:pPr>
            <w:r w:rsidRPr="007A1321">
              <w:rPr>
                <w:rFonts w:cs="Arial"/>
                <w:b/>
                <w:bCs/>
                <w:szCs w:val="22"/>
                <w:lang w:eastAsia="en-GB"/>
              </w:rPr>
              <w:t>Controls</w:t>
            </w:r>
          </w:p>
        </w:tc>
      </w:tr>
      <w:tr w:rsidR="00304E07" w:rsidRPr="00976854" w14:paraId="5B33F665" w14:textId="77777777" w:rsidTr="00C51F5C">
        <w:trPr>
          <w:trHeight w:val="129"/>
          <w:jc w:val="center"/>
        </w:trPr>
        <w:tc>
          <w:tcPr>
            <w:tcW w:w="3327" w:type="dxa"/>
            <w:tcBorders>
              <w:top w:val="nil"/>
              <w:left w:val="single" w:sz="18" w:space="0" w:color="A8D08D"/>
              <w:bottom w:val="single" w:sz="18" w:space="0" w:color="A8D08D"/>
              <w:right w:val="single" w:sz="18" w:space="0" w:color="A8D08D"/>
            </w:tcBorders>
            <w:shd w:val="clear" w:color="auto" w:fill="FFFFFF"/>
            <w:tcMar>
              <w:top w:w="0" w:type="dxa"/>
              <w:left w:w="108" w:type="dxa"/>
              <w:bottom w:w="0" w:type="dxa"/>
              <w:right w:w="108" w:type="dxa"/>
            </w:tcMar>
            <w:hideMark/>
          </w:tcPr>
          <w:p w14:paraId="3B10BCAB" w14:textId="485686A9" w:rsidR="00AE180E" w:rsidRPr="007A1321" w:rsidRDefault="00AE180E" w:rsidP="00AE180E">
            <w:pPr>
              <w:spacing w:line="129" w:lineRule="atLeast"/>
              <w:rPr>
                <w:rFonts w:cs="Arial"/>
                <w:szCs w:val="22"/>
                <w:lang w:eastAsia="en-GB"/>
              </w:rPr>
            </w:pPr>
            <w:r w:rsidRPr="007A1321">
              <w:rPr>
                <w:rFonts w:cs="Arial"/>
                <w:szCs w:val="22"/>
              </w:rPr>
              <w:t>There is a risk that the Council is not financially stable in the medium term (as evidenced by the gap in MTFP</w:t>
            </w:r>
            <w:r w:rsidR="00FE130D">
              <w:rPr>
                <w:rFonts w:cs="Arial"/>
                <w:szCs w:val="22"/>
              </w:rPr>
              <w:t xml:space="preserve"> and the impact of the Coronavirus Pandemic</w:t>
            </w:r>
            <w:r w:rsidRPr="007A1321">
              <w:rPr>
                <w:rFonts w:cs="Arial"/>
                <w:szCs w:val="22"/>
              </w:rPr>
              <w:t>)</w:t>
            </w:r>
            <w:r w:rsidR="00FE130D">
              <w:rPr>
                <w:rFonts w:cs="Arial"/>
                <w:szCs w:val="22"/>
              </w:rPr>
              <w:t>.</w:t>
            </w:r>
          </w:p>
        </w:tc>
        <w:tc>
          <w:tcPr>
            <w:tcW w:w="2707" w:type="dxa"/>
            <w:tcBorders>
              <w:top w:val="nil"/>
              <w:left w:val="nil"/>
              <w:bottom w:val="single" w:sz="18" w:space="0" w:color="A8D08D"/>
              <w:right w:val="single" w:sz="18" w:space="0" w:color="A8D08D"/>
            </w:tcBorders>
            <w:shd w:val="clear" w:color="auto" w:fill="FFFFFF"/>
            <w:tcMar>
              <w:top w:w="0" w:type="dxa"/>
              <w:left w:w="108" w:type="dxa"/>
              <w:bottom w:w="0" w:type="dxa"/>
              <w:right w:w="108" w:type="dxa"/>
            </w:tcMar>
          </w:tcPr>
          <w:p w14:paraId="0C22C8AA" w14:textId="77777777" w:rsidR="00304E07" w:rsidRPr="007A1321" w:rsidRDefault="00304E07" w:rsidP="00DE143B">
            <w:pPr>
              <w:rPr>
                <w:rFonts w:cs="Arial"/>
                <w:szCs w:val="22"/>
                <w:lang w:eastAsia="en-GB"/>
              </w:rPr>
            </w:pPr>
            <w:r w:rsidRPr="007A1321">
              <w:rPr>
                <w:rFonts w:cs="Arial"/>
                <w:szCs w:val="22"/>
                <w:lang w:eastAsia="en-GB"/>
              </w:rPr>
              <w:t>Breach of statutory requirement</w:t>
            </w:r>
          </w:p>
          <w:p w14:paraId="2D78C6D9" w14:textId="77777777" w:rsidR="00304E07" w:rsidRPr="007A1321" w:rsidRDefault="00304E07" w:rsidP="00DE143B">
            <w:pPr>
              <w:rPr>
                <w:rFonts w:cs="Arial"/>
                <w:szCs w:val="22"/>
                <w:lang w:eastAsia="en-GB"/>
              </w:rPr>
            </w:pPr>
          </w:p>
          <w:p w14:paraId="0D71494D" w14:textId="77777777" w:rsidR="00304E07" w:rsidRPr="007A1321" w:rsidRDefault="00304E07" w:rsidP="00DE143B">
            <w:pPr>
              <w:rPr>
                <w:rFonts w:cs="Arial"/>
                <w:szCs w:val="22"/>
                <w:lang w:eastAsia="en-GB"/>
              </w:rPr>
            </w:pPr>
            <w:r w:rsidRPr="007A1321">
              <w:rPr>
                <w:rFonts w:cs="Arial"/>
                <w:szCs w:val="22"/>
                <w:lang w:eastAsia="en-GB"/>
              </w:rPr>
              <w:t>Drastic action needed to rectify the position (e.g. cuts)</w:t>
            </w:r>
          </w:p>
          <w:p w14:paraId="4E15D9FA" w14:textId="77777777" w:rsidR="00304E07" w:rsidRPr="007A1321" w:rsidRDefault="00304E07" w:rsidP="00DE143B">
            <w:pPr>
              <w:rPr>
                <w:rFonts w:cs="Arial"/>
                <w:szCs w:val="22"/>
                <w:lang w:eastAsia="en-GB"/>
              </w:rPr>
            </w:pPr>
          </w:p>
          <w:p w14:paraId="37581ED7" w14:textId="77777777" w:rsidR="00304E07" w:rsidRPr="007A1321" w:rsidRDefault="00304E07" w:rsidP="00DE143B">
            <w:pPr>
              <w:spacing w:line="129" w:lineRule="atLeast"/>
              <w:rPr>
                <w:rFonts w:cs="Arial"/>
                <w:szCs w:val="22"/>
                <w:lang w:eastAsia="en-GB"/>
              </w:rPr>
            </w:pPr>
            <w:r w:rsidRPr="007A1321">
              <w:rPr>
                <w:rFonts w:cs="Arial"/>
                <w:szCs w:val="22"/>
                <w:lang w:eastAsia="en-GB"/>
              </w:rPr>
              <w:t>Erosion of reserves below recommended levels</w:t>
            </w:r>
          </w:p>
        </w:tc>
        <w:tc>
          <w:tcPr>
            <w:tcW w:w="3311" w:type="dxa"/>
            <w:tcBorders>
              <w:top w:val="nil"/>
              <w:left w:val="nil"/>
              <w:bottom w:val="single" w:sz="18" w:space="0" w:color="A8D08D"/>
              <w:right w:val="single" w:sz="18" w:space="0" w:color="A8D08D"/>
            </w:tcBorders>
            <w:shd w:val="clear" w:color="auto" w:fill="FFFFFF"/>
            <w:tcMar>
              <w:top w:w="0" w:type="dxa"/>
              <w:left w:w="108" w:type="dxa"/>
              <w:bottom w:w="0" w:type="dxa"/>
              <w:right w:w="108" w:type="dxa"/>
            </w:tcMar>
          </w:tcPr>
          <w:p w14:paraId="48474A79" w14:textId="77777777" w:rsidR="00AE180E" w:rsidRPr="007A1321" w:rsidRDefault="00AE180E" w:rsidP="00AE180E">
            <w:pPr>
              <w:tabs>
                <w:tab w:val="left" w:pos="2550"/>
              </w:tabs>
              <w:rPr>
                <w:rFonts w:cs="Arial"/>
                <w:szCs w:val="22"/>
              </w:rPr>
            </w:pPr>
            <w:r w:rsidRPr="007A1321">
              <w:rPr>
                <w:rFonts w:cs="Arial"/>
                <w:szCs w:val="22"/>
              </w:rPr>
              <w:t>Medium Term Financial Plan in place</w:t>
            </w:r>
          </w:p>
          <w:p w14:paraId="216EEDBE" w14:textId="77777777" w:rsidR="00AE180E" w:rsidRPr="007A1321" w:rsidRDefault="00AE180E" w:rsidP="00AE180E">
            <w:pPr>
              <w:tabs>
                <w:tab w:val="left" w:pos="2550"/>
              </w:tabs>
              <w:rPr>
                <w:rFonts w:cs="Arial"/>
                <w:szCs w:val="22"/>
              </w:rPr>
            </w:pPr>
          </w:p>
          <w:p w14:paraId="7200DEFE" w14:textId="77777777" w:rsidR="00AE180E" w:rsidRPr="007A1321" w:rsidRDefault="00AE180E" w:rsidP="00AE180E">
            <w:pPr>
              <w:tabs>
                <w:tab w:val="left" w:pos="2550"/>
              </w:tabs>
              <w:rPr>
                <w:rFonts w:cs="Arial"/>
                <w:szCs w:val="22"/>
              </w:rPr>
            </w:pPr>
            <w:r w:rsidRPr="007A1321">
              <w:rPr>
                <w:rFonts w:cs="Arial"/>
                <w:szCs w:val="22"/>
              </w:rPr>
              <w:t>Members adhering to minimum General Fund balances in budget setting</w:t>
            </w:r>
          </w:p>
          <w:p w14:paraId="37A35995" w14:textId="77777777" w:rsidR="00AE180E" w:rsidRPr="007A1321" w:rsidRDefault="00AE180E" w:rsidP="00AE180E">
            <w:pPr>
              <w:tabs>
                <w:tab w:val="left" w:pos="2550"/>
              </w:tabs>
              <w:rPr>
                <w:rFonts w:cs="Arial"/>
                <w:szCs w:val="22"/>
              </w:rPr>
            </w:pPr>
          </w:p>
          <w:p w14:paraId="2677AAB7" w14:textId="77777777" w:rsidR="00AE180E" w:rsidRPr="007A1321" w:rsidRDefault="00AE180E" w:rsidP="00AE180E">
            <w:pPr>
              <w:tabs>
                <w:tab w:val="left" w:pos="2550"/>
              </w:tabs>
              <w:rPr>
                <w:rFonts w:cs="Arial"/>
                <w:szCs w:val="22"/>
              </w:rPr>
            </w:pPr>
            <w:r w:rsidRPr="007A1321">
              <w:rPr>
                <w:rFonts w:cs="Arial"/>
                <w:szCs w:val="22"/>
              </w:rPr>
              <w:t>Members understand the need to raise Council Tax</w:t>
            </w:r>
          </w:p>
          <w:p w14:paraId="10B06E84" w14:textId="77777777" w:rsidR="00AE180E" w:rsidRPr="007A1321" w:rsidRDefault="00AE180E" w:rsidP="00AE180E">
            <w:pPr>
              <w:tabs>
                <w:tab w:val="left" w:pos="2550"/>
              </w:tabs>
              <w:rPr>
                <w:rFonts w:cs="Arial"/>
                <w:szCs w:val="22"/>
              </w:rPr>
            </w:pPr>
          </w:p>
          <w:p w14:paraId="1A964334" w14:textId="1DF80317" w:rsidR="00AE180E" w:rsidRPr="007A1321" w:rsidRDefault="00AE180E" w:rsidP="00AE180E">
            <w:pPr>
              <w:tabs>
                <w:tab w:val="left" w:pos="2550"/>
              </w:tabs>
              <w:rPr>
                <w:rFonts w:cs="Arial"/>
                <w:szCs w:val="22"/>
              </w:rPr>
            </w:pPr>
            <w:r w:rsidRPr="007A1321">
              <w:rPr>
                <w:rFonts w:cs="Arial"/>
                <w:szCs w:val="22"/>
              </w:rPr>
              <w:t xml:space="preserve">All increases in budget scrutinised to ensure they are legitimate </w:t>
            </w:r>
          </w:p>
          <w:p w14:paraId="5B8C7912" w14:textId="77777777" w:rsidR="00AE180E" w:rsidRPr="007A1321" w:rsidRDefault="00AE180E" w:rsidP="00AE180E">
            <w:pPr>
              <w:tabs>
                <w:tab w:val="left" w:pos="2550"/>
              </w:tabs>
              <w:rPr>
                <w:rFonts w:cs="Arial"/>
                <w:szCs w:val="22"/>
              </w:rPr>
            </w:pPr>
          </w:p>
          <w:p w14:paraId="01FC5C1C" w14:textId="119CF3F1" w:rsidR="00304E07" w:rsidRPr="00976854" w:rsidRDefault="00AE180E" w:rsidP="00AE180E">
            <w:pPr>
              <w:tabs>
                <w:tab w:val="left" w:pos="2550"/>
              </w:tabs>
              <w:rPr>
                <w:rFonts w:cs="Arial"/>
                <w:szCs w:val="22"/>
                <w:lang w:eastAsia="en-GB"/>
              </w:rPr>
            </w:pPr>
            <w:r w:rsidRPr="007A1321">
              <w:rPr>
                <w:rFonts w:cs="Arial"/>
                <w:szCs w:val="22"/>
              </w:rPr>
              <w:t>Lobbying for additional funding ongoing.</w:t>
            </w:r>
          </w:p>
          <w:p w14:paraId="33D706FD" w14:textId="10EE3D37" w:rsidR="00304E07" w:rsidRPr="00976854" w:rsidRDefault="00304E07" w:rsidP="00DE143B">
            <w:pPr>
              <w:spacing w:line="129" w:lineRule="atLeast"/>
              <w:rPr>
                <w:rFonts w:cs="Arial"/>
                <w:szCs w:val="22"/>
                <w:lang w:eastAsia="en-GB"/>
              </w:rPr>
            </w:pPr>
          </w:p>
        </w:tc>
      </w:tr>
      <w:tr w:rsidR="00AE180E" w:rsidRPr="00976854" w14:paraId="650412D5" w14:textId="77777777" w:rsidTr="00C51F5C">
        <w:trPr>
          <w:trHeight w:val="129"/>
          <w:jc w:val="center"/>
        </w:trPr>
        <w:tc>
          <w:tcPr>
            <w:tcW w:w="3327" w:type="dxa"/>
            <w:tcBorders>
              <w:top w:val="nil"/>
              <w:left w:val="single" w:sz="18" w:space="0" w:color="A8D08D"/>
              <w:bottom w:val="single" w:sz="18" w:space="0" w:color="A8D08D"/>
              <w:right w:val="single" w:sz="18" w:space="0" w:color="A8D08D"/>
            </w:tcBorders>
            <w:shd w:val="clear" w:color="auto" w:fill="FFFFFF"/>
            <w:tcMar>
              <w:top w:w="0" w:type="dxa"/>
              <w:left w:w="108" w:type="dxa"/>
              <w:bottom w:w="0" w:type="dxa"/>
              <w:right w:w="108" w:type="dxa"/>
            </w:tcMar>
          </w:tcPr>
          <w:p w14:paraId="2AED6BD8" w14:textId="68CA87F1" w:rsidR="00AE180E" w:rsidRPr="00976854" w:rsidRDefault="00AE180E" w:rsidP="00DE143B">
            <w:pPr>
              <w:spacing w:line="129" w:lineRule="atLeast"/>
              <w:rPr>
                <w:rFonts w:cs="Arial"/>
                <w:szCs w:val="22"/>
                <w:lang w:eastAsia="en-GB"/>
              </w:rPr>
            </w:pPr>
            <w:r w:rsidRPr="00976854">
              <w:rPr>
                <w:rFonts w:cs="Arial"/>
                <w:szCs w:val="22"/>
              </w:rPr>
              <w:t>Failure to Safeguard (Children) and a child is significantly abused, hurt, or dies.</w:t>
            </w:r>
          </w:p>
        </w:tc>
        <w:tc>
          <w:tcPr>
            <w:tcW w:w="2707" w:type="dxa"/>
            <w:tcBorders>
              <w:top w:val="nil"/>
              <w:left w:val="nil"/>
              <w:bottom w:val="single" w:sz="18" w:space="0" w:color="A8D08D"/>
              <w:right w:val="single" w:sz="18" w:space="0" w:color="A8D08D"/>
            </w:tcBorders>
            <w:shd w:val="clear" w:color="auto" w:fill="FFFFFF"/>
            <w:tcMar>
              <w:top w:w="0" w:type="dxa"/>
              <w:left w:w="108" w:type="dxa"/>
              <w:bottom w:w="0" w:type="dxa"/>
              <w:right w:w="108" w:type="dxa"/>
            </w:tcMar>
          </w:tcPr>
          <w:p w14:paraId="2DFE7375" w14:textId="77777777" w:rsidR="00AE180E" w:rsidRPr="00976854" w:rsidRDefault="00AE180E" w:rsidP="00AE180E">
            <w:pPr>
              <w:rPr>
                <w:rFonts w:cs="Arial"/>
                <w:szCs w:val="22"/>
                <w:lang w:eastAsia="en-GB"/>
              </w:rPr>
            </w:pPr>
            <w:r w:rsidRPr="00976854">
              <w:rPr>
                <w:rFonts w:cs="Arial"/>
                <w:szCs w:val="22"/>
                <w:lang w:eastAsia="en-GB"/>
              </w:rPr>
              <w:t>Intensive scrutiny by public and press</w:t>
            </w:r>
          </w:p>
          <w:p w14:paraId="15A00FDF" w14:textId="77777777" w:rsidR="00AE180E" w:rsidRPr="00976854" w:rsidRDefault="00AE180E" w:rsidP="00AE180E">
            <w:pPr>
              <w:rPr>
                <w:rFonts w:cs="Arial"/>
                <w:szCs w:val="22"/>
                <w:lang w:eastAsia="en-GB"/>
              </w:rPr>
            </w:pPr>
          </w:p>
          <w:p w14:paraId="388D929D" w14:textId="77777777" w:rsidR="00AE180E" w:rsidRPr="00976854" w:rsidRDefault="00AE180E" w:rsidP="00AE180E">
            <w:pPr>
              <w:rPr>
                <w:rFonts w:cs="Arial"/>
                <w:szCs w:val="22"/>
                <w:lang w:eastAsia="en-GB"/>
              </w:rPr>
            </w:pPr>
            <w:r w:rsidRPr="00976854">
              <w:rPr>
                <w:rFonts w:cs="Arial"/>
                <w:szCs w:val="22"/>
                <w:lang w:eastAsia="en-GB"/>
              </w:rPr>
              <w:t>Potential external intervention</w:t>
            </w:r>
          </w:p>
          <w:p w14:paraId="2A3E5825" w14:textId="77777777" w:rsidR="00AE180E" w:rsidRPr="00976854" w:rsidRDefault="00AE180E" w:rsidP="00AE180E">
            <w:pPr>
              <w:rPr>
                <w:rFonts w:cs="Arial"/>
                <w:szCs w:val="22"/>
                <w:lang w:eastAsia="en-GB"/>
              </w:rPr>
            </w:pPr>
          </w:p>
          <w:p w14:paraId="34C84561" w14:textId="77777777" w:rsidR="00AE180E" w:rsidRPr="00976854" w:rsidRDefault="00AE180E" w:rsidP="00AE180E">
            <w:pPr>
              <w:rPr>
                <w:rFonts w:cs="Arial"/>
                <w:szCs w:val="22"/>
                <w:lang w:eastAsia="en-GB"/>
              </w:rPr>
            </w:pPr>
            <w:r w:rsidRPr="00976854">
              <w:rPr>
                <w:rFonts w:cs="Arial"/>
                <w:szCs w:val="22"/>
                <w:lang w:eastAsia="en-GB"/>
              </w:rPr>
              <w:t>Potential loss of frontline staff</w:t>
            </w:r>
          </w:p>
          <w:p w14:paraId="021A6E16" w14:textId="77777777" w:rsidR="00AE180E" w:rsidRPr="00976854" w:rsidRDefault="00AE180E" w:rsidP="00AE180E">
            <w:pPr>
              <w:rPr>
                <w:rFonts w:cs="Arial"/>
                <w:szCs w:val="22"/>
                <w:lang w:eastAsia="en-GB"/>
              </w:rPr>
            </w:pPr>
          </w:p>
          <w:p w14:paraId="4AFDFF48" w14:textId="77777777" w:rsidR="00AE180E" w:rsidRPr="00976854" w:rsidRDefault="00AE180E" w:rsidP="00AE180E">
            <w:pPr>
              <w:rPr>
                <w:rFonts w:cs="Arial"/>
                <w:szCs w:val="22"/>
                <w:lang w:eastAsia="en-GB"/>
              </w:rPr>
            </w:pPr>
            <w:r w:rsidRPr="00976854">
              <w:rPr>
                <w:rFonts w:cs="Arial"/>
                <w:szCs w:val="22"/>
                <w:lang w:eastAsia="en-GB"/>
              </w:rPr>
              <w:t>Potentially high legal costs</w:t>
            </w:r>
          </w:p>
          <w:p w14:paraId="0D375D54" w14:textId="77777777" w:rsidR="00AE180E" w:rsidRPr="00976854" w:rsidRDefault="00AE180E" w:rsidP="00AE180E">
            <w:pPr>
              <w:rPr>
                <w:rFonts w:cs="Arial"/>
                <w:szCs w:val="22"/>
                <w:lang w:eastAsia="en-GB"/>
              </w:rPr>
            </w:pPr>
          </w:p>
          <w:p w14:paraId="200426C6" w14:textId="77777777" w:rsidR="00AE180E" w:rsidRPr="00976854" w:rsidRDefault="00AE180E" w:rsidP="00AE180E">
            <w:pPr>
              <w:rPr>
                <w:rFonts w:cs="Arial"/>
                <w:szCs w:val="22"/>
                <w:lang w:eastAsia="en-GB"/>
              </w:rPr>
            </w:pPr>
            <w:r w:rsidRPr="00976854">
              <w:rPr>
                <w:rFonts w:cs="Arial"/>
                <w:szCs w:val="22"/>
                <w:lang w:eastAsia="en-GB"/>
              </w:rPr>
              <w:t>Reputation damage</w:t>
            </w:r>
          </w:p>
          <w:p w14:paraId="714F16BE" w14:textId="3301534B" w:rsidR="00AE180E" w:rsidRPr="00976854" w:rsidRDefault="00AE180E" w:rsidP="00AE180E">
            <w:pPr>
              <w:rPr>
                <w:rFonts w:cs="Arial"/>
                <w:szCs w:val="22"/>
                <w:lang w:eastAsia="en-GB"/>
              </w:rPr>
            </w:pPr>
          </w:p>
        </w:tc>
        <w:tc>
          <w:tcPr>
            <w:tcW w:w="3311" w:type="dxa"/>
            <w:tcBorders>
              <w:top w:val="nil"/>
              <w:left w:val="nil"/>
              <w:bottom w:val="single" w:sz="18" w:space="0" w:color="A8D08D"/>
              <w:right w:val="single" w:sz="18" w:space="0" w:color="A8D08D"/>
            </w:tcBorders>
            <w:shd w:val="clear" w:color="auto" w:fill="FFFFFF"/>
            <w:tcMar>
              <w:top w:w="0" w:type="dxa"/>
              <w:left w:w="108" w:type="dxa"/>
              <w:bottom w:w="0" w:type="dxa"/>
              <w:right w:w="108" w:type="dxa"/>
            </w:tcMar>
          </w:tcPr>
          <w:p w14:paraId="410759E1" w14:textId="77777777" w:rsidR="000E4538" w:rsidRPr="00976854" w:rsidRDefault="000E4538" w:rsidP="000E4538">
            <w:pPr>
              <w:tabs>
                <w:tab w:val="left" w:pos="2550"/>
              </w:tabs>
              <w:rPr>
                <w:rFonts w:cs="Arial"/>
                <w:szCs w:val="22"/>
              </w:rPr>
            </w:pPr>
            <w:r w:rsidRPr="00976854">
              <w:rPr>
                <w:rFonts w:cs="Arial"/>
                <w:szCs w:val="22"/>
              </w:rPr>
              <w:t>Processes and procedures in place to protect the most vulnerable</w:t>
            </w:r>
          </w:p>
          <w:p w14:paraId="3C4DD7A3" w14:textId="77777777" w:rsidR="000E4538" w:rsidRPr="00976854" w:rsidRDefault="000E4538" w:rsidP="000E4538">
            <w:pPr>
              <w:tabs>
                <w:tab w:val="left" w:pos="2550"/>
              </w:tabs>
              <w:rPr>
                <w:rFonts w:cs="Arial"/>
                <w:szCs w:val="22"/>
              </w:rPr>
            </w:pPr>
          </w:p>
          <w:p w14:paraId="520FEA66" w14:textId="77777777" w:rsidR="000E4538" w:rsidRPr="00976854" w:rsidRDefault="000E4538" w:rsidP="000E4538">
            <w:pPr>
              <w:tabs>
                <w:tab w:val="left" w:pos="2550"/>
              </w:tabs>
              <w:rPr>
                <w:rFonts w:cs="Arial"/>
                <w:szCs w:val="22"/>
              </w:rPr>
            </w:pPr>
            <w:r w:rsidRPr="00976854">
              <w:rPr>
                <w:rFonts w:cs="Arial"/>
                <w:szCs w:val="22"/>
              </w:rPr>
              <w:t>Ensuring we have sufficient competent, trained staff to safeguard children and there is no unallocated work</w:t>
            </w:r>
          </w:p>
          <w:p w14:paraId="1156571E" w14:textId="77777777" w:rsidR="000E4538" w:rsidRPr="00976854" w:rsidRDefault="000E4538" w:rsidP="000E4538">
            <w:pPr>
              <w:tabs>
                <w:tab w:val="left" w:pos="2550"/>
              </w:tabs>
              <w:rPr>
                <w:rFonts w:cs="Arial"/>
                <w:szCs w:val="22"/>
              </w:rPr>
            </w:pPr>
          </w:p>
          <w:p w14:paraId="47A026D7" w14:textId="3858D7A4" w:rsidR="000E4538" w:rsidRPr="00976854" w:rsidRDefault="000E4538" w:rsidP="000E4538">
            <w:pPr>
              <w:tabs>
                <w:tab w:val="left" w:pos="2550"/>
              </w:tabs>
              <w:rPr>
                <w:rFonts w:cs="Arial"/>
                <w:szCs w:val="22"/>
              </w:rPr>
            </w:pPr>
            <w:r w:rsidRPr="00976854">
              <w:rPr>
                <w:rFonts w:cs="Arial"/>
                <w:szCs w:val="22"/>
              </w:rPr>
              <w:t>Clear practice standards in place so staff know what is expected of them</w:t>
            </w:r>
          </w:p>
          <w:p w14:paraId="43557BD4" w14:textId="77777777" w:rsidR="000E4538" w:rsidRPr="00976854" w:rsidRDefault="000E4538" w:rsidP="000E4538">
            <w:pPr>
              <w:tabs>
                <w:tab w:val="left" w:pos="2550"/>
              </w:tabs>
              <w:rPr>
                <w:rFonts w:cs="Arial"/>
                <w:szCs w:val="22"/>
              </w:rPr>
            </w:pPr>
          </w:p>
          <w:p w14:paraId="65FEF380" w14:textId="5A532A41" w:rsidR="000E4538" w:rsidRPr="00976854" w:rsidRDefault="000E4538" w:rsidP="000E4538">
            <w:pPr>
              <w:tabs>
                <w:tab w:val="left" w:pos="2550"/>
              </w:tabs>
              <w:rPr>
                <w:rFonts w:cs="Arial"/>
                <w:szCs w:val="22"/>
              </w:rPr>
            </w:pPr>
            <w:r w:rsidRPr="00976854">
              <w:rPr>
                <w:rFonts w:cs="Arial"/>
                <w:szCs w:val="22"/>
              </w:rPr>
              <w:t>Children’s services development plan finalised and subject to monthly progress reviews</w:t>
            </w:r>
          </w:p>
          <w:p w14:paraId="4388DBA0" w14:textId="77777777" w:rsidR="000E4538" w:rsidRPr="00976854" w:rsidRDefault="000E4538" w:rsidP="000E4538">
            <w:pPr>
              <w:tabs>
                <w:tab w:val="left" w:pos="2550"/>
              </w:tabs>
              <w:rPr>
                <w:rFonts w:cs="Arial"/>
                <w:szCs w:val="22"/>
              </w:rPr>
            </w:pPr>
          </w:p>
          <w:p w14:paraId="00D056D6" w14:textId="1BFD30E6" w:rsidR="000E4538" w:rsidRPr="00976854" w:rsidRDefault="000E4538" w:rsidP="000E4538">
            <w:pPr>
              <w:tabs>
                <w:tab w:val="left" w:pos="2550"/>
              </w:tabs>
              <w:rPr>
                <w:rFonts w:cs="Arial"/>
                <w:szCs w:val="22"/>
              </w:rPr>
            </w:pPr>
            <w:r w:rsidRPr="00976854">
              <w:rPr>
                <w:rFonts w:cs="Arial"/>
                <w:szCs w:val="22"/>
              </w:rPr>
              <w:t>High quality management oversight of all Children’s Social Care practice</w:t>
            </w:r>
          </w:p>
          <w:p w14:paraId="02287458" w14:textId="33B8DD77" w:rsidR="00AE180E" w:rsidRPr="00976854" w:rsidRDefault="000E4538" w:rsidP="000E4538">
            <w:pPr>
              <w:rPr>
                <w:rFonts w:cs="Arial"/>
                <w:szCs w:val="22"/>
                <w:lang w:eastAsia="en-GB"/>
              </w:rPr>
            </w:pPr>
            <w:r w:rsidRPr="00976854">
              <w:rPr>
                <w:rFonts w:cs="Arial"/>
                <w:szCs w:val="22"/>
              </w:rPr>
              <w:t>Comprehensive Performance Management and Quality Assurance framework in place</w:t>
            </w:r>
          </w:p>
        </w:tc>
      </w:tr>
      <w:tr w:rsidR="000E4538" w:rsidRPr="00976854" w14:paraId="6FF0A939" w14:textId="77777777" w:rsidTr="00C51F5C">
        <w:trPr>
          <w:trHeight w:val="129"/>
          <w:jc w:val="center"/>
        </w:trPr>
        <w:tc>
          <w:tcPr>
            <w:tcW w:w="3327" w:type="dxa"/>
            <w:tcBorders>
              <w:top w:val="nil"/>
              <w:left w:val="single" w:sz="18" w:space="0" w:color="A8D08D"/>
              <w:bottom w:val="single" w:sz="18" w:space="0" w:color="A8D08D"/>
              <w:right w:val="single" w:sz="18" w:space="0" w:color="A8D08D"/>
            </w:tcBorders>
            <w:shd w:val="clear" w:color="auto" w:fill="FFFFFF"/>
            <w:tcMar>
              <w:top w:w="0" w:type="dxa"/>
              <w:left w:w="108" w:type="dxa"/>
              <w:bottom w:w="0" w:type="dxa"/>
              <w:right w:w="108" w:type="dxa"/>
            </w:tcMar>
          </w:tcPr>
          <w:p w14:paraId="6238BB9F" w14:textId="7E98D5D5" w:rsidR="000E4538" w:rsidRPr="00976854" w:rsidRDefault="000E4538" w:rsidP="00DE143B">
            <w:pPr>
              <w:spacing w:line="129" w:lineRule="atLeast"/>
              <w:rPr>
                <w:rFonts w:cs="Arial"/>
                <w:szCs w:val="22"/>
                <w:lang w:eastAsia="en-GB"/>
              </w:rPr>
            </w:pPr>
            <w:r w:rsidRPr="00976854">
              <w:rPr>
                <w:rFonts w:cs="Arial"/>
                <w:szCs w:val="22"/>
              </w:rPr>
              <w:lastRenderedPageBreak/>
              <w:t>Failure to deliver key services should a significant business interruption occur (arising from Covid 19)</w:t>
            </w:r>
          </w:p>
        </w:tc>
        <w:tc>
          <w:tcPr>
            <w:tcW w:w="2707" w:type="dxa"/>
            <w:tcBorders>
              <w:top w:val="nil"/>
              <w:left w:val="nil"/>
              <w:bottom w:val="single" w:sz="18" w:space="0" w:color="A8D08D"/>
              <w:right w:val="single" w:sz="18" w:space="0" w:color="A8D08D"/>
            </w:tcBorders>
            <w:shd w:val="clear" w:color="auto" w:fill="FFFFFF"/>
            <w:tcMar>
              <w:top w:w="0" w:type="dxa"/>
              <w:left w:w="108" w:type="dxa"/>
              <w:bottom w:w="0" w:type="dxa"/>
              <w:right w:w="108" w:type="dxa"/>
            </w:tcMar>
          </w:tcPr>
          <w:p w14:paraId="48503C66" w14:textId="77777777" w:rsidR="000E4538" w:rsidRPr="00976854" w:rsidRDefault="000E4538" w:rsidP="00DE143B">
            <w:pPr>
              <w:spacing w:line="129" w:lineRule="atLeast"/>
              <w:rPr>
                <w:rFonts w:cs="Arial"/>
                <w:szCs w:val="22"/>
                <w:lang w:eastAsia="en-GB"/>
              </w:rPr>
            </w:pPr>
            <w:r w:rsidRPr="00976854">
              <w:rPr>
                <w:rFonts w:cs="Arial"/>
                <w:szCs w:val="22"/>
                <w:lang w:eastAsia="en-GB"/>
              </w:rPr>
              <w:t>Reputational damage</w:t>
            </w:r>
          </w:p>
          <w:p w14:paraId="662F3659" w14:textId="77777777" w:rsidR="000E4538" w:rsidRPr="00976854" w:rsidRDefault="000E4538" w:rsidP="00DE143B">
            <w:pPr>
              <w:spacing w:line="129" w:lineRule="atLeast"/>
              <w:rPr>
                <w:rFonts w:cs="Arial"/>
                <w:szCs w:val="22"/>
                <w:lang w:eastAsia="en-GB"/>
              </w:rPr>
            </w:pPr>
          </w:p>
          <w:p w14:paraId="10A36ECD" w14:textId="77777777" w:rsidR="000E4538" w:rsidRPr="00976854" w:rsidRDefault="000E4538" w:rsidP="00DE143B">
            <w:pPr>
              <w:spacing w:line="129" w:lineRule="atLeast"/>
              <w:rPr>
                <w:rFonts w:cs="Arial"/>
                <w:szCs w:val="22"/>
                <w:lang w:eastAsia="en-GB"/>
              </w:rPr>
            </w:pPr>
            <w:r w:rsidRPr="00976854">
              <w:rPr>
                <w:rFonts w:cs="Arial"/>
                <w:szCs w:val="22"/>
                <w:lang w:eastAsia="en-GB"/>
              </w:rPr>
              <w:t>Long term costs</w:t>
            </w:r>
          </w:p>
          <w:p w14:paraId="388B3FFD" w14:textId="77777777" w:rsidR="000E4538" w:rsidRPr="00976854" w:rsidRDefault="000E4538" w:rsidP="00DE143B">
            <w:pPr>
              <w:spacing w:line="129" w:lineRule="atLeast"/>
              <w:rPr>
                <w:rFonts w:cs="Arial"/>
                <w:szCs w:val="22"/>
                <w:lang w:eastAsia="en-GB"/>
              </w:rPr>
            </w:pPr>
          </w:p>
          <w:p w14:paraId="366D694D" w14:textId="77777777" w:rsidR="000E4538" w:rsidRPr="00976854" w:rsidRDefault="000E4538" w:rsidP="00DE143B">
            <w:pPr>
              <w:spacing w:line="129" w:lineRule="atLeast"/>
              <w:rPr>
                <w:rFonts w:cs="Arial"/>
                <w:szCs w:val="22"/>
                <w:lang w:eastAsia="en-GB"/>
              </w:rPr>
            </w:pPr>
            <w:r w:rsidRPr="00976854">
              <w:rPr>
                <w:rFonts w:cs="Arial"/>
                <w:szCs w:val="22"/>
                <w:lang w:eastAsia="en-GB"/>
              </w:rPr>
              <w:t>Risk to life</w:t>
            </w:r>
          </w:p>
          <w:p w14:paraId="3582B866" w14:textId="3ADC747B" w:rsidR="000E4538" w:rsidRPr="00976854" w:rsidRDefault="000E4538" w:rsidP="00DE143B">
            <w:pPr>
              <w:spacing w:line="129" w:lineRule="atLeast"/>
              <w:rPr>
                <w:rFonts w:cs="Arial"/>
                <w:szCs w:val="22"/>
                <w:lang w:eastAsia="en-GB"/>
              </w:rPr>
            </w:pPr>
          </w:p>
        </w:tc>
        <w:tc>
          <w:tcPr>
            <w:tcW w:w="3311" w:type="dxa"/>
            <w:tcBorders>
              <w:top w:val="nil"/>
              <w:left w:val="nil"/>
              <w:bottom w:val="single" w:sz="18" w:space="0" w:color="A8D08D"/>
              <w:right w:val="single" w:sz="18" w:space="0" w:color="A8D08D"/>
            </w:tcBorders>
            <w:shd w:val="clear" w:color="auto" w:fill="FFFFFF"/>
            <w:tcMar>
              <w:top w:w="0" w:type="dxa"/>
              <w:left w:w="108" w:type="dxa"/>
              <w:bottom w:w="0" w:type="dxa"/>
              <w:right w:w="108" w:type="dxa"/>
            </w:tcMar>
          </w:tcPr>
          <w:p w14:paraId="7C5C20E7" w14:textId="77777777" w:rsidR="000E4538" w:rsidRPr="00976854" w:rsidRDefault="000E4538" w:rsidP="000E4538">
            <w:pPr>
              <w:tabs>
                <w:tab w:val="left" w:pos="2550"/>
              </w:tabs>
              <w:spacing w:after="200" w:line="276" w:lineRule="auto"/>
              <w:rPr>
                <w:rFonts w:cs="Arial"/>
                <w:szCs w:val="22"/>
              </w:rPr>
            </w:pPr>
            <w:r w:rsidRPr="00976854">
              <w:rPr>
                <w:rFonts w:cs="Arial"/>
                <w:szCs w:val="22"/>
              </w:rPr>
              <w:t>Council is partner of LRF</w:t>
            </w:r>
          </w:p>
          <w:p w14:paraId="3DDBD5C2" w14:textId="0066AE51" w:rsidR="000E4538" w:rsidRPr="00976854" w:rsidRDefault="000E4538" w:rsidP="000E4538">
            <w:pPr>
              <w:pStyle w:val="NormalWeb"/>
              <w:spacing w:before="0" w:beforeAutospacing="0" w:after="0" w:afterAutospacing="0"/>
              <w:rPr>
                <w:sz w:val="22"/>
                <w:szCs w:val="22"/>
              </w:rPr>
            </w:pPr>
            <w:r w:rsidRPr="00976854">
              <w:rPr>
                <w:sz w:val="22"/>
                <w:szCs w:val="22"/>
              </w:rPr>
              <w:t>T</w:t>
            </w:r>
            <w:r w:rsidR="00976854" w:rsidRPr="00976854">
              <w:rPr>
                <w:sz w:val="22"/>
                <w:szCs w:val="22"/>
              </w:rPr>
              <w:t>he LRF has established a</w:t>
            </w:r>
            <w:r w:rsidRPr="00976854">
              <w:rPr>
                <w:sz w:val="22"/>
                <w:szCs w:val="22"/>
              </w:rPr>
              <w:t xml:space="preserve"> Strategic Commissioing Group (SCG) and Tactical Commissioning Group and Media and Comms Cell to support the response and the Council has representatives on each of those.</w:t>
            </w:r>
          </w:p>
          <w:p w14:paraId="6E3FFA68" w14:textId="77777777" w:rsidR="00976854" w:rsidRPr="00976854" w:rsidRDefault="00976854" w:rsidP="000E4538">
            <w:pPr>
              <w:pStyle w:val="NormalWeb"/>
              <w:spacing w:before="0" w:beforeAutospacing="0" w:after="0" w:afterAutospacing="0"/>
              <w:rPr>
                <w:sz w:val="22"/>
                <w:szCs w:val="22"/>
              </w:rPr>
            </w:pPr>
          </w:p>
          <w:p w14:paraId="210BC5E5" w14:textId="18B756CA" w:rsidR="000E4538" w:rsidRPr="00976854" w:rsidRDefault="000E4538" w:rsidP="000E4538">
            <w:pPr>
              <w:pStyle w:val="NormalWeb"/>
              <w:spacing w:before="0" w:beforeAutospacing="0" w:after="0" w:afterAutospacing="0"/>
              <w:rPr>
                <w:sz w:val="22"/>
                <w:szCs w:val="22"/>
              </w:rPr>
            </w:pPr>
            <w:r w:rsidRPr="00976854">
              <w:rPr>
                <w:sz w:val="22"/>
                <w:szCs w:val="22"/>
              </w:rPr>
              <w:t>Council has its own local SCG and TCG</w:t>
            </w:r>
          </w:p>
          <w:p w14:paraId="5BB3B86F" w14:textId="77777777" w:rsidR="000E4538" w:rsidRPr="00976854" w:rsidRDefault="000E4538" w:rsidP="000E4538">
            <w:pPr>
              <w:pStyle w:val="NormalWeb"/>
              <w:spacing w:before="0" w:beforeAutospacing="0" w:after="0" w:afterAutospacing="0"/>
              <w:rPr>
                <w:sz w:val="22"/>
                <w:szCs w:val="22"/>
              </w:rPr>
            </w:pPr>
          </w:p>
          <w:p w14:paraId="04BEE77A" w14:textId="215C83C3" w:rsidR="000E4538" w:rsidRPr="00976854" w:rsidRDefault="00976854" w:rsidP="000E4538">
            <w:pPr>
              <w:pStyle w:val="NormalWeb"/>
              <w:spacing w:before="0" w:beforeAutospacing="0" w:after="0" w:afterAutospacing="0"/>
              <w:rPr>
                <w:sz w:val="22"/>
                <w:szCs w:val="22"/>
              </w:rPr>
            </w:pPr>
            <w:r w:rsidRPr="00976854">
              <w:rPr>
                <w:sz w:val="22"/>
                <w:szCs w:val="22"/>
              </w:rPr>
              <w:t>The Council structure has been</w:t>
            </w:r>
            <w:r w:rsidR="000E4538" w:rsidRPr="00976854">
              <w:rPr>
                <w:sz w:val="22"/>
                <w:szCs w:val="22"/>
              </w:rPr>
              <w:t xml:space="preserve"> revised with two key cells created (a BAU and Operations cell and a Health, Social Care and isolation cell led by SMT members)</w:t>
            </w:r>
          </w:p>
          <w:p w14:paraId="4C893C67" w14:textId="77777777" w:rsidR="000E4538" w:rsidRPr="00976854" w:rsidRDefault="000E4538" w:rsidP="000E4538">
            <w:pPr>
              <w:pStyle w:val="NormalWeb"/>
              <w:spacing w:before="0" w:beforeAutospacing="0" w:after="0" w:afterAutospacing="0"/>
              <w:rPr>
                <w:sz w:val="22"/>
                <w:szCs w:val="22"/>
              </w:rPr>
            </w:pPr>
          </w:p>
          <w:p w14:paraId="2AC2F842" w14:textId="12C05A99" w:rsidR="000E4538" w:rsidRPr="00976854" w:rsidRDefault="000E4538" w:rsidP="00976854">
            <w:pPr>
              <w:pStyle w:val="NormalWeb"/>
              <w:spacing w:before="0" w:beforeAutospacing="0" w:after="0" w:afterAutospacing="0"/>
              <w:rPr>
                <w:sz w:val="22"/>
                <w:szCs w:val="22"/>
              </w:rPr>
            </w:pPr>
            <w:r w:rsidRPr="00976854">
              <w:rPr>
                <w:sz w:val="22"/>
                <w:szCs w:val="22"/>
              </w:rPr>
              <w:t>Decision making at both t</w:t>
            </w:r>
            <w:r w:rsidR="00976854" w:rsidRPr="00976854">
              <w:rPr>
                <w:sz w:val="22"/>
                <w:szCs w:val="22"/>
              </w:rPr>
              <w:t>he RSCG and RTCG levels informs</w:t>
            </w:r>
            <w:r w:rsidRPr="00976854">
              <w:rPr>
                <w:sz w:val="22"/>
                <w:szCs w:val="22"/>
              </w:rPr>
              <w:t xml:space="preserve"> the agenda and direction of travel for the Cells</w:t>
            </w:r>
          </w:p>
          <w:p w14:paraId="47DF1E06" w14:textId="77777777" w:rsidR="000E4538" w:rsidRPr="00976854" w:rsidRDefault="000E4538" w:rsidP="00976854">
            <w:pPr>
              <w:pStyle w:val="NormalWeb"/>
              <w:spacing w:before="0" w:beforeAutospacing="0" w:after="0" w:afterAutospacing="0"/>
              <w:rPr>
                <w:sz w:val="22"/>
                <w:szCs w:val="22"/>
              </w:rPr>
            </w:pPr>
          </w:p>
          <w:p w14:paraId="14BAB3A7" w14:textId="75379C7D" w:rsidR="000E4538" w:rsidRPr="00976854" w:rsidRDefault="000E4538" w:rsidP="00976854">
            <w:pPr>
              <w:pStyle w:val="NormalWeb"/>
              <w:spacing w:before="0" w:beforeAutospacing="0" w:after="0" w:afterAutospacing="0"/>
              <w:rPr>
                <w:sz w:val="22"/>
                <w:szCs w:val="22"/>
              </w:rPr>
            </w:pPr>
            <w:r w:rsidRPr="00976854">
              <w:rPr>
                <w:sz w:val="22"/>
                <w:szCs w:val="22"/>
              </w:rPr>
              <w:t>The Cells me</w:t>
            </w:r>
            <w:r w:rsidR="00976854" w:rsidRPr="00976854">
              <w:rPr>
                <w:sz w:val="22"/>
                <w:szCs w:val="22"/>
              </w:rPr>
              <w:t>e</w:t>
            </w:r>
            <w:r w:rsidRPr="00976854">
              <w:rPr>
                <w:sz w:val="22"/>
                <w:szCs w:val="22"/>
              </w:rPr>
              <w:t>t at least twice weekly, with all meetings minuted with actions</w:t>
            </w:r>
          </w:p>
          <w:p w14:paraId="558FA784" w14:textId="77777777" w:rsidR="000E4538" w:rsidRPr="00976854" w:rsidRDefault="000E4538" w:rsidP="00976854">
            <w:pPr>
              <w:pStyle w:val="NormalWeb"/>
              <w:spacing w:before="0" w:beforeAutospacing="0" w:after="0" w:afterAutospacing="0"/>
              <w:rPr>
                <w:sz w:val="22"/>
                <w:szCs w:val="22"/>
              </w:rPr>
            </w:pPr>
          </w:p>
          <w:p w14:paraId="598ABF92" w14:textId="25376FE3" w:rsidR="000E4538" w:rsidRPr="00976854" w:rsidRDefault="000E4538" w:rsidP="00976854">
            <w:pPr>
              <w:pStyle w:val="NormalWeb"/>
              <w:spacing w:before="0" w:beforeAutospacing="0" w:after="0" w:afterAutospacing="0"/>
              <w:rPr>
                <w:sz w:val="22"/>
                <w:szCs w:val="22"/>
              </w:rPr>
            </w:pPr>
            <w:r w:rsidRPr="00976854">
              <w:rPr>
                <w:sz w:val="22"/>
                <w:szCs w:val="22"/>
              </w:rPr>
              <w:t xml:space="preserve">Below the two main cells various sub-cells </w:t>
            </w:r>
            <w:r w:rsidR="00976854" w:rsidRPr="00976854">
              <w:rPr>
                <w:sz w:val="22"/>
                <w:szCs w:val="22"/>
              </w:rPr>
              <w:t>have been</w:t>
            </w:r>
            <w:r w:rsidRPr="00976854">
              <w:rPr>
                <w:sz w:val="22"/>
                <w:szCs w:val="22"/>
              </w:rPr>
              <w:t xml:space="preserve"> created to focus on specific issues such as advice and hardship</w:t>
            </w:r>
          </w:p>
          <w:p w14:paraId="031A5CE8" w14:textId="77777777" w:rsidR="000E4538" w:rsidRPr="00976854" w:rsidRDefault="000E4538" w:rsidP="00976854">
            <w:pPr>
              <w:pStyle w:val="NormalWeb"/>
              <w:spacing w:before="0" w:beforeAutospacing="0" w:after="0" w:afterAutospacing="0"/>
              <w:rPr>
                <w:sz w:val="22"/>
                <w:szCs w:val="22"/>
              </w:rPr>
            </w:pPr>
          </w:p>
          <w:p w14:paraId="3AE41CD4" w14:textId="62C67A76" w:rsidR="000E4538" w:rsidRPr="00976854" w:rsidRDefault="000E4538" w:rsidP="00976854">
            <w:pPr>
              <w:pStyle w:val="NormalWeb"/>
              <w:spacing w:before="0" w:beforeAutospacing="0" w:after="0" w:afterAutospacing="0"/>
              <w:rPr>
                <w:sz w:val="22"/>
                <w:szCs w:val="22"/>
              </w:rPr>
            </w:pPr>
            <w:r w:rsidRPr="00976854">
              <w:rPr>
                <w:sz w:val="22"/>
                <w:szCs w:val="22"/>
              </w:rPr>
              <w:t xml:space="preserve">A Status and Data </w:t>
            </w:r>
            <w:r w:rsidR="00976854" w:rsidRPr="00976854">
              <w:rPr>
                <w:sz w:val="22"/>
                <w:szCs w:val="22"/>
              </w:rPr>
              <w:t>is used</w:t>
            </w:r>
            <w:r w:rsidRPr="00976854">
              <w:rPr>
                <w:sz w:val="22"/>
                <w:szCs w:val="22"/>
              </w:rPr>
              <w:t xml:space="preserve"> to capture key information to inform decision making</w:t>
            </w:r>
          </w:p>
          <w:p w14:paraId="54320787" w14:textId="77777777" w:rsidR="000E4538" w:rsidRPr="00976854" w:rsidRDefault="000E4538" w:rsidP="00976854">
            <w:pPr>
              <w:spacing w:line="252" w:lineRule="auto"/>
              <w:rPr>
                <w:rFonts w:cs="Arial"/>
                <w:szCs w:val="22"/>
              </w:rPr>
            </w:pPr>
          </w:p>
          <w:p w14:paraId="25045511" w14:textId="19CFDDFF" w:rsidR="000E4538" w:rsidRPr="00976854" w:rsidRDefault="000E4538" w:rsidP="00976854">
            <w:pPr>
              <w:spacing w:line="252" w:lineRule="auto"/>
              <w:rPr>
                <w:rFonts w:cs="Arial"/>
                <w:szCs w:val="22"/>
              </w:rPr>
            </w:pPr>
            <w:r w:rsidRPr="00976854">
              <w:rPr>
                <w:rFonts w:cs="Arial"/>
                <w:szCs w:val="22"/>
              </w:rPr>
              <w:t xml:space="preserve">An Executive Decision log </w:t>
            </w:r>
            <w:r w:rsidR="00976854" w:rsidRPr="00976854">
              <w:rPr>
                <w:rFonts w:cs="Arial"/>
                <w:szCs w:val="22"/>
              </w:rPr>
              <w:t>is maintained</w:t>
            </w:r>
            <w:r w:rsidRPr="00976854">
              <w:rPr>
                <w:rFonts w:cs="Arial"/>
                <w:szCs w:val="22"/>
              </w:rPr>
              <w:t xml:space="preserve"> to record all key decisions</w:t>
            </w:r>
          </w:p>
          <w:p w14:paraId="520BD7BD" w14:textId="77777777" w:rsidR="000E4538" w:rsidRPr="00976854" w:rsidRDefault="000E4538" w:rsidP="00976854">
            <w:pPr>
              <w:spacing w:line="252" w:lineRule="auto"/>
              <w:rPr>
                <w:rFonts w:cs="Arial"/>
                <w:szCs w:val="22"/>
              </w:rPr>
            </w:pPr>
          </w:p>
          <w:p w14:paraId="32403628" w14:textId="2B6711A7" w:rsidR="000E4538" w:rsidRPr="00976854" w:rsidRDefault="000E4538" w:rsidP="00976854">
            <w:pPr>
              <w:spacing w:line="252" w:lineRule="auto"/>
              <w:rPr>
                <w:rFonts w:cs="Arial"/>
                <w:szCs w:val="22"/>
              </w:rPr>
            </w:pPr>
            <w:r w:rsidRPr="00976854">
              <w:rPr>
                <w:rFonts w:cs="Arial"/>
                <w:szCs w:val="22"/>
              </w:rPr>
              <w:t xml:space="preserve">Separate finance cost centres </w:t>
            </w:r>
            <w:r w:rsidR="00976854" w:rsidRPr="00976854">
              <w:rPr>
                <w:rFonts w:cs="Arial"/>
                <w:szCs w:val="22"/>
              </w:rPr>
              <w:t>are</w:t>
            </w:r>
            <w:r w:rsidRPr="00976854">
              <w:rPr>
                <w:rFonts w:cs="Arial"/>
                <w:szCs w:val="22"/>
              </w:rPr>
              <w:t xml:space="preserve"> maintained to record all funding received and costs and changes to finance systems enacted to facilitate decision making</w:t>
            </w:r>
          </w:p>
          <w:p w14:paraId="67DE3002" w14:textId="77777777" w:rsidR="000E4538" w:rsidRPr="00976854" w:rsidRDefault="000E4538" w:rsidP="00976854">
            <w:pPr>
              <w:spacing w:line="252" w:lineRule="auto"/>
              <w:rPr>
                <w:rFonts w:cs="Arial"/>
                <w:szCs w:val="22"/>
              </w:rPr>
            </w:pPr>
          </w:p>
          <w:p w14:paraId="2776581A" w14:textId="77777777" w:rsidR="000E4538" w:rsidRPr="00976854" w:rsidRDefault="000E4538" w:rsidP="00976854">
            <w:pPr>
              <w:spacing w:line="252" w:lineRule="auto"/>
              <w:rPr>
                <w:rFonts w:cs="Arial"/>
                <w:szCs w:val="22"/>
              </w:rPr>
            </w:pPr>
            <w:r w:rsidRPr="00976854">
              <w:rPr>
                <w:rFonts w:cs="Arial"/>
                <w:szCs w:val="22"/>
              </w:rPr>
              <w:t xml:space="preserve">Verbal briefings </w:t>
            </w:r>
            <w:r w:rsidR="00976854" w:rsidRPr="00976854">
              <w:rPr>
                <w:rFonts w:cs="Arial"/>
                <w:szCs w:val="22"/>
              </w:rPr>
              <w:t>are</w:t>
            </w:r>
            <w:r w:rsidRPr="00976854">
              <w:rPr>
                <w:rFonts w:cs="Arial"/>
                <w:szCs w:val="22"/>
              </w:rPr>
              <w:t xml:space="preserve"> undertaken to Cabinet (daily), all Members (weekly) and Parish Council </w:t>
            </w:r>
            <w:r w:rsidRPr="00976854">
              <w:rPr>
                <w:rFonts w:cs="Arial"/>
                <w:szCs w:val="22"/>
              </w:rPr>
              <w:lastRenderedPageBreak/>
              <w:t>(weekly) alongside daily written communications</w:t>
            </w:r>
          </w:p>
          <w:p w14:paraId="72E901A2" w14:textId="705454A4" w:rsidR="00976854" w:rsidRPr="00976854" w:rsidRDefault="00976854" w:rsidP="00976854">
            <w:pPr>
              <w:spacing w:line="252" w:lineRule="auto"/>
              <w:rPr>
                <w:rFonts w:cs="Arial"/>
                <w:szCs w:val="22"/>
              </w:rPr>
            </w:pPr>
          </w:p>
        </w:tc>
      </w:tr>
      <w:tr w:rsidR="00304E07" w:rsidRPr="00976854" w14:paraId="29A64782" w14:textId="77777777" w:rsidTr="00C51F5C">
        <w:trPr>
          <w:trHeight w:val="129"/>
          <w:jc w:val="center"/>
        </w:trPr>
        <w:tc>
          <w:tcPr>
            <w:tcW w:w="3327" w:type="dxa"/>
            <w:tcBorders>
              <w:top w:val="nil"/>
              <w:left w:val="single" w:sz="18" w:space="0" w:color="A8D08D"/>
              <w:bottom w:val="single" w:sz="18" w:space="0" w:color="A8D08D"/>
              <w:right w:val="single" w:sz="18" w:space="0" w:color="A8D08D"/>
            </w:tcBorders>
            <w:shd w:val="clear" w:color="auto" w:fill="FFFFFF"/>
            <w:tcMar>
              <w:top w:w="0" w:type="dxa"/>
              <w:left w:w="108" w:type="dxa"/>
              <w:bottom w:w="0" w:type="dxa"/>
              <w:right w:w="108" w:type="dxa"/>
            </w:tcMar>
            <w:hideMark/>
          </w:tcPr>
          <w:p w14:paraId="3531816F" w14:textId="77777777" w:rsidR="00304E07" w:rsidRPr="00976854" w:rsidRDefault="00304E07" w:rsidP="00DE143B">
            <w:pPr>
              <w:spacing w:line="129" w:lineRule="atLeast"/>
              <w:rPr>
                <w:rFonts w:cs="Arial"/>
                <w:szCs w:val="22"/>
                <w:lang w:eastAsia="en-GB"/>
              </w:rPr>
            </w:pPr>
            <w:r w:rsidRPr="00976854">
              <w:rPr>
                <w:rFonts w:cs="Arial"/>
                <w:szCs w:val="22"/>
                <w:lang w:eastAsia="en-GB"/>
              </w:rPr>
              <w:lastRenderedPageBreak/>
              <w:t>Failure to Safeguard (Adults) and an adult is significantly abused, badly hurt or dies.</w:t>
            </w:r>
          </w:p>
        </w:tc>
        <w:tc>
          <w:tcPr>
            <w:tcW w:w="2707" w:type="dxa"/>
            <w:tcBorders>
              <w:top w:val="nil"/>
              <w:left w:val="nil"/>
              <w:bottom w:val="single" w:sz="18" w:space="0" w:color="A8D08D"/>
              <w:right w:val="single" w:sz="18" w:space="0" w:color="A8D08D"/>
            </w:tcBorders>
            <w:shd w:val="clear" w:color="auto" w:fill="FFFFFF"/>
            <w:tcMar>
              <w:top w:w="0" w:type="dxa"/>
              <w:left w:w="108" w:type="dxa"/>
              <w:bottom w:w="0" w:type="dxa"/>
              <w:right w:w="108" w:type="dxa"/>
            </w:tcMar>
          </w:tcPr>
          <w:p w14:paraId="473F599D" w14:textId="77777777" w:rsidR="00304E07" w:rsidRPr="00976854" w:rsidRDefault="00304E07" w:rsidP="00DE143B">
            <w:pPr>
              <w:rPr>
                <w:rFonts w:cs="Arial"/>
                <w:szCs w:val="22"/>
                <w:lang w:eastAsia="en-GB"/>
              </w:rPr>
            </w:pPr>
            <w:r w:rsidRPr="00976854">
              <w:rPr>
                <w:rFonts w:cs="Arial"/>
                <w:szCs w:val="22"/>
                <w:lang w:eastAsia="en-GB"/>
              </w:rPr>
              <w:t>Intensive scrutiny by public and press</w:t>
            </w:r>
          </w:p>
          <w:p w14:paraId="645DB127" w14:textId="77777777" w:rsidR="00304E07" w:rsidRPr="00976854" w:rsidRDefault="00304E07" w:rsidP="00DE143B">
            <w:pPr>
              <w:rPr>
                <w:rFonts w:cs="Arial"/>
                <w:szCs w:val="22"/>
                <w:lang w:eastAsia="en-GB"/>
              </w:rPr>
            </w:pPr>
          </w:p>
          <w:p w14:paraId="79620C31" w14:textId="77777777" w:rsidR="00304E07" w:rsidRPr="00976854" w:rsidRDefault="00304E07" w:rsidP="00DE143B">
            <w:pPr>
              <w:rPr>
                <w:rFonts w:cs="Arial"/>
                <w:szCs w:val="22"/>
                <w:lang w:eastAsia="en-GB"/>
              </w:rPr>
            </w:pPr>
            <w:r w:rsidRPr="00976854">
              <w:rPr>
                <w:rFonts w:cs="Arial"/>
                <w:szCs w:val="22"/>
                <w:lang w:eastAsia="en-GB"/>
              </w:rPr>
              <w:t>Potential external intervention</w:t>
            </w:r>
          </w:p>
          <w:p w14:paraId="417AAAA3" w14:textId="77777777" w:rsidR="00304E07" w:rsidRPr="00976854" w:rsidRDefault="00304E07" w:rsidP="00DE143B">
            <w:pPr>
              <w:rPr>
                <w:rFonts w:cs="Arial"/>
                <w:szCs w:val="22"/>
                <w:lang w:eastAsia="en-GB"/>
              </w:rPr>
            </w:pPr>
          </w:p>
          <w:p w14:paraId="19F10C5A" w14:textId="77777777" w:rsidR="00304E07" w:rsidRPr="00976854" w:rsidRDefault="00304E07" w:rsidP="00DE143B">
            <w:pPr>
              <w:rPr>
                <w:rFonts w:cs="Arial"/>
                <w:szCs w:val="22"/>
                <w:lang w:eastAsia="en-GB"/>
              </w:rPr>
            </w:pPr>
            <w:r w:rsidRPr="00976854">
              <w:rPr>
                <w:rFonts w:cs="Arial"/>
                <w:szCs w:val="22"/>
                <w:lang w:eastAsia="en-GB"/>
              </w:rPr>
              <w:t>Potential loss of frontline staff</w:t>
            </w:r>
          </w:p>
          <w:p w14:paraId="4F73AA11" w14:textId="77777777" w:rsidR="00304E07" w:rsidRPr="00976854" w:rsidRDefault="00304E07" w:rsidP="00DE143B">
            <w:pPr>
              <w:rPr>
                <w:rFonts w:cs="Arial"/>
                <w:szCs w:val="22"/>
                <w:lang w:eastAsia="en-GB"/>
              </w:rPr>
            </w:pPr>
          </w:p>
          <w:p w14:paraId="2350320F" w14:textId="77777777" w:rsidR="00304E07" w:rsidRPr="00976854" w:rsidRDefault="00304E07" w:rsidP="00DE143B">
            <w:pPr>
              <w:rPr>
                <w:rFonts w:cs="Arial"/>
                <w:szCs w:val="22"/>
                <w:lang w:eastAsia="en-GB"/>
              </w:rPr>
            </w:pPr>
            <w:r w:rsidRPr="00976854">
              <w:rPr>
                <w:rFonts w:cs="Arial"/>
                <w:szCs w:val="22"/>
                <w:lang w:eastAsia="en-GB"/>
              </w:rPr>
              <w:t>Potentially high legal costs</w:t>
            </w:r>
          </w:p>
          <w:p w14:paraId="569D21CB" w14:textId="77777777" w:rsidR="00304E07" w:rsidRPr="00976854" w:rsidRDefault="00304E07" w:rsidP="00DE143B">
            <w:pPr>
              <w:rPr>
                <w:rFonts w:cs="Arial"/>
                <w:szCs w:val="22"/>
                <w:lang w:eastAsia="en-GB"/>
              </w:rPr>
            </w:pPr>
          </w:p>
          <w:p w14:paraId="6526595D" w14:textId="77777777" w:rsidR="00304E07" w:rsidRPr="00976854" w:rsidRDefault="00304E07" w:rsidP="00DE143B">
            <w:pPr>
              <w:rPr>
                <w:rFonts w:cs="Arial"/>
                <w:szCs w:val="22"/>
                <w:lang w:eastAsia="en-GB"/>
              </w:rPr>
            </w:pPr>
            <w:r w:rsidRPr="00976854">
              <w:rPr>
                <w:rFonts w:cs="Arial"/>
                <w:szCs w:val="22"/>
                <w:lang w:eastAsia="en-GB"/>
              </w:rPr>
              <w:t>Reputation damage</w:t>
            </w:r>
          </w:p>
          <w:p w14:paraId="0B3F1EDA" w14:textId="77777777" w:rsidR="00304E07" w:rsidRPr="00976854" w:rsidRDefault="00304E07" w:rsidP="00DE143B">
            <w:pPr>
              <w:rPr>
                <w:rFonts w:cs="Arial"/>
                <w:szCs w:val="22"/>
                <w:lang w:eastAsia="en-GB"/>
              </w:rPr>
            </w:pPr>
          </w:p>
          <w:p w14:paraId="0F8F516A" w14:textId="77777777" w:rsidR="00304E07" w:rsidRPr="00976854" w:rsidRDefault="00304E07" w:rsidP="00DE143B">
            <w:pPr>
              <w:spacing w:line="129" w:lineRule="atLeast"/>
              <w:rPr>
                <w:rFonts w:cs="Arial"/>
                <w:szCs w:val="22"/>
                <w:lang w:eastAsia="en-GB"/>
              </w:rPr>
            </w:pPr>
            <w:r w:rsidRPr="00976854">
              <w:rPr>
                <w:rFonts w:cs="Arial"/>
                <w:szCs w:val="22"/>
                <w:lang w:eastAsia="en-GB"/>
              </w:rPr>
              <w:t>Requirement to undertake and publish a serious case review</w:t>
            </w:r>
          </w:p>
        </w:tc>
        <w:tc>
          <w:tcPr>
            <w:tcW w:w="3311" w:type="dxa"/>
            <w:tcBorders>
              <w:top w:val="nil"/>
              <w:left w:val="nil"/>
              <w:bottom w:val="single" w:sz="18" w:space="0" w:color="A8D08D"/>
              <w:right w:val="single" w:sz="18" w:space="0" w:color="A8D08D"/>
            </w:tcBorders>
            <w:shd w:val="clear" w:color="auto" w:fill="FFFFFF"/>
            <w:tcMar>
              <w:top w:w="0" w:type="dxa"/>
              <w:left w:w="108" w:type="dxa"/>
              <w:bottom w:w="0" w:type="dxa"/>
              <w:right w:w="108" w:type="dxa"/>
            </w:tcMar>
          </w:tcPr>
          <w:p w14:paraId="4BE2FEAE" w14:textId="77777777" w:rsidR="000E4538" w:rsidRPr="00976854" w:rsidRDefault="000E4538" w:rsidP="000E4538">
            <w:pPr>
              <w:tabs>
                <w:tab w:val="left" w:pos="2550"/>
              </w:tabs>
              <w:rPr>
                <w:rFonts w:cs="Arial"/>
                <w:szCs w:val="22"/>
              </w:rPr>
            </w:pPr>
            <w:r w:rsidRPr="00976854">
              <w:rPr>
                <w:rFonts w:cs="Arial"/>
                <w:szCs w:val="22"/>
              </w:rPr>
              <w:t>Processes and procedures in place to protect the most vulnerable.</w:t>
            </w:r>
          </w:p>
          <w:p w14:paraId="7972C217" w14:textId="77777777" w:rsidR="000E4538" w:rsidRPr="00976854" w:rsidRDefault="000E4538" w:rsidP="000E4538">
            <w:pPr>
              <w:tabs>
                <w:tab w:val="left" w:pos="2550"/>
              </w:tabs>
              <w:rPr>
                <w:rFonts w:cs="Arial"/>
                <w:szCs w:val="22"/>
              </w:rPr>
            </w:pPr>
          </w:p>
          <w:p w14:paraId="5E513BBD" w14:textId="77777777" w:rsidR="000E4538" w:rsidRPr="00976854" w:rsidRDefault="000E4538" w:rsidP="000E4538">
            <w:pPr>
              <w:tabs>
                <w:tab w:val="left" w:pos="2550"/>
              </w:tabs>
              <w:rPr>
                <w:rFonts w:cs="Arial"/>
                <w:szCs w:val="22"/>
              </w:rPr>
            </w:pPr>
            <w:r w:rsidRPr="00976854">
              <w:rPr>
                <w:rFonts w:cs="Arial"/>
                <w:szCs w:val="22"/>
              </w:rPr>
              <w:t>Scrutiny and overview from the Safeguarding Boards.</w:t>
            </w:r>
          </w:p>
          <w:p w14:paraId="428CEF41" w14:textId="77777777" w:rsidR="000E4538" w:rsidRPr="00976854" w:rsidRDefault="000E4538" w:rsidP="000E4538">
            <w:pPr>
              <w:tabs>
                <w:tab w:val="left" w:pos="2550"/>
              </w:tabs>
              <w:rPr>
                <w:rFonts w:cs="Arial"/>
                <w:szCs w:val="22"/>
              </w:rPr>
            </w:pPr>
          </w:p>
          <w:p w14:paraId="6D6DBC64" w14:textId="77777777" w:rsidR="000E4538" w:rsidRPr="00976854" w:rsidRDefault="000E4538" w:rsidP="000E4538">
            <w:pPr>
              <w:tabs>
                <w:tab w:val="left" w:pos="2550"/>
              </w:tabs>
              <w:rPr>
                <w:rFonts w:cs="Arial"/>
                <w:szCs w:val="22"/>
              </w:rPr>
            </w:pPr>
            <w:r w:rsidRPr="00976854">
              <w:rPr>
                <w:rFonts w:cs="Arial"/>
                <w:szCs w:val="22"/>
              </w:rPr>
              <w:t>Monthly performance and financial monitoring by senior offices and updates to Cabinet.</w:t>
            </w:r>
          </w:p>
          <w:p w14:paraId="33C3770B" w14:textId="77777777" w:rsidR="000E4538" w:rsidRPr="00976854" w:rsidRDefault="000E4538" w:rsidP="000E4538">
            <w:pPr>
              <w:tabs>
                <w:tab w:val="left" w:pos="2550"/>
              </w:tabs>
              <w:rPr>
                <w:rFonts w:cs="Arial"/>
                <w:szCs w:val="22"/>
              </w:rPr>
            </w:pPr>
          </w:p>
          <w:p w14:paraId="25E13666" w14:textId="77777777" w:rsidR="000E4538" w:rsidRPr="00976854" w:rsidRDefault="000E4538" w:rsidP="000E4538">
            <w:pPr>
              <w:tabs>
                <w:tab w:val="left" w:pos="2550"/>
              </w:tabs>
              <w:rPr>
                <w:rFonts w:cs="Arial"/>
                <w:szCs w:val="22"/>
              </w:rPr>
            </w:pPr>
            <w:r w:rsidRPr="00976854">
              <w:rPr>
                <w:rFonts w:cs="Arial"/>
                <w:szCs w:val="22"/>
              </w:rPr>
              <w:t>High quality, timely information contained within case files.</w:t>
            </w:r>
          </w:p>
          <w:p w14:paraId="6CBAA015" w14:textId="77777777" w:rsidR="000E4538" w:rsidRPr="00976854" w:rsidRDefault="000E4538" w:rsidP="000E4538">
            <w:pPr>
              <w:tabs>
                <w:tab w:val="left" w:pos="2550"/>
              </w:tabs>
              <w:rPr>
                <w:rFonts w:cs="Arial"/>
                <w:szCs w:val="22"/>
              </w:rPr>
            </w:pPr>
          </w:p>
          <w:p w14:paraId="4BF0BA73" w14:textId="77777777" w:rsidR="000E4538" w:rsidRPr="00976854" w:rsidRDefault="000E4538" w:rsidP="000E4538">
            <w:pPr>
              <w:tabs>
                <w:tab w:val="left" w:pos="2550"/>
              </w:tabs>
              <w:rPr>
                <w:rFonts w:cs="Arial"/>
                <w:szCs w:val="22"/>
              </w:rPr>
            </w:pPr>
            <w:r w:rsidRPr="00976854">
              <w:rPr>
                <w:rFonts w:cs="Arial"/>
                <w:szCs w:val="22"/>
              </w:rPr>
              <w:t>High quality, timely management oversight by DASM.</w:t>
            </w:r>
          </w:p>
          <w:p w14:paraId="4E9C4395" w14:textId="77777777" w:rsidR="000E4538" w:rsidRPr="00976854" w:rsidRDefault="000E4538" w:rsidP="000E4538">
            <w:pPr>
              <w:tabs>
                <w:tab w:val="left" w:pos="2550"/>
              </w:tabs>
              <w:rPr>
                <w:rFonts w:cs="Arial"/>
                <w:szCs w:val="22"/>
              </w:rPr>
            </w:pPr>
          </w:p>
          <w:p w14:paraId="6D2DADFC" w14:textId="77777777" w:rsidR="000E4538" w:rsidRPr="00976854" w:rsidRDefault="000E4538" w:rsidP="000E4538">
            <w:pPr>
              <w:tabs>
                <w:tab w:val="left" w:pos="2550"/>
              </w:tabs>
              <w:rPr>
                <w:rFonts w:cs="Arial"/>
                <w:szCs w:val="22"/>
              </w:rPr>
            </w:pPr>
            <w:r w:rsidRPr="00976854">
              <w:rPr>
                <w:rFonts w:cs="Arial"/>
                <w:szCs w:val="22"/>
              </w:rPr>
              <w:t>Clear practice standards in place so staff know what is expected of them.</w:t>
            </w:r>
          </w:p>
          <w:p w14:paraId="5BD99201" w14:textId="77777777" w:rsidR="000E4538" w:rsidRPr="00976854" w:rsidRDefault="000E4538" w:rsidP="000E4538">
            <w:pPr>
              <w:tabs>
                <w:tab w:val="left" w:pos="2550"/>
              </w:tabs>
              <w:rPr>
                <w:rFonts w:cs="Arial"/>
                <w:szCs w:val="22"/>
              </w:rPr>
            </w:pPr>
          </w:p>
          <w:p w14:paraId="0C787F15" w14:textId="77777777" w:rsidR="000E4538" w:rsidRPr="00976854" w:rsidRDefault="000E4538" w:rsidP="000E4538">
            <w:pPr>
              <w:tabs>
                <w:tab w:val="left" w:pos="2550"/>
              </w:tabs>
              <w:rPr>
                <w:rFonts w:cs="Arial"/>
                <w:szCs w:val="22"/>
              </w:rPr>
            </w:pPr>
            <w:r w:rsidRPr="00976854">
              <w:rPr>
                <w:rFonts w:cs="Arial"/>
                <w:szCs w:val="22"/>
              </w:rPr>
              <w:t>Management oversight recorded on file alongside regular supervision.</w:t>
            </w:r>
          </w:p>
          <w:p w14:paraId="05AFF6B7" w14:textId="77777777" w:rsidR="000E4538" w:rsidRPr="00976854" w:rsidRDefault="000E4538" w:rsidP="000E4538">
            <w:pPr>
              <w:tabs>
                <w:tab w:val="left" w:pos="2550"/>
              </w:tabs>
              <w:rPr>
                <w:rFonts w:cs="Arial"/>
                <w:szCs w:val="22"/>
              </w:rPr>
            </w:pPr>
            <w:r w:rsidRPr="00976854">
              <w:rPr>
                <w:rFonts w:cs="Arial"/>
                <w:szCs w:val="22"/>
              </w:rPr>
              <w:t>Effective training of staff.</w:t>
            </w:r>
          </w:p>
          <w:p w14:paraId="123F838C" w14:textId="4A9872CB" w:rsidR="00304E07" w:rsidRPr="00976854" w:rsidRDefault="000E4538" w:rsidP="000E4538">
            <w:pPr>
              <w:rPr>
                <w:rFonts w:cs="Arial"/>
                <w:szCs w:val="22"/>
                <w:lang w:eastAsia="en-GB"/>
              </w:rPr>
            </w:pPr>
            <w:r w:rsidRPr="00976854">
              <w:rPr>
                <w:rFonts w:cs="Arial"/>
                <w:szCs w:val="22"/>
              </w:rPr>
              <w:t>Comprehensive Performance Management and Quality Assurance framework in place.</w:t>
            </w:r>
          </w:p>
        </w:tc>
      </w:tr>
    </w:tbl>
    <w:p w14:paraId="73A7A506" w14:textId="77777777" w:rsidR="00304E07" w:rsidRPr="00976854" w:rsidRDefault="00304E07" w:rsidP="00203885">
      <w:pPr>
        <w:pStyle w:val="ListParagraph"/>
        <w:numPr>
          <w:ilvl w:val="0"/>
          <w:numId w:val="17"/>
        </w:numPr>
        <w:spacing w:before="240" w:after="240"/>
        <w:ind w:left="0" w:firstLine="0"/>
        <w:contextualSpacing w:val="0"/>
        <w:jc w:val="both"/>
        <w:rPr>
          <w:rFonts w:cs="Arial"/>
          <w:b/>
          <w:bCs/>
          <w:szCs w:val="22"/>
        </w:rPr>
      </w:pPr>
      <w:r w:rsidRPr="00976854">
        <w:rPr>
          <w:rFonts w:cs="Arial"/>
          <w:b/>
          <w:bCs/>
          <w:szCs w:val="22"/>
        </w:rPr>
        <w:t>Further Information</w:t>
      </w:r>
    </w:p>
    <w:p w14:paraId="0172DEBB" w14:textId="77777777" w:rsidR="00304E07" w:rsidRPr="000127EF" w:rsidRDefault="00304E07" w:rsidP="00304E07">
      <w:pPr>
        <w:jc w:val="both"/>
        <w:rPr>
          <w:rFonts w:cs="Arial"/>
          <w:szCs w:val="22"/>
        </w:rPr>
      </w:pPr>
      <w:r w:rsidRPr="000127EF">
        <w:rPr>
          <w:rFonts w:cs="Arial"/>
          <w:szCs w:val="22"/>
        </w:rPr>
        <w:t>Further information about these accounts is available from:</w:t>
      </w:r>
    </w:p>
    <w:p w14:paraId="2ED75B37" w14:textId="77777777" w:rsidR="00304E07" w:rsidRPr="000127EF" w:rsidRDefault="00304E07" w:rsidP="00304E07">
      <w:pPr>
        <w:jc w:val="both"/>
        <w:rPr>
          <w:rFonts w:cs="Arial"/>
          <w:szCs w:val="22"/>
        </w:rPr>
      </w:pPr>
    </w:p>
    <w:tbl>
      <w:tblPr>
        <w:tblW w:w="0" w:type="auto"/>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18" w:space="0" w:color="A8D08D" w:themeColor="accent6" w:themeTint="99"/>
          <w:insideV w:val="single" w:sz="18" w:space="0" w:color="A8D08D" w:themeColor="accent6" w:themeTint="99"/>
        </w:tblBorders>
        <w:tblLook w:val="00A0" w:firstRow="1" w:lastRow="0" w:firstColumn="1" w:lastColumn="0" w:noHBand="0" w:noVBand="0"/>
      </w:tblPr>
      <w:tblGrid>
        <w:gridCol w:w="5426"/>
        <w:gridCol w:w="4150"/>
      </w:tblGrid>
      <w:tr w:rsidR="00304E07" w:rsidRPr="000127EF" w14:paraId="26EAB847" w14:textId="77777777" w:rsidTr="00873912">
        <w:trPr>
          <w:jc w:val="center"/>
        </w:trPr>
        <w:tc>
          <w:tcPr>
            <w:tcW w:w="5426" w:type="dxa"/>
          </w:tcPr>
          <w:p w14:paraId="16D31810" w14:textId="77777777" w:rsidR="00304E07" w:rsidRPr="000127EF" w:rsidRDefault="00304E07" w:rsidP="00DE143B">
            <w:pPr>
              <w:jc w:val="both"/>
              <w:rPr>
                <w:rFonts w:cs="Arial"/>
                <w:szCs w:val="22"/>
              </w:rPr>
            </w:pPr>
            <w:r w:rsidRPr="000127EF">
              <w:rPr>
                <w:rFonts w:cs="Arial"/>
                <w:szCs w:val="22"/>
              </w:rPr>
              <w:t>Mr Saverio Della Rocca</w:t>
            </w:r>
          </w:p>
          <w:p w14:paraId="279FA163" w14:textId="58B4652E" w:rsidR="00873912" w:rsidRPr="000127EF" w:rsidRDefault="009E3749" w:rsidP="009E3749">
            <w:pPr>
              <w:rPr>
                <w:rFonts w:cs="Arial"/>
                <w:szCs w:val="22"/>
              </w:rPr>
            </w:pPr>
            <w:r w:rsidRPr="000127EF">
              <w:rPr>
                <w:rFonts w:cs="Arial"/>
                <w:szCs w:val="22"/>
              </w:rPr>
              <w:t>Strategic Director for Resources</w:t>
            </w:r>
            <w:r w:rsidR="00873912" w:rsidRPr="000127EF">
              <w:rPr>
                <w:rFonts w:cs="Arial"/>
                <w:szCs w:val="22"/>
              </w:rPr>
              <w:t xml:space="preserve"> (Chief Financial Officer) </w:t>
            </w:r>
          </w:p>
          <w:p w14:paraId="5B7ED171" w14:textId="31FF216A" w:rsidR="00304E07" w:rsidRPr="000127EF" w:rsidRDefault="00304E07" w:rsidP="00DE143B">
            <w:pPr>
              <w:jc w:val="both"/>
              <w:rPr>
                <w:rFonts w:cs="Arial"/>
                <w:szCs w:val="22"/>
              </w:rPr>
            </w:pPr>
            <w:r w:rsidRPr="000127EF">
              <w:rPr>
                <w:rFonts w:cs="Arial"/>
                <w:szCs w:val="22"/>
              </w:rPr>
              <w:t>Rutland County Council</w:t>
            </w:r>
          </w:p>
          <w:p w14:paraId="2B35D3F0" w14:textId="77777777" w:rsidR="00304E07" w:rsidRPr="000127EF" w:rsidRDefault="00304E07" w:rsidP="00DE143B">
            <w:pPr>
              <w:jc w:val="both"/>
              <w:rPr>
                <w:rFonts w:cs="Arial"/>
                <w:szCs w:val="22"/>
              </w:rPr>
            </w:pPr>
            <w:r w:rsidRPr="000127EF">
              <w:rPr>
                <w:rFonts w:cs="Arial"/>
                <w:szCs w:val="22"/>
              </w:rPr>
              <w:t>Oakham</w:t>
            </w:r>
          </w:p>
          <w:p w14:paraId="4B1069A4" w14:textId="77777777" w:rsidR="00304E07" w:rsidRPr="000127EF" w:rsidRDefault="00304E07" w:rsidP="00DE143B">
            <w:pPr>
              <w:jc w:val="both"/>
              <w:rPr>
                <w:rFonts w:cs="Arial"/>
                <w:szCs w:val="22"/>
              </w:rPr>
            </w:pPr>
            <w:r w:rsidRPr="000127EF">
              <w:rPr>
                <w:rFonts w:cs="Arial"/>
                <w:szCs w:val="22"/>
              </w:rPr>
              <w:t>Rutland</w:t>
            </w:r>
          </w:p>
          <w:p w14:paraId="4FB18F0B" w14:textId="77777777" w:rsidR="00304E07" w:rsidRPr="000127EF" w:rsidRDefault="00304E07" w:rsidP="00DE143B">
            <w:pPr>
              <w:jc w:val="both"/>
              <w:rPr>
                <w:rFonts w:cs="Arial"/>
                <w:szCs w:val="22"/>
              </w:rPr>
            </w:pPr>
            <w:r w:rsidRPr="000127EF">
              <w:rPr>
                <w:rFonts w:cs="Arial"/>
                <w:szCs w:val="22"/>
              </w:rPr>
              <w:t xml:space="preserve">LE15 6HP </w:t>
            </w:r>
          </w:p>
          <w:p w14:paraId="69C98A5C" w14:textId="77777777" w:rsidR="00304E07" w:rsidRPr="000127EF" w:rsidRDefault="00661E70" w:rsidP="00DE143B">
            <w:pPr>
              <w:jc w:val="both"/>
              <w:rPr>
                <w:rFonts w:cs="Arial"/>
                <w:szCs w:val="22"/>
              </w:rPr>
            </w:pPr>
            <w:hyperlink r:id="rId17" w:history="1">
              <w:r w:rsidR="00304E07" w:rsidRPr="000127EF">
                <w:rPr>
                  <w:rStyle w:val="Hyperlink"/>
                  <w:rFonts w:cs="Arial"/>
                  <w:szCs w:val="22"/>
                </w:rPr>
                <w:t>sdellarocca@rutland.gov.uk</w:t>
              </w:r>
            </w:hyperlink>
          </w:p>
        </w:tc>
        <w:tc>
          <w:tcPr>
            <w:tcW w:w="4150" w:type="dxa"/>
          </w:tcPr>
          <w:p w14:paraId="73CDE4CE" w14:textId="77777777" w:rsidR="00304E07" w:rsidRPr="000127EF" w:rsidRDefault="00304E07" w:rsidP="00DE143B">
            <w:pPr>
              <w:jc w:val="both"/>
              <w:rPr>
                <w:rFonts w:cs="Arial"/>
                <w:szCs w:val="22"/>
              </w:rPr>
            </w:pPr>
            <w:r w:rsidRPr="000127EF">
              <w:rPr>
                <w:rFonts w:cs="Arial"/>
                <w:szCs w:val="22"/>
              </w:rPr>
              <w:t>Mr Andrew Merry</w:t>
            </w:r>
          </w:p>
          <w:p w14:paraId="3CCF9691" w14:textId="0786923B" w:rsidR="00304E07" w:rsidRPr="000127EF" w:rsidRDefault="00A12743" w:rsidP="00DE143B">
            <w:pPr>
              <w:jc w:val="both"/>
              <w:rPr>
                <w:rFonts w:cs="Arial"/>
                <w:szCs w:val="22"/>
              </w:rPr>
            </w:pPr>
            <w:r w:rsidRPr="000127EF">
              <w:rPr>
                <w:rFonts w:cs="Arial"/>
                <w:szCs w:val="22"/>
              </w:rPr>
              <w:t>Finance Manager</w:t>
            </w:r>
          </w:p>
          <w:p w14:paraId="02D00987" w14:textId="77777777" w:rsidR="00304E07" w:rsidRPr="000127EF" w:rsidRDefault="00304E07" w:rsidP="00DE143B">
            <w:pPr>
              <w:jc w:val="both"/>
              <w:rPr>
                <w:rFonts w:cs="Arial"/>
                <w:szCs w:val="22"/>
              </w:rPr>
            </w:pPr>
            <w:r w:rsidRPr="000127EF">
              <w:rPr>
                <w:rFonts w:cs="Arial"/>
                <w:szCs w:val="22"/>
              </w:rPr>
              <w:t>Rutland County Council</w:t>
            </w:r>
          </w:p>
          <w:p w14:paraId="020A3326" w14:textId="77777777" w:rsidR="00304E07" w:rsidRPr="000127EF" w:rsidRDefault="00304E07" w:rsidP="00DE143B">
            <w:pPr>
              <w:jc w:val="both"/>
              <w:rPr>
                <w:rFonts w:cs="Arial"/>
                <w:szCs w:val="22"/>
              </w:rPr>
            </w:pPr>
            <w:r w:rsidRPr="000127EF">
              <w:rPr>
                <w:rFonts w:cs="Arial"/>
                <w:szCs w:val="22"/>
              </w:rPr>
              <w:t>Oakham</w:t>
            </w:r>
          </w:p>
          <w:p w14:paraId="5C58E7A3" w14:textId="77777777" w:rsidR="00304E07" w:rsidRPr="000127EF" w:rsidRDefault="00304E07" w:rsidP="00DE143B">
            <w:pPr>
              <w:jc w:val="both"/>
              <w:rPr>
                <w:rFonts w:cs="Arial"/>
                <w:szCs w:val="22"/>
              </w:rPr>
            </w:pPr>
            <w:r w:rsidRPr="000127EF">
              <w:rPr>
                <w:rFonts w:cs="Arial"/>
                <w:szCs w:val="22"/>
              </w:rPr>
              <w:t>Rutland</w:t>
            </w:r>
          </w:p>
          <w:p w14:paraId="59BB36D8" w14:textId="77777777" w:rsidR="00304E07" w:rsidRPr="000127EF" w:rsidRDefault="00304E07" w:rsidP="00DE143B">
            <w:pPr>
              <w:jc w:val="both"/>
              <w:rPr>
                <w:rFonts w:cs="Arial"/>
                <w:szCs w:val="22"/>
              </w:rPr>
            </w:pPr>
            <w:r w:rsidRPr="000127EF">
              <w:rPr>
                <w:rFonts w:cs="Arial"/>
                <w:szCs w:val="22"/>
              </w:rPr>
              <w:t xml:space="preserve">LE15 6HP </w:t>
            </w:r>
          </w:p>
          <w:p w14:paraId="7E33DE79" w14:textId="77777777" w:rsidR="00304E07" w:rsidRPr="000127EF" w:rsidRDefault="00661E70" w:rsidP="00DE143B">
            <w:pPr>
              <w:jc w:val="both"/>
              <w:rPr>
                <w:rFonts w:cs="Arial"/>
                <w:szCs w:val="22"/>
              </w:rPr>
            </w:pPr>
            <w:hyperlink r:id="rId18" w:history="1">
              <w:r w:rsidR="00304E07" w:rsidRPr="000127EF">
                <w:rPr>
                  <w:rStyle w:val="Hyperlink"/>
                  <w:rFonts w:cs="Arial"/>
                  <w:szCs w:val="22"/>
                </w:rPr>
                <w:t>amerry@rutland.gov.uk</w:t>
              </w:r>
            </w:hyperlink>
            <w:r w:rsidR="00304E07" w:rsidRPr="000127EF">
              <w:rPr>
                <w:rFonts w:cs="Arial"/>
                <w:szCs w:val="22"/>
              </w:rPr>
              <w:t xml:space="preserve"> </w:t>
            </w:r>
          </w:p>
        </w:tc>
      </w:tr>
    </w:tbl>
    <w:p w14:paraId="15AC3A10" w14:textId="77777777" w:rsidR="00304E07" w:rsidRPr="000127EF" w:rsidRDefault="00304E07" w:rsidP="00304E07">
      <w:pPr>
        <w:jc w:val="both"/>
        <w:rPr>
          <w:rFonts w:cs="Arial"/>
          <w:szCs w:val="22"/>
        </w:rPr>
      </w:pPr>
    </w:p>
    <w:p w14:paraId="0B3C291E" w14:textId="77777777" w:rsidR="00304E07" w:rsidRPr="000127EF" w:rsidRDefault="00304E07" w:rsidP="00304E07">
      <w:pPr>
        <w:jc w:val="both"/>
        <w:rPr>
          <w:rFonts w:cs="Arial"/>
          <w:b/>
          <w:bCs/>
          <w:szCs w:val="22"/>
        </w:rPr>
      </w:pPr>
      <w:r w:rsidRPr="000127EF">
        <w:rPr>
          <w:rFonts w:cs="Arial"/>
          <w:szCs w:val="22"/>
        </w:rPr>
        <w:t xml:space="preserve">Information on the Councils services and activities can also be located on our website:  </w:t>
      </w:r>
      <w:r w:rsidRPr="000127EF">
        <w:rPr>
          <w:rFonts w:cs="Arial"/>
          <w:b/>
          <w:bCs/>
          <w:szCs w:val="22"/>
        </w:rPr>
        <w:t xml:space="preserve"> </w:t>
      </w:r>
      <w:hyperlink r:id="rId19" w:history="1">
        <w:r w:rsidRPr="000127EF">
          <w:rPr>
            <w:rStyle w:val="Hyperlink"/>
            <w:rFonts w:eastAsiaTheme="majorEastAsia" w:cs="Arial"/>
            <w:szCs w:val="22"/>
          </w:rPr>
          <w:t>www.rutland.gov.uk</w:t>
        </w:r>
      </w:hyperlink>
    </w:p>
    <w:p w14:paraId="1E022B4F" w14:textId="77777777" w:rsidR="00304E07" w:rsidRPr="000127EF" w:rsidRDefault="00304E07" w:rsidP="00304E07"/>
    <w:p w14:paraId="54442D25" w14:textId="77777777" w:rsidR="002F76FD" w:rsidRPr="000127EF" w:rsidRDefault="002F76FD" w:rsidP="00606675">
      <w:pPr>
        <w:spacing w:after="120"/>
        <w:jc w:val="both"/>
        <w:sectPr w:rsidR="002F76FD" w:rsidRPr="000127EF" w:rsidSect="008C78E8">
          <w:pgSz w:w="11907" w:h="16840" w:code="9"/>
          <w:pgMar w:top="1135" w:right="992" w:bottom="1440" w:left="851" w:header="567" w:footer="851" w:gutter="0"/>
          <w:paperSrc w:first="7" w:other="7"/>
          <w:cols w:space="720"/>
          <w:docGrid w:linePitch="299"/>
        </w:sectPr>
      </w:pPr>
    </w:p>
    <w:p w14:paraId="5684CE2A" w14:textId="77777777" w:rsidR="005F7042" w:rsidRPr="000127EF" w:rsidRDefault="00BF4EB2" w:rsidP="00BF4EB2">
      <w:pPr>
        <w:pStyle w:val="MainSoAHeading"/>
      </w:pPr>
      <w:bookmarkStart w:id="11" w:name="_Toc54886653"/>
      <w:r w:rsidRPr="000127EF">
        <w:lastRenderedPageBreak/>
        <w:t>Statement of Responsibilities</w:t>
      </w:r>
      <w:bookmarkEnd w:id="11"/>
    </w:p>
    <w:p w14:paraId="3FE60669" w14:textId="77777777" w:rsidR="00BF4EB2" w:rsidRPr="000127EF" w:rsidRDefault="00661E70" w:rsidP="00BF4EB2">
      <w:r>
        <w:pict w14:anchorId="2278CD92">
          <v:rect id="_x0000_i1029" style="width:510.3pt;height:2pt" o:hralign="center" o:hrstd="t" o:hrnoshade="t" o:hr="t" fillcolor="#a8d08d [1945]" stroked="f"/>
        </w:pict>
      </w:r>
    </w:p>
    <w:p w14:paraId="7690CC39" w14:textId="77777777" w:rsidR="00BF4EB2" w:rsidRPr="000127EF" w:rsidRDefault="00BF4EB2" w:rsidP="00DC7592">
      <w:pPr>
        <w:spacing w:before="240" w:after="120"/>
        <w:jc w:val="both"/>
        <w:rPr>
          <w:rFonts w:cs="Arial"/>
          <w:b/>
          <w:bCs/>
          <w:szCs w:val="22"/>
        </w:rPr>
      </w:pPr>
      <w:r w:rsidRPr="000127EF">
        <w:rPr>
          <w:rFonts w:cs="Arial"/>
          <w:b/>
          <w:bCs/>
          <w:szCs w:val="22"/>
        </w:rPr>
        <w:t>The Council’s Responsibilities</w:t>
      </w:r>
    </w:p>
    <w:p w14:paraId="2BF79DFF" w14:textId="77777777" w:rsidR="00BF4EB2" w:rsidRPr="000127EF" w:rsidRDefault="00BF4EB2" w:rsidP="00E00BB8">
      <w:pPr>
        <w:spacing w:before="120" w:after="120"/>
        <w:jc w:val="both"/>
        <w:rPr>
          <w:rFonts w:cs="Arial"/>
          <w:szCs w:val="22"/>
        </w:rPr>
      </w:pPr>
      <w:r w:rsidRPr="000127EF">
        <w:rPr>
          <w:rFonts w:cs="Arial"/>
          <w:szCs w:val="22"/>
        </w:rPr>
        <w:t>The Council is required to:</w:t>
      </w:r>
    </w:p>
    <w:p w14:paraId="5574F9B5" w14:textId="00E5FE14" w:rsidR="00BF4EB2" w:rsidRPr="000127EF" w:rsidRDefault="00BF4EB2" w:rsidP="00504E82">
      <w:pPr>
        <w:numPr>
          <w:ilvl w:val="0"/>
          <w:numId w:val="5"/>
        </w:numPr>
        <w:spacing w:before="120"/>
        <w:ind w:left="714" w:hanging="357"/>
        <w:jc w:val="both"/>
        <w:rPr>
          <w:rFonts w:cs="Arial"/>
          <w:szCs w:val="22"/>
        </w:rPr>
      </w:pPr>
      <w:r w:rsidRPr="000127EF">
        <w:rPr>
          <w:rFonts w:cs="Arial"/>
          <w:szCs w:val="22"/>
        </w:rPr>
        <w:t xml:space="preserve">make arrangements for the proper administration of its financial affairs and to secure that one of its officers has the responsibility for the administration of those affairs. In this Authority, that officer is the </w:t>
      </w:r>
      <w:r w:rsidR="007A249D">
        <w:rPr>
          <w:rFonts w:cs="Arial"/>
          <w:szCs w:val="22"/>
        </w:rPr>
        <w:t>Strategic Director for Resources</w:t>
      </w:r>
      <w:r w:rsidRPr="000127EF">
        <w:rPr>
          <w:rFonts w:cs="Arial"/>
          <w:szCs w:val="22"/>
        </w:rPr>
        <w:t>;</w:t>
      </w:r>
    </w:p>
    <w:p w14:paraId="039C65D5" w14:textId="77777777" w:rsidR="00BF4EB2" w:rsidRPr="000127EF" w:rsidRDefault="00BF4EB2" w:rsidP="00504E82">
      <w:pPr>
        <w:numPr>
          <w:ilvl w:val="0"/>
          <w:numId w:val="5"/>
        </w:numPr>
        <w:jc w:val="both"/>
        <w:rPr>
          <w:rFonts w:cs="Arial"/>
          <w:szCs w:val="22"/>
        </w:rPr>
      </w:pPr>
      <w:r w:rsidRPr="000127EF">
        <w:rPr>
          <w:rFonts w:cs="Arial"/>
          <w:szCs w:val="22"/>
        </w:rPr>
        <w:t>manage its affairs to secure economic, efficient and effective use of resources and safeguard its assets; and</w:t>
      </w:r>
    </w:p>
    <w:p w14:paraId="21FB3E06" w14:textId="77777777" w:rsidR="005D2931" w:rsidRPr="000127EF" w:rsidRDefault="00BF4EB2" w:rsidP="00DE1AFE">
      <w:pPr>
        <w:numPr>
          <w:ilvl w:val="0"/>
          <w:numId w:val="5"/>
        </w:numPr>
        <w:spacing w:after="240"/>
        <w:ind w:left="714" w:hanging="357"/>
        <w:jc w:val="both"/>
        <w:rPr>
          <w:rFonts w:cs="Arial"/>
          <w:b/>
          <w:szCs w:val="22"/>
        </w:rPr>
      </w:pPr>
      <w:r w:rsidRPr="000127EF">
        <w:rPr>
          <w:rFonts w:cs="Arial"/>
          <w:szCs w:val="22"/>
        </w:rPr>
        <w:t>approve the Statement of Accounts</w:t>
      </w:r>
      <w:r w:rsidR="00437EAA" w:rsidRPr="000127EF">
        <w:rPr>
          <w:rFonts w:cs="Arial"/>
          <w:szCs w:val="22"/>
        </w:rPr>
        <w:t>.</w:t>
      </w:r>
    </w:p>
    <w:p w14:paraId="3E873503" w14:textId="77777777" w:rsidR="00DE1AFE" w:rsidRPr="000127EF" w:rsidRDefault="00DA3404" w:rsidP="00DE1AFE">
      <w:pPr>
        <w:spacing w:before="120" w:after="120"/>
        <w:jc w:val="both"/>
        <w:rPr>
          <w:rFonts w:cs="Arial"/>
          <w:b/>
          <w:szCs w:val="22"/>
        </w:rPr>
      </w:pPr>
      <w:r w:rsidRPr="000127EF">
        <w:rPr>
          <w:rFonts w:cs="Arial"/>
          <w:b/>
          <w:szCs w:val="22"/>
        </w:rPr>
        <w:t>Chairman’s Approval of the Statement of Accounts</w:t>
      </w:r>
    </w:p>
    <w:p w14:paraId="60C5E9AF" w14:textId="3C8D15C8" w:rsidR="000511BC" w:rsidRDefault="00593591" w:rsidP="005D2931">
      <w:pPr>
        <w:spacing w:before="240" w:after="240"/>
        <w:jc w:val="both"/>
        <w:rPr>
          <w:rFonts w:cs="Arial"/>
          <w:b/>
          <w:szCs w:val="22"/>
        </w:rPr>
      </w:pPr>
      <w:r>
        <w:rPr>
          <w:noProof/>
          <w:lang w:eastAsia="en-GB"/>
        </w:rPr>
        <w:drawing>
          <wp:inline distT="0" distB="0" distL="0" distR="0" wp14:anchorId="46C97483" wp14:editId="2FC53B9F">
            <wp:extent cx="1784985" cy="9963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84985" cy="996315"/>
                    </a:xfrm>
                    <a:prstGeom prst="rect">
                      <a:avLst/>
                    </a:prstGeom>
                    <a:noFill/>
                    <a:ln>
                      <a:noFill/>
                    </a:ln>
                  </pic:spPr>
                </pic:pic>
              </a:graphicData>
            </a:graphic>
          </wp:inline>
        </w:drawing>
      </w:r>
    </w:p>
    <w:p w14:paraId="2923D68D" w14:textId="665223ED" w:rsidR="000511BC" w:rsidRPr="00593591" w:rsidRDefault="00593591" w:rsidP="00593591">
      <w:pPr>
        <w:jc w:val="both"/>
        <w:rPr>
          <w:rFonts w:cs="Arial"/>
          <w:szCs w:val="22"/>
        </w:rPr>
      </w:pPr>
      <w:r w:rsidRPr="00593591">
        <w:rPr>
          <w:rFonts w:cs="Arial"/>
          <w:szCs w:val="22"/>
        </w:rPr>
        <w:t>Cllr Karen Payne</w:t>
      </w:r>
    </w:p>
    <w:p w14:paraId="783915D5" w14:textId="25C4940A" w:rsidR="00593591" w:rsidRPr="00593591" w:rsidRDefault="00593591" w:rsidP="00593591">
      <w:pPr>
        <w:jc w:val="both"/>
        <w:rPr>
          <w:rFonts w:cs="Arial"/>
          <w:szCs w:val="22"/>
        </w:rPr>
      </w:pPr>
      <w:r>
        <w:rPr>
          <w:rFonts w:cs="Arial"/>
          <w:szCs w:val="22"/>
        </w:rPr>
        <w:t>27</w:t>
      </w:r>
      <w:r w:rsidRPr="00593591">
        <w:rPr>
          <w:rFonts w:cs="Arial"/>
          <w:szCs w:val="22"/>
          <w:vertAlign w:val="superscript"/>
        </w:rPr>
        <w:t>th</w:t>
      </w:r>
      <w:r w:rsidRPr="00593591">
        <w:rPr>
          <w:rFonts w:cs="Arial"/>
          <w:szCs w:val="22"/>
        </w:rPr>
        <w:t xml:space="preserve"> November 2020</w:t>
      </w:r>
    </w:p>
    <w:p w14:paraId="64097CD8" w14:textId="77777777" w:rsidR="005D2931" w:rsidRPr="000127EF" w:rsidRDefault="005D2931" w:rsidP="005D2931">
      <w:pPr>
        <w:spacing w:before="240" w:after="240"/>
        <w:jc w:val="both"/>
        <w:rPr>
          <w:rFonts w:cs="Arial"/>
          <w:b/>
          <w:szCs w:val="22"/>
        </w:rPr>
      </w:pPr>
      <w:r w:rsidRPr="000127EF">
        <w:rPr>
          <w:rFonts w:cs="Arial"/>
          <w:b/>
          <w:szCs w:val="22"/>
        </w:rPr>
        <w:t>The Chief Financial Officers Responsibilities</w:t>
      </w:r>
    </w:p>
    <w:p w14:paraId="5B07529E" w14:textId="77777777" w:rsidR="005D2931" w:rsidRPr="000127EF" w:rsidRDefault="005D2931" w:rsidP="005D2931">
      <w:pPr>
        <w:spacing w:after="120"/>
        <w:jc w:val="both"/>
        <w:rPr>
          <w:rFonts w:cs="Arial"/>
          <w:szCs w:val="22"/>
        </w:rPr>
      </w:pPr>
      <w:r w:rsidRPr="000127EF">
        <w:rPr>
          <w:rFonts w:cs="Arial"/>
          <w:szCs w:val="22"/>
        </w:rPr>
        <w:t>The Chief Financial Officer is responsible for the preparation of the authority’s Statement of Accounts in accordance with proper practices as set out in the CIPFA/LASAAC Code of Practice on Local Authority Accounting in the United Kingdom (the Code).</w:t>
      </w:r>
    </w:p>
    <w:p w14:paraId="42F963AC" w14:textId="77777777" w:rsidR="005D2931" w:rsidRPr="000127EF" w:rsidRDefault="005D2931" w:rsidP="005D2931">
      <w:pPr>
        <w:spacing w:after="120"/>
        <w:jc w:val="both"/>
        <w:rPr>
          <w:rFonts w:cs="Arial"/>
          <w:szCs w:val="22"/>
        </w:rPr>
      </w:pPr>
      <w:r w:rsidRPr="000127EF">
        <w:rPr>
          <w:rFonts w:cs="Arial"/>
          <w:szCs w:val="22"/>
        </w:rPr>
        <w:t>In preparing this Statement of Accounts, the Chief Financial Officer has:</w:t>
      </w:r>
    </w:p>
    <w:p w14:paraId="74718304" w14:textId="77777777" w:rsidR="005D2931" w:rsidRPr="000127EF" w:rsidRDefault="005D2931" w:rsidP="005D2931">
      <w:pPr>
        <w:numPr>
          <w:ilvl w:val="0"/>
          <w:numId w:val="5"/>
        </w:numPr>
        <w:spacing w:before="120"/>
        <w:ind w:left="714" w:hanging="357"/>
        <w:jc w:val="both"/>
        <w:rPr>
          <w:rFonts w:cs="Arial"/>
          <w:szCs w:val="22"/>
        </w:rPr>
      </w:pPr>
      <w:r w:rsidRPr="000127EF">
        <w:rPr>
          <w:rFonts w:cs="Arial"/>
          <w:szCs w:val="22"/>
        </w:rPr>
        <w:t>selected suitable accounting policies and then applied them consistently;</w:t>
      </w:r>
    </w:p>
    <w:p w14:paraId="41BC1FDF" w14:textId="77777777" w:rsidR="005D2931" w:rsidRPr="000127EF" w:rsidRDefault="005D2931" w:rsidP="005D2931">
      <w:pPr>
        <w:numPr>
          <w:ilvl w:val="0"/>
          <w:numId w:val="6"/>
        </w:numPr>
        <w:jc w:val="both"/>
        <w:rPr>
          <w:rFonts w:cs="Arial"/>
          <w:szCs w:val="22"/>
        </w:rPr>
      </w:pPr>
      <w:r w:rsidRPr="000127EF">
        <w:rPr>
          <w:rFonts w:cs="Arial"/>
          <w:szCs w:val="22"/>
        </w:rPr>
        <w:t>made judgments and estimates that were reasonable and prudent; and</w:t>
      </w:r>
    </w:p>
    <w:p w14:paraId="691F8BBF" w14:textId="77777777" w:rsidR="005D2931" w:rsidRPr="000127EF" w:rsidRDefault="005D2931" w:rsidP="005D2931">
      <w:pPr>
        <w:numPr>
          <w:ilvl w:val="0"/>
          <w:numId w:val="6"/>
        </w:numPr>
        <w:spacing w:after="120"/>
        <w:ind w:left="714" w:hanging="357"/>
        <w:jc w:val="both"/>
        <w:rPr>
          <w:rFonts w:cs="Arial"/>
          <w:szCs w:val="22"/>
        </w:rPr>
      </w:pPr>
      <w:r w:rsidRPr="000127EF">
        <w:rPr>
          <w:rFonts w:cs="Arial"/>
          <w:szCs w:val="22"/>
        </w:rPr>
        <w:t>complied with the Code of Practice</w:t>
      </w:r>
    </w:p>
    <w:p w14:paraId="7A410124" w14:textId="77777777" w:rsidR="005D2931" w:rsidRPr="000127EF" w:rsidRDefault="005D2931" w:rsidP="005D2931">
      <w:pPr>
        <w:spacing w:after="120"/>
        <w:jc w:val="both"/>
        <w:rPr>
          <w:rFonts w:cs="Arial"/>
          <w:szCs w:val="22"/>
        </w:rPr>
      </w:pPr>
      <w:r w:rsidRPr="000127EF">
        <w:rPr>
          <w:rFonts w:cs="Arial"/>
          <w:szCs w:val="22"/>
        </w:rPr>
        <w:t>The Chief Financial Officer has also:</w:t>
      </w:r>
    </w:p>
    <w:p w14:paraId="2AD5AB5B" w14:textId="77777777" w:rsidR="005D2931" w:rsidRPr="000127EF" w:rsidRDefault="005D2931" w:rsidP="005D2931">
      <w:pPr>
        <w:numPr>
          <w:ilvl w:val="0"/>
          <w:numId w:val="5"/>
        </w:numPr>
        <w:spacing w:before="120"/>
        <w:ind w:left="714" w:hanging="357"/>
        <w:jc w:val="both"/>
        <w:rPr>
          <w:rFonts w:cs="Arial"/>
          <w:szCs w:val="22"/>
        </w:rPr>
      </w:pPr>
      <w:r w:rsidRPr="000127EF">
        <w:rPr>
          <w:rFonts w:cs="Arial"/>
          <w:szCs w:val="22"/>
        </w:rPr>
        <w:t>kept proper accounting records, which were up-to-date; and</w:t>
      </w:r>
    </w:p>
    <w:p w14:paraId="621B7D7A" w14:textId="77777777" w:rsidR="005D2931" w:rsidRPr="000127EF" w:rsidRDefault="005D2931" w:rsidP="005D2931">
      <w:pPr>
        <w:numPr>
          <w:ilvl w:val="0"/>
          <w:numId w:val="7"/>
        </w:numPr>
        <w:spacing w:after="120"/>
        <w:ind w:left="714" w:hanging="357"/>
        <w:jc w:val="both"/>
        <w:rPr>
          <w:rFonts w:cs="Arial"/>
          <w:szCs w:val="22"/>
        </w:rPr>
      </w:pPr>
      <w:r w:rsidRPr="000127EF">
        <w:rPr>
          <w:rFonts w:cs="Arial"/>
          <w:szCs w:val="22"/>
        </w:rPr>
        <w:t>taken reasonable steps for the prevention and detection of fraud and other irregularities</w:t>
      </w:r>
    </w:p>
    <w:p w14:paraId="53A98CBB" w14:textId="77777777" w:rsidR="00BF4EB2" w:rsidRPr="000127EF" w:rsidRDefault="00DC7592" w:rsidP="00E00BB8">
      <w:pPr>
        <w:spacing w:before="240" w:after="240"/>
        <w:jc w:val="both"/>
        <w:rPr>
          <w:rFonts w:cs="Arial"/>
          <w:b/>
          <w:szCs w:val="22"/>
        </w:rPr>
      </w:pPr>
      <w:r w:rsidRPr="000127EF">
        <w:rPr>
          <w:rFonts w:cs="Arial"/>
          <w:b/>
          <w:szCs w:val="22"/>
        </w:rPr>
        <w:t>Chief Financial Officer’s Certificate</w:t>
      </w:r>
    </w:p>
    <w:p w14:paraId="1CAB1C7C" w14:textId="0B7E4221" w:rsidR="00354499" w:rsidRPr="000127EF" w:rsidRDefault="00BF4EB2" w:rsidP="00E00BB8">
      <w:pPr>
        <w:spacing w:after="120"/>
        <w:jc w:val="both"/>
        <w:rPr>
          <w:rFonts w:cs="Arial"/>
          <w:szCs w:val="22"/>
        </w:rPr>
      </w:pPr>
      <w:r w:rsidRPr="000127EF">
        <w:rPr>
          <w:rFonts w:cs="Arial"/>
          <w:szCs w:val="22"/>
        </w:rPr>
        <w:t xml:space="preserve">I certify that the Statement of Accounts on pages </w:t>
      </w:r>
      <w:r w:rsidR="000D3DEC" w:rsidRPr="000127EF">
        <w:rPr>
          <w:rFonts w:cs="Arial"/>
          <w:szCs w:val="22"/>
        </w:rPr>
        <w:t>1</w:t>
      </w:r>
      <w:r w:rsidR="00354499" w:rsidRPr="000127EF">
        <w:rPr>
          <w:rFonts w:cs="Arial"/>
          <w:szCs w:val="22"/>
        </w:rPr>
        <w:t>6</w:t>
      </w:r>
      <w:r w:rsidR="000D3DEC" w:rsidRPr="000127EF">
        <w:rPr>
          <w:rFonts w:cs="Arial"/>
          <w:szCs w:val="22"/>
        </w:rPr>
        <w:t xml:space="preserve"> </w:t>
      </w:r>
      <w:r w:rsidRPr="000127EF">
        <w:rPr>
          <w:rFonts w:cs="Arial"/>
          <w:szCs w:val="22"/>
        </w:rPr>
        <w:t xml:space="preserve">to </w:t>
      </w:r>
      <w:r w:rsidR="00BA13D7">
        <w:rPr>
          <w:rFonts w:cs="Arial"/>
          <w:szCs w:val="22"/>
        </w:rPr>
        <w:t>80</w:t>
      </w:r>
      <w:r w:rsidRPr="000127EF">
        <w:rPr>
          <w:rFonts w:cs="Arial"/>
          <w:szCs w:val="22"/>
        </w:rPr>
        <w:t xml:space="preserve"> presents a true and fair view of the financial position of the Council at 31st March 20</w:t>
      </w:r>
      <w:r w:rsidR="004F5B6B">
        <w:rPr>
          <w:rFonts w:cs="Arial"/>
          <w:szCs w:val="22"/>
        </w:rPr>
        <w:t xml:space="preserve">20 </w:t>
      </w:r>
      <w:r w:rsidRPr="000127EF">
        <w:rPr>
          <w:rFonts w:cs="Arial"/>
          <w:szCs w:val="22"/>
        </w:rPr>
        <w:t>and its income and expenditure for the year ended 31 March 20</w:t>
      </w:r>
      <w:r w:rsidR="004F5B6B">
        <w:rPr>
          <w:rFonts w:cs="Arial"/>
          <w:szCs w:val="22"/>
        </w:rPr>
        <w:t>20</w:t>
      </w:r>
    </w:p>
    <w:p w14:paraId="6C2128ED" w14:textId="7F833574" w:rsidR="00AA359C" w:rsidRDefault="00593591" w:rsidP="00E00BB8">
      <w:pPr>
        <w:spacing w:after="120"/>
        <w:jc w:val="both"/>
        <w:rPr>
          <w:noProof/>
          <w:lang w:eastAsia="en-GB"/>
        </w:rPr>
      </w:pPr>
      <w:r>
        <w:rPr>
          <w:noProof/>
          <w:lang w:eastAsia="en-GB"/>
        </w:rPr>
        <w:drawing>
          <wp:inline distT="0" distB="0" distL="0" distR="0" wp14:anchorId="33953F34" wp14:editId="200F2174">
            <wp:extent cx="3145790" cy="734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5790" cy="734695"/>
                    </a:xfrm>
                    <a:prstGeom prst="rect">
                      <a:avLst/>
                    </a:prstGeom>
                    <a:noFill/>
                    <a:ln>
                      <a:noFill/>
                    </a:ln>
                  </pic:spPr>
                </pic:pic>
              </a:graphicData>
            </a:graphic>
          </wp:inline>
        </w:drawing>
      </w:r>
    </w:p>
    <w:p w14:paraId="53E500B8" w14:textId="77777777" w:rsidR="00354499" w:rsidRPr="000127EF" w:rsidRDefault="00354499" w:rsidP="00354499">
      <w:pPr>
        <w:jc w:val="both"/>
        <w:rPr>
          <w:rFonts w:cs="Arial"/>
          <w:szCs w:val="22"/>
        </w:rPr>
      </w:pPr>
      <w:r w:rsidRPr="000127EF">
        <w:rPr>
          <w:rFonts w:cs="Arial"/>
          <w:szCs w:val="22"/>
        </w:rPr>
        <w:t>Mr S Della Rocca</w:t>
      </w:r>
    </w:p>
    <w:p w14:paraId="0EC8F1B4" w14:textId="6307835D" w:rsidR="00C93B7B" w:rsidRPr="000127EF" w:rsidRDefault="00CC2EC1" w:rsidP="00354499">
      <w:pPr>
        <w:jc w:val="both"/>
        <w:rPr>
          <w:rFonts w:cs="Arial"/>
          <w:szCs w:val="22"/>
        </w:rPr>
      </w:pPr>
      <w:r w:rsidRPr="000127EF">
        <w:rPr>
          <w:rFonts w:cs="Arial"/>
          <w:szCs w:val="22"/>
        </w:rPr>
        <w:t>Strategic</w:t>
      </w:r>
      <w:r w:rsidR="00354499" w:rsidRPr="000127EF">
        <w:rPr>
          <w:rFonts w:cs="Arial"/>
          <w:szCs w:val="22"/>
        </w:rPr>
        <w:t xml:space="preserve"> Director</w:t>
      </w:r>
      <w:r w:rsidRPr="000127EF">
        <w:rPr>
          <w:rFonts w:cs="Arial"/>
          <w:szCs w:val="22"/>
        </w:rPr>
        <w:t xml:space="preserve"> for Resources</w:t>
      </w:r>
      <w:r w:rsidR="00354499" w:rsidRPr="000127EF">
        <w:rPr>
          <w:rFonts w:cs="Arial"/>
          <w:szCs w:val="22"/>
        </w:rPr>
        <w:t xml:space="preserve"> (Chief Financial Officer)</w:t>
      </w:r>
    </w:p>
    <w:p w14:paraId="0B897D64" w14:textId="5B52BF16" w:rsidR="00593591" w:rsidRPr="000127EF" w:rsidRDefault="00593591" w:rsidP="001C7350">
      <w:pPr>
        <w:spacing w:after="120"/>
        <w:jc w:val="both"/>
        <w:rPr>
          <w:rFonts w:cs="Arial"/>
          <w:szCs w:val="22"/>
        </w:rPr>
        <w:sectPr w:rsidR="00593591" w:rsidRPr="000127EF" w:rsidSect="008C78E8">
          <w:pgSz w:w="11907" w:h="16840" w:code="9"/>
          <w:pgMar w:top="1135" w:right="992" w:bottom="1440" w:left="709" w:header="567" w:footer="851" w:gutter="0"/>
          <w:paperSrc w:first="7" w:other="7"/>
          <w:cols w:space="720"/>
          <w:docGrid w:linePitch="299"/>
        </w:sectPr>
      </w:pPr>
      <w:r>
        <w:rPr>
          <w:rFonts w:cs="Arial"/>
          <w:szCs w:val="22"/>
        </w:rPr>
        <w:t>27</w:t>
      </w:r>
      <w:r w:rsidRPr="00593591">
        <w:rPr>
          <w:rFonts w:cs="Arial"/>
          <w:szCs w:val="22"/>
          <w:vertAlign w:val="superscript"/>
        </w:rPr>
        <w:t>th</w:t>
      </w:r>
      <w:r>
        <w:rPr>
          <w:rFonts w:cs="Arial"/>
          <w:szCs w:val="22"/>
        </w:rPr>
        <w:t xml:space="preserve"> November 2020</w:t>
      </w:r>
    </w:p>
    <w:p w14:paraId="51428FA9" w14:textId="797643E2" w:rsidR="00BF4EB2" w:rsidRPr="000127EF" w:rsidRDefault="002E7C2E" w:rsidP="002E7C2E">
      <w:pPr>
        <w:pStyle w:val="MainSoAHeading"/>
      </w:pPr>
      <w:bookmarkStart w:id="12" w:name="_Toc54886654"/>
      <w:r w:rsidRPr="000127EF">
        <w:lastRenderedPageBreak/>
        <w:t>Comprehensive Income and Expenditure Statement (CIES)</w:t>
      </w:r>
      <w:r w:rsidR="0027479D">
        <w:t>CIES</w:t>
      </w:r>
      <w:bookmarkEnd w:id="12"/>
    </w:p>
    <w:p w14:paraId="018E14EC" w14:textId="77777777" w:rsidR="002E7C2E" w:rsidRPr="000127EF" w:rsidRDefault="00661E70" w:rsidP="002E7C2E">
      <w:r>
        <w:pict w14:anchorId="0F7317EF">
          <v:rect id="_x0000_i1030" style="width:510.3pt;height:2pt" o:hralign="center" o:hrstd="t" o:hrnoshade="t" o:hr="t" fillcolor="#a8d08d [1945]" stroked="f"/>
        </w:pict>
      </w:r>
    </w:p>
    <w:p w14:paraId="42C562FF" w14:textId="77777777" w:rsidR="00740705" w:rsidRPr="000127EF" w:rsidRDefault="00740705" w:rsidP="002E7C2E"/>
    <w:p w14:paraId="2973B27F" w14:textId="77777777" w:rsidR="00803C5F" w:rsidRPr="000127EF" w:rsidRDefault="00803C5F" w:rsidP="006A56F7">
      <w:pPr>
        <w:spacing w:after="120"/>
        <w:jc w:val="both"/>
      </w:pPr>
      <w:r w:rsidRPr="000127EF">
        <w:t xml:space="preserve">This statement shows the accounting cost in the year of providing services in accordance with generally accepted accounting practices, rather than the amount to be funded from taxation.  Councils raise taxation to cover expenditure in accordance with regulations; this may be different from the accounting cost. The taxation position is shown in the Movement in Reserves Statement. </w:t>
      </w:r>
    </w:p>
    <w:tbl>
      <w:tblPr>
        <w:tblStyle w:val="TableGrid"/>
        <w:tblW w:w="15144"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ayout w:type="fixed"/>
        <w:tblLook w:val="04A0" w:firstRow="1" w:lastRow="0" w:firstColumn="1" w:lastColumn="0" w:noHBand="0" w:noVBand="1"/>
      </w:tblPr>
      <w:tblGrid>
        <w:gridCol w:w="1526"/>
        <w:gridCol w:w="1428"/>
        <w:gridCol w:w="1559"/>
        <w:gridCol w:w="5245"/>
        <w:gridCol w:w="850"/>
        <w:gridCol w:w="1618"/>
        <w:gridCol w:w="1217"/>
        <w:gridCol w:w="1701"/>
      </w:tblGrid>
      <w:tr w:rsidR="00701AA1" w:rsidRPr="000127EF" w14:paraId="406D0E65" w14:textId="77777777" w:rsidTr="00C53116">
        <w:tc>
          <w:tcPr>
            <w:tcW w:w="4513" w:type="dxa"/>
            <w:gridSpan w:val="3"/>
          </w:tcPr>
          <w:p w14:paraId="5693799E" w14:textId="48900DC8" w:rsidR="00701AA1" w:rsidRPr="000127EF" w:rsidRDefault="00B23AA1" w:rsidP="00740705">
            <w:pPr>
              <w:jc w:val="center"/>
              <w:rPr>
                <w:b/>
                <w:i/>
              </w:rPr>
            </w:pPr>
            <w:r>
              <w:rPr>
                <w:b/>
                <w:i/>
              </w:rPr>
              <w:t>2018/19</w:t>
            </w:r>
          </w:p>
        </w:tc>
        <w:tc>
          <w:tcPr>
            <w:tcW w:w="5245" w:type="dxa"/>
          </w:tcPr>
          <w:p w14:paraId="72AD872D" w14:textId="77777777" w:rsidR="00701AA1" w:rsidRPr="000127EF" w:rsidRDefault="00701AA1" w:rsidP="002E7C2E"/>
        </w:tc>
        <w:tc>
          <w:tcPr>
            <w:tcW w:w="850" w:type="dxa"/>
          </w:tcPr>
          <w:p w14:paraId="0627AEF4" w14:textId="77777777" w:rsidR="00701AA1" w:rsidRPr="007E2D8B" w:rsidRDefault="00701AA1" w:rsidP="00701AA1">
            <w:pPr>
              <w:tabs>
                <w:tab w:val="left" w:pos="343"/>
              </w:tabs>
              <w:rPr>
                <w:b/>
              </w:rPr>
            </w:pPr>
          </w:p>
        </w:tc>
        <w:tc>
          <w:tcPr>
            <w:tcW w:w="4536" w:type="dxa"/>
            <w:gridSpan w:val="3"/>
          </w:tcPr>
          <w:p w14:paraId="3B6F85CE" w14:textId="4E241D28" w:rsidR="00701AA1" w:rsidRPr="007E2D8B" w:rsidRDefault="00B23AA1" w:rsidP="00803C5F">
            <w:pPr>
              <w:jc w:val="center"/>
              <w:rPr>
                <w:b/>
              </w:rPr>
            </w:pPr>
            <w:r w:rsidRPr="007E2D8B">
              <w:rPr>
                <w:b/>
              </w:rPr>
              <w:t>2019/20</w:t>
            </w:r>
          </w:p>
        </w:tc>
      </w:tr>
      <w:tr w:rsidR="007E1FF0" w:rsidRPr="000127EF" w14:paraId="68AD684D" w14:textId="77777777" w:rsidTr="00C53116">
        <w:tc>
          <w:tcPr>
            <w:tcW w:w="1526" w:type="dxa"/>
          </w:tcPr>
          <w:p w14:paraId="596D7B3C" w14:textId="77777777" w:rsidR="007E1FF0" w:rsidRDefault="007E1FF0" w:rsidP="00190C88">
            <w:pPr>
              <w:jc w:val="center"/>
              <w:rPr>
                <w:b/>
                <w:i/>
              </w:rPr>
            </w:pPr>
            <w:r w:rsidRPr="000127EF">
              <w:rPr>
                <w:b/>
                <w:i/>
              </w:rPr>
              <w:t>Gross Expenditure</w:t>
            </w:r>
          </w:p>
          <w:p w14:paraId="32CE1B60" w14:textId="581D94DF" w:rsidR="00C53116" w:rsidRPr="000127EF" w:rsidRDefault="00C53116" w:rsidP="00190C88">
            <w:pPr>
              <w:jc w:val="center"/>
              <w:rPr>
                <w:b/>
                <w:i/>
              </w:rPr>
            </w:pPr>
            <w:r>
              <w:rPr>
                <w:b/>
                <w:i/>
              </w:rPr>
              <w:t>(Restated)</w:t>
            </w:r>
          </w:p>
        </w:tc>
        <w:tc>
          <w:tcPr>
            <w:tcW w:w="1428" w:type="dxa"/>
          </w:tcPr>
          <w:p w14:paraId="01E51452" w14:textId="77777777" w:rsidR="007E1FF0" w:rsidRDefault="007E1FF0" w:rsidP="00190C88">
            <w:pPr>
              <w:jc w:val="center"/>
              <w:rPr>
                <w:b/>
                <w:i/>
              </w:rPr>
            </w:pPr>
            <w:r w:rsidRPr="000127EF">
              <w:rPr>
                <w:b/>
                <w:i/>
              </w:rPr>
              <w:t>Gross Income</w:t>
            </w:r>
          </w:p>
          <w:p w14:paraId="27FCEDD2" w14:textId="4C493114" w:rsidR="00C53116" w:rsidRPr="000127EF" w:rsidRDefault="00C53116" w:rsidP="00190C88">
            <w:pPr>
              <w:jc w:val="center"/>
              <w:rPr>
                <w:b/>
                <w:i/>
              </w:rPr>
            </w:pPr>
            <w:r>
              <w:rPr>
                <w:b/>
                <w:i/>
              </w:rPr>
              <w:t>(Restated)</w:t>
            </w:r>
          </w:p>
        </w:tc>
        <w:tc>
          <w:tcPr>
            <w:tcW w:w="1559" w:type="dxa"/>
          </w:tcPr>
          <w:p w14:paraId="2D3C50C1" w14:textId="77777777" w:rsidR="007E1FF0" w:rsidRPr="000127EF" w:rsidRDefault="007E1FF0" w:rsidP="00740705">
            <w:pPr>
              <w:jc w:val="center"/>
              <w:rPr>
                <w:b/>
                <w:i/>
              </w:rPr>
            </w:pPr>
            <w:r w:rsidRPr="000127EF">
              <w:rPr>
                <w:b/>
                <w:i/>
              </w:rPr>
              <w:t>Net Expenditure</w:t>
            </w:r>
          </w:p>
        </w:tc>
        <w:tc>
          <w:tcPr>
            <w:tcW w:w="5245" w:type="dxa"/>
            <w:vAlign w:val="center"/>
          </w:tcPr>
          <w:p w14:paraId="7DF2D02E" w14:textId="77777777" w:rsidR="007E1FF0" w:rsidRPr="000127EF" w:rsidRDefault="007E1FF0" w:rsidP="00803C5F">
            <w:pPr>
              <w:jc w:val="center"/>
              <w:rPr>
                <w:b/>
              </w:rPr>
            </w:pPr>
            <w:r w:rsidRPr="000127EF">
              <w:rPr>
                <w:b/>
              </w:rPr>
              <w:t>Comprehensive Income &amp; Expenditure Statement (CIES)</w:t>
            </w:r>
          </w:p>
        </w:tc>
        <w:tc>
          <w:tcPr>
            <w:tcW w:w="850" w:type="dxa"/>
          </w:tcPr>
          <w:p w14:paraId="67296D45" w14:textId="77777777" w:rsidR="007E1FF0" w:rsidRPr="007E2D8B" w:rsidRDefault="007E1FF0" w:rsidP="002E7C2E">
            <w:pPr>
              <w:rPr>
                <w:b/>
              </w:rPr>
            </w:pPr>
            <w:r w:rsidRPr="007E2D8B">
              <w:rPr>
                <w:b/>
              </w:rPr>
              <w:t xml:space="preserve">Notes </w:t>
            </w:r>
          </w:p>
        </w:tc>
        <w:tc>
          <w:tcPr>
            <w:tcW w:w="1618" w:type="dxa"/>
          </w:tcPr>
          <w:p w14:paraId="3B51D3F2" w14:textId="77777777" w:rsidR="007E1FF0" w:rsidRPr="007E2D8B" w:rsidRDefault="007E1FF0" w:rsidP="00173C7E">
            <w:pPr>
              <w:jc w:val="center"/>
              <w:rPr>
                <w:b/>
              </w:rPr>
            </w:pPr>
            <w:r w:rsidRPr="007E2D8B">
              <w:rPr>
                <w:b/>
              </w:rPr>
              <w:t>Gross Expenditure</w:t>
            </w:r>
          </w:p>
        </w:tc>
        <w:tc>
          <w:tcPr>
            <w:tcW w:w="1217" w:type="dxa"/>
          </w:tcPr>
          <w:p w14:paraId="4D3CC99F" w14:textId="77777777" w:rsidR="007E1FF0" w:rsidRPr="007E2D8B" w:rsidRDefault="007E1FF0" w:rsidP="00173C7E">
            <w:pPr>
              <w:jc w:val="center"/>
              <w:rPr>
                <w:b/>
              </w:rPr>
            </w:pPr>
            <w:r w:rsidRPr="007E2D8B">
              <w:rPr>
                <w:b/>
              </w:rPr>
              <w:t>Gross Income</w:t>
            </w:r>
          </w:p>
        </w:tc>
        <w:tc>
          <w:tcPr>
            <w:tcW w:w="1701" w:type="dxa"/>
          </w:tcPr>
          <w:p w14:paraId="300FC961" w14:textId="77777777" w:rsidR="007E1FF0" w:rsidRPr="007E2D8B" w:rsidRDefault="007E1FF0" w:rsidP="00173C7E">
            <w:pPr>
              <w:jc w:val="center"/>
              <w:rPr>
                <w:b/>
              </w:rPr>
            </w:pPr>
            <w:r w:rsidRPr="007E2D8B">
              <w:rPr>
                <w:b/>
              </w:rPr>
              <w:t>Net Expenditure</w:t>
            </w:r>
          </w:p>
        </w:tc>
      </w:tr>
      <w:tr w:rsidR="007E1FF0" w:rsidRPr="000127EF" w14:paraId="28056BDF" w14:textId="77777777" w:rsidTr="00C53116">
        <w:tc>
          <w:tcPr>
            <w:tcW w:w="1526" w:type="dxa"/>
          </w:tcPr>
          <w:p w14:paraId="5F87388C" w14:textId="77777777" w:rsidR="007E1FF0" w:rsidRPr="000127EF" w:rsidRDefault="007E1FF0" w:rsidP="00190C88">
            <w:pPr>
              <w:jc w:val="center"/>
              <w:rPr>
                <w:i/>
              </w:rPr>
            </w:pPr>
            <w:r w:rsidRPr="000127EF">
              <w:rPr>
                <w:i/>
              </w:rPr>
              <w:t>£000</w:t>
            </w:r>
          </w:p>
        </w:tc>
        <w:tc>
          <w:tcPr>
            <w:tcW w:w="1428" w:type="dxa"/>
          </w:tcPr>
          <w:p w14:paraId="6191463F" w14:textId="77777777" w:rsidR="007E1FF0" w:rsidRPr="000127EF" w:rsidRDefault="007E1FF0" w:rsidP="00190C88">
            <w:pPr>
              <w:jc w:val="center"/>
              <w:rPr>
                <w:i/>
              </w:rPr>
            </w:pPr>
            <w:r w:rsidRPr="000127EF">
              <w:rPr>
                <w:i/>
              </w:rPr>
              <w:t>£000</w:t>
            </w:r>
          </w:p>
        </w:tc>
        <w:tc>
          <w:tcPr>
            <w:tcW w:w="1559" w:type="dxa"/>
          </w:tcPr>
          <w:p w14:paraId="1D40D49A" w14:textId="77777777" w:rsidR="007E1FF0" w:rsidRPr="000127EF" w:rsidRDefault="007E1FF0" w:rsidP="00740705">
            <w:pPr>
              <w:jc w:val="center"/>
              <w:rPr>
                <w:i/>
              </w:rPr>
            </w:pPr>
            <w:r w:rsidRPr="000127EF">
              <w:rPr>
                <w:i/>
              </w:rPr>
              <w:t>£000</w:t>
            </w:r>
          </w:p>
        </w:tc>
        <w:tc>
          <w:tcPr>
            <w:tcW w:w="5245" w:type="dxa"/>
          </w:tcPr>
          <w:p w14:paraId="5B28D922" w14:textId="77777777" w:rsidR="007E1FF0" w:rsidRPr="000127EF" w:rsidRDefault="007E1FF0" w:rsidP="002E7C2E"/>
        </w:tc>
        <w:tc>
          <w:tcPr>
            <w:tcW w:w="850" w:type="dxa"/>
          </w:tcPr>
          <w:p w14:paraId="491EC83D" w14:textId="77777777" w:rsidR="007E1FF0" w:rsidRPr="007E2D8B" w:rsidRDefault="007E1FF0" w:rsidP="002E7C2E">
            <w:pPr>
              <w:rPr>
                <w:b/>
              </w:rPr>
            </w:pPr>
          </w:p>
        </w:tc>
        <w:tc>
          <w:tcPr>
            <w:tcW w:w="1618" w:type="dxa"/>
          </w:tcPr>
          <w:p w14:paraId="3CF4B2AA" w14:textId="77777777" w:rsidR="007E1FF0" w:rsidRPr="007E2D8B" w:rsidRDefault="007E1FF0" w:rsidP="00173C7E">
            <w:pPr>
              <w:jc w:val="center"/>
              <w:rPr>
                <w:b/>
              </w:rPr>
            </w:pPr>
            <w:r w:rsidRPr="007E2D8B">
              <w:rPr>
                <w:b/>
              </w:rPr>
              <w:t>£000</w:t>
            </w:r>
          </w:p>
        </w:tc>
        <w:tc>
          <w:tcPr>
            <w:tcW w:w="1217" w:type="dxa"/>
          </w:tcPr>
          <w:p w14:paraId="1276E9D2" w14:textId="77777777" w:rsidR="007E1FF0" w:rsidRPr="007E2D8B" w:rsidRDefault="007E1FF0" w:rsidP="00173C7E">
            <w:pPr>
              <w:jc w:val="center"/>
              <w:rPr>
                <w:b/>
              </w:rPr>
            </w:pPr>
            <w:r w:rsidRPr="007E2D8B">
              <w:rPr>
                <w:b/>
              </w:rPr>
              <w:t>£000</w:t>
            </w:r>
          </w:p>
        </w:tc>
        <w:tc>
          <w:tcPr>
            <w:tcW w:w="1701" w:type="dxa"/>
            <w:shd w:val="clear" w:color="auto" w:fill="C5E0B3" w:themeFill="accent6" w:themeFillTint="66"/>
          </w:tcPr>
          <w:p w14:paraId="76F4CA65" w14:textId="77777777" w:rsidR="007E1FF0" w:rsidRPr="007E2D8B" w:rsidRDefault="007E1FF0" w:rsidP="00173C7E">
            <w:pPr>
              <w:jc w:val="center"/>
              <w:rPr>
                <w:b/>
              </w:rPr>
            </w:pPr>
            <w:r w:rsidRPr="007E2D8B">
              <w:rPr>
                <w:b/>
              </w:rPr>
              <w:t>£000</w:t>
            </w:r>
          </w:p>
        </w:tc>
      </w:tr>
      <w:tr w:rsidR="00556D5C" w:rsidRPr="000127EF" w14:paraId="3159C7CE" w14:textId="77777777" w:rsidTr="00C53116">
        <w:trPr>
          <w:trHeight w:val="238"/>
        </w:trPr>
        <w:tc>
          <w:tcPr>
            <w:tcW w:w="1526" w:type="dxa"/>
            <w:vAlign w:val="bottom"/>
          </w:tcPr>
          <w:p w14:paraId="73080221" w14:textId="3B73C460" w:rsidR="00556D5C" w:rsidRPr="000127EF" w:rsidRDefault="00B23AA1" w:rsidP="00C15881">
            <w:pPr>
              <w:tabs>
                <w:tab w:val="left" w:pos="1452"/>
              </w:tabs>
              <w:ind w:right="92"/>
              <w:jc w:val="right"/>
              <w:rPr>
                <w:i/>
              </w:rPr>
            </w:pPr>
            <w:r>
              <w:t>3</w:t>
            </w:r>
            <w:r w:rsidR="00C15881">
              <w:t>3</w:t>
            </w:r>
            <w:r>
              <w:t>,</w:t>
            </w:r>
            <w:r w:rsidR="00C15881">
              <w:t>719</w:t>
            </w:r>
          </w:p>
        </w:tc>
        <w:tc>
          <w:tcPr>
            <w:tcW w:w="1428" w:type="dxa"/>
            <w:vAlign w:val="bottom"/>
          </w:tcPr>
          <w:p w14:paraId="1546AE11" w14:textId="46871DD3" w:rsidR="00556D5C" w:rsidRPr="000127EF" w:rsidRDefault="00B23AA1" w:rsidP="00C53116">
            <w:pPr>
              <w:jc w:val="right"/>
              <w:rPr>
                <w:i/>
              </w:rPr>
            </w:pPr>
            <w:r>
              <w:t>(1</w:t>
            </w:r>
            <w:r w:rsidR="00C15881">
              <w:t>5</w:t>
            </w:r>
            <w:r>
              <w:t>,</w:t>
            </w:r>
            <w:r w:rsidR="00C15881">
              <w:t>00</w:t>
            </w:r>
            <w:r w:rsidR="00C53116">
              <w:t>9</w:t>
            </w:r>
            <w:r w:rsidR="00C15881">
              <w:t>)</w:t>
            </w:r>
          </w:p>
        </w:tc>
        <w:tc>
          <w:tcPr>
            <w:tcW w:w="1559" w:type="dxa"/>
            <w:vAlign w:val="bottom"/>
          </w:tcPr>
          <w:p w14:paraId="5390823D" w14:textId="553F60B4" w:rsidR="00556D5C" w:rsidRPr="000127EF" w:rsidRDefault="00B23AA1" w:rsidP="00556D5C">
            <w:pPr>
              <w:ind w:right="92"/>
              <w:jc w:val="right"/>
              <w:rPr>
                <w:i/>
              </w:rPr>
            </w:pPr>
            <w:r>
              <w:rPr>
                <w:i/>
              </w:rPr>
              <w:t>18,710</w:t>
            </w:r>
          </w:p>
        </w:tc>
        <w:tc>
          <w:tcPr>
            <w:tcW w:w="5245" w:type="dxa"/>
          </w:tcPr>
          <w:p w14:paraId="69E1439C" w14:textId="77777777" w:rsidR="00556D5C" w:rsidRPr="000127EF" w:rsidRDefault="00556D5C" w:rsidP="00556D5C">
            <w:r w:rsidRPr="000127EF">
              <w:t>People</w:t>
            </w:r>
          </w:p>
        </w:tc>
        <w:tc>
          <w:tcPr>
            <w:tcW w:w="850" w:type="dxa"/>
          </w:tcPr>
          <w:p w14:paraId="01EBB5A1" w14:textId="77777777" w:rsidR="00556D5C" w:rsidRPr="007E2D8B" w:rsidRDefault="00556D5C" w:rsidP="00556D5C"/>
        </w:tc>
        <w:tc>
          <w:tcPr>
            <w:tcW w:w="1618" w:type="dxa"/>
            <w:vAlign w:val="bottom"/>
          </w:tcPr>
          <w:p w14:paraId="4AA3A1ED" w14:textId="10678252" w:rsidR="00556D5C" w:rsidRPr="007E2D8B" w:rsidRDefault="00C22BB5" w:rsidP="007462B5">
            <w:pPr>
              <w:tabs>
                <w:tab w:val="left" w:pos="1452"/>
              </w:tabs>
              <w:ind w:right="92"/>
              <w:jc w:val="right"/>
            </w:pPr>
            <w:r>
              <w:t>33,</w:t>
            </w:r>
            <w:r w:rsidR="007462B5">
              <w:t>560</w:t>
            </w:r>
          </w:p>
        </w:tc>
        <w:tc>
          <w:tcPr>
            <w:tcW w:w="1217" w:type="dxa"/>
            <w:vAlign w:val="bottom"/>
          </w:tcPr>
          <w:p w14:paraId="0287E309" w14:textId="778D61EA" w:rsidR="00556D5C" w:rsidRPr="007E2D8B" w:rsidRDefault="007E2D8B" w:rsidP="007462B5">
            <w:pPr>
              <w:jc w:val="right"/>
            </w:pPr>
            <w:r w:rsidRPr="007E2D8B">
              <w:t>(</w:t>
            </w:r>
            <w:r w:rsidR="00C22BB5">
              <w:t>14</w:t>
            </w:r>
            <w:r w:rsidRPr="007E2D8B">
              <w:t>,</w:t>
            </w:r>
            <w:r w:rsidR="007462B5">
              <w:t>14</w:t>
            </w:r>
            <w:r w:rsidRPr="007E2D8B">
              <w:t>1)</w:t>
            </w:r>
          </w:p>
        </w:tc>
        <w:tc>
          <w:tcPr>
            <w:tcW w:w="1701" w:type="dxa"/>
            <w:shd w:val="clear" w:color="auto" w:fill="C5E0B3" w:themeFill="accent6" w:themeFillTint="66"/>
            <w:vAlign w:val="bottom"/>
          </w:tcPr>
          <w:p w14:paraId="321D83E5" w14:textId="04D7060B" w:rsidR="00556D5C" w:rsidRPr="007E2D8B" w:rsidRDefault="007E2D8B" w:rsidP="00556D5C">
            <w:pPr>
              <w:ind w:right="92"/>
              <w:jc w:val="right"/>
            </w:pPr>
            <w:r w:rsidRPr="007E2D8B">
              <w:t>19,419</w:t>
            </w:r>
          </w:p>
        </w:tc>
      </w:tr>
      <w:tr w:rsidR="00556D5C" w:rsidRPr="000127EF" w14:paraId="40F5CE70" w14:textId="77777777" w:rsidTr="00C53116">
        <w:trPr>
          <w:trHeight w:val="238"/>
        </w:trPr>
        <w:tc>
          <w:tcPr>
            <w:tcW w:w="1526" w:type="dxa"/>
            <w:vAlign w:val="bottom"/>
          </w:tcPr>
          <w:p w14:paraId="5C52EB9F" w14:textId="0D25FFA0" w:rsidR="00556D5C" w:rsidRPr="000127EF" w:rsidRDefault="00C15881" w:rsidP="00C15881">
            <w:pPr>
              <w:tabs>
                <w:tab w:val="left" w:pos="1452"/>
              </w:tabs>
              <w:ind w:right="92"/>
              <w:jc w:val="right"/>
              <w:rPr>
                <w:i/>
              </w:rPr>
            </w:pPr>
            <w:r>
              <w:t>15</w:t>
            </w:r>
            <w:r w:rsidR="00B23AA1">
              <w:t>,</w:t>
            </w:r>
            <w:r>
              <w:t>919</w:t>
            </w:r>
          </w:p>
        </w:tc>
        <w:tc>
          <w:tcPr>
            <w:tcW w:w="1428" w:type="dxa"/>
            <w:vAlign w:val="bottom"/>
          </w:tcPr>
          <w:p w14:paraId="74261F08" w14:textId="194F085A" w:rsidR="00556D5C" w:rsidRPr="000127EF" w:rsidRDefault="00B23AA1" w:rsidP="00C15881">
            <w:pPr>
              <w:jc w:val="right"/>
              <w:rPr>
                <w:i/>
              </w:rPr>
            </w:pPr>
            <w:r>
              <w:t>(</w:t>
            </w:r>
            <w:r w:rsidR="00C15881">
              <w:t>3</w:t>
            </w:r>
            <w:r>
              <w:t>,</w:t>
            </w:r>
            <w:r w:rsidR="00C15881">
              <w:t>853</w:t>
            </w:r>
            <w:r w:rsidR="00556D5C" w:rsidRPr="000127EF">
              <w:t>)</w:t>
            </w:r>
          </w:p>
        </w:tc>
        <w:tc>
          <w:tcPr>
            <w:tcW w:w="1559" w:type="dxa"/>
            <w:vAlign w:val="bottom"/>
          </w:tcPr>
          <w:p w14:paraId="758161CD" w14:textId="19CB5FAD" w:rsidR="00556D5C" w:rsidRPr="000127EF" w:rsidRDefault="00B23AA1" w:rsidP="00556D5C">
            <w:pPr>
              <w:ind w:right="92"/>
              <w:jc w:val="right"/>
              <w:rPr>
                <w:i/>
              </w:rPr>
            </w:pPr>
            <w:r>
              <w:rPr>
                <w:i/>
              </w:rPr>
              <w:t>12,066</w:t>
            </w:r>
          </w:p>
        </w:tc>
        <w:tc>
          <w:tcPr>
            <w:tcW w:w="5245" w:type="dxa"/>
          </w:tcPr>
          <w:p w14:paraId="7F91E4E3" w14:textId="77777777" w:rsidR="00556D5C" w:rsidRPr="000127EF" w:rsidRDefault="00556D5C" w:rsidP="00556D5C">
            <w:r w:rsidRPr="000127EF">
              <w:t>Places</w:t>
            </w:r>
          </w:p>
        </w:tc>
        <w:tc>
          <w:tcPr>
            <w:tcW w:w="850" w:type="dxa"/>
          </w:tcPr>
          <w:p w14:paraId="1B06DC91" w14:textId="77777777" w:rsidR="00556D5C" w:rsidRPr="007E2D8B" w:rsidRDefault="00556D5C" w:rsidP="00556D5C"/>
        </w:tc>
        <w:tc>
          <w:tcPr>
            <w:tcW w:w="1618" w:type="dxa"/>
            <w:vAlign w:val="bottom"/>
          </w:tcPr>
          <w:p w14:paraId="71486324" w14:textId="2884E501" w:rsidR="00556D5C" w:rsidRPr="007E2D8B" w:rsidRDefault="007E2D8B" w:rsidP="00C22BB5">
            <w:pPr>
              <w:tabs>
                <w:tab w:val="left" w:pos="1452"/>
              </w:tabs>
              <w:ind w:right="92"/>
              <w:jc w:val="right"/>
            </w:pPr>
            <w:r w:rsidRPr="007E2D8B">
              <w:t>17,</w:t>
            </w:r>
            <w:r w:rsidR="00C22BB5">
              <w:t>46</w:t>
            </w:r>
            <w:r w:rsidRPr="007E2D8B">
              <w:t>9</w:t>
            </w:r>
          </w:p>
        </w:tc>
        <w:tc>
          <w:tcPr>
            <w:tcW w:w="1217" w:type="dxa"/>
            <w:vAlign w:val="bottom"/>
          </w:tcPr>
          <w:p w14:paraId="01104C53" w14:textId="1BF28FE7" w:rsidR="00556D5C" w:rsidRPr="007E2D8B" w:rsidRDefault="007E2D8B" w:rsidP="00C22BB5">
            <w:pPr>
              <w:jc w:val="right"/>
            </w:pPr>
            <w:r w:rsidRPr="007E2D8B">
              <w:t>(4,</w:t>
            </w:r>
            <w:r w:rsidR="00C22BB5">
              <w:t>102</w:t>
            </w:r>
            <w:r w:rsidRPr="007E2D8B">
              <w:t>)</w:t>
            </w:r>
          </w:p>
        </w:tc>
        <w:tc>
          <w:tcPr>
            <w:tcW w:w="1701" w:type="dxa"/>
            <w:shd w:val="clear" w:color="auto" w:fill="C5E0B3" w:themeFill="accent6" w:themeFillTint="66"/>
            <w:vAlign w:val="bottom"/>
          </w:tcPr>
          <w:p w14:paraId="694CC386" w14:textId="7F2D9813" w:rsidR="00556D5C" w:rsidRPr="007E2D8B" w:rsidRDefault="007E2D8B" w:rsidP="00C22BB5">
            <w:pPr>
              <w:ind w:right="92"/>
              <w:jc w:val="right"/>
            </w:pPr>
            <w:r w:rsidRPr="007E2D8B">
              <w:t>13,3</w:t>
            </w:r>
            <w:r w:rsidR="00C22BB5">
              <w:t>67</w:t>
            </w:r>
            <w:r w:rsidR="00C012C3" w:rsidRPr="007E2D8B">
              <w:fldChar w:fldCharType="begin"/>
            </w:r>
            <w:r w:rsidR="00C012C3" w:rsidRPr="007E2D8B">
              <w:instrText xml:space="preserve"> =SUM(f5:g5) </w:instrText>
            </w:r>
            <w:r w:rsidR="00C012C3" w:rsidRPr="007E2D8B">
              <w:fldChar w:fldCharType="end"/>
            </w:r>
          </w:p>
        </w:tc>
      </w:tr>
      <w:tr w:rsidR="00556D5C" w:rsidRPr="000127EF" w14:paraId="4B8F2242" w14:textId="77777777" w:rsidTr="00C53116">
        <w:trPr>
          <w:trHeight w:val="240"/>
        </w:trPr>
        <w:tc>
          <w:tcPr>
            <w:tcW w:w="1526" w:type="dxa"/>
            <w:vAlign w:val="bottom"/>
          </w:tcPr>
          <w:p w14:paraId="30FD6D10" w14:textId="06F11E8E" w:rsidR="00556D5C" w:rsidRPr="000127EF" w:rsidRDefault="00C15881" w:rsidP="00556D5C">
            <w:pPr>
              <w:tabs>
                <w:tab w:val="left" w:pos="1452"/>
              </w:tabs>
              <w:ind w:right="92"/>
              <w:jc w:val="right"/>
              <w:rPr>
                <w:i/>
              </w:rPr>
            </w:pPr>
            <w:r>
              <w:t>11,684</w:t>
            </w:r>
          </w:p>
        </w:tc>
        <w:tc>
          <w:tcPr>
            <w:tcW w:w="1428" w:type="dxa"/>
            <w:vAlign w:val="bottom"/>
          </w:tcPr>
          <w:p w14:paraId="054DD881" w14:textId="0CB5EF7B" w:rsidR="00556D5C" w:rsidRPr="000127EF" w:rsidRDefault="00B23AA1" w:rsidP="00C15881">
            <w:pPr>
              <w:jc w:val="right"/>
              <w:rPr>
                <w:i/>
              </w:rPr>
            </w:pPr>
            <w:r>
              <w:t>(5,4</w:t>
            </w:r>
            <w:r w:rsidR="00C15881">
              <w:t>44</w:t>
            </w:r>
            <w:r w:rsidR="00556D5C" w:rsidRPr="000127EF">
              <w:t>)</w:t>
            </w:r>
          </w:p>
        </w:tc>
        <w:tc>
          <w:tcPr>
            <w:tcW w:w="1559" w:type="dxa"/>
            <w:vAlign w:val="bottom"/>
          </w:tcPr>
          <w:p w14:paraId="1677909A" w14:textId="3D620ECA" w:rsidR="00556D5C" w:rsidRPr="000127EF" w:rsidRDefault="00B23AA1" w:rsidP="00556D5C">
            <w:pPr>
              <w:ind w:right="92"/>
              <w:jc w:val="right"/>
              <w:rPr>
                <w:i/>
              </w:rPr>
            </w:pPr>
            <w:r>
              <w:rPr>
                <w:i/>
              </w:rPr>
              <w:t>6,240</w:t>
            </w:r>
          </w:p>
        </w:tc>
        <w:tc>
          <w:tcPr>
            <w:tcW w:w="5245" w:type="dxa"/>
          </w:tcPr>
          <w:p w14:paraId="03F31F38" w14:textId="77777777" w:rsidR="00556D5C" w:rsidRPr="000127EF" w:rsidRDefault="00556D5C" w:rsidP="00556D5C">
            <w:r w:rsidRPr="000127EF">
              <w:t>Resources</w:t>
            </w:r>
          </w:p>
        </w:tc>
        <w:tc>
          <w:tcPr>
            <w:tcW w:w="850" w:type="dxa"/>
          </w:tcPr>
          <w:p w14:paraId="21014E75" w14:textId="77777777" w:rsidR="00556D5C" w:rsidRPr="007E2D8B" w:rsidRDefault="00556D5C" w:rsidP="00556D5C"/>
        </w:tc>
        <w:tc>
          <w:tcPr>
            <w:tcW w:w="1618" w:type="dxa"/>
            <w:vAlign w:val="bottom"/>
          </w:tcPr>
          <w:p w14:paraId="4A2BB14D" w14:textId="3515D5AE" w:rsidR="00556D5C" w:rsidRPr="007E2D8B" w:rsidRDefault="00C22BB5" w:rsidP="00556D5C">
            <w:pPr>
              <w:tabs>
                <w:tab w:val="left" w:pos="1452"/>
              </w:tabs>
              <w:ind w:right="92"/>
              <w:jc w:val="right"/>
            </w:pPr>
            <w:r>
              <w:t>11,682</w:t>
            </w:r>
          </w:p>
        </w:tc>
        <w:tc>
          <w:tcPr>
            <w:tcW w:w="1217" w:type="dxa"/>
            <w:vAlign w:val="bottom"/>
          </w:tcPr>
          <w:p w14:paraId="093DA5CD" w14:textId="1D0BFC91" w:rsidR="00556D5C" w:rsidRPr="007E2D8B" w:rsidRDefault="007E2D8B" w:rsidP="00C22BB5">
            <w:pPr>
              <w:jc w:val="right"/>
            </w:pPr>
            <w:r w:rsidRPr="007E2D8B">
              <w:t>(4,</w:t>
            </w:r>
            <w:r w:rsidR="00C22BB5">
              <w:t>888</w:t>
            </w:r>
            <w:r w:rsidRPr="007E2D8B">
              <w:t>)</w:t>
            </w:r>
          </w:p>
        </w:tc>
        <w:tc>
          <w:tcPr>
            <w:tcW w:w="1701" w:type="dxa"/>
            <w:shd w:val="clear" w:color="auto" w:fill="C5E0B3" w:themeFill="accent6" w:themeFillTint="66"/>
            <w:vAlign w:val="bottom"/>
          </w:tcPr>
          <w:p w14:paraId="1D0E603F" w14:textId="1871B049" w:rsidR="00556D5C" w:rsidRPr="007E2D8B" w:rsidRDefault="007E2D8B" w:rsidP="007E2D8B">
            <w:pPr>
              <w:ind w:right="92"/>
              <w:jc w:val="right"/>
            </w:pPr>
            <w:r w:rsidRPr="007E2D8B">
              <w:t>6,795</w:t>
            </w:r>
          </w:p>
        </w:tc>
      </w:tr>
      <w:tr w:rsidR="00556D5C" w:rsidRPr="000127EF" w14:paraId="34F67F53" w14:textId="77777777" w:rsidTr="00C53116">
        <w:trPr>
          <w:trHeight w:val="238"/>
        </w:trPr>
        <w:tc>
          <w:tcPr>
            <w:tcW w:w="1526" w:type="dxa"/>
            <w:tcBorders>
              <w:bottom w:val="single" w:sz="8" w:space="0" w:color="auto"/>
            </w:tcBorders>
            <w:vAlign w:val="bottom"/>
          </w:tcPr>
          <w:p w14:paraId="4D2221DB" w14:textId="77777777" w:rsidR="00556D5C" w:rsidRPr="000127EF" w:rsidRDefault="00556D5C" w:rsidP="00556D5C">
            <w:pPr>
              <w:tabs>
                <w:tab w:val="left" w:pos="1452"/>
              </w:tabs>
              <w:ind w:right="92"/>
              <w:jc w:val="right"/>
              <w:rPr>
                <w:i/>
              </w:rPr>
            </w:pPr>
          </w:p>
        </w:tc>
        <w:tc>
          <w:tcPr>
            <w:tcW w:w="1428" w:type="dxa"/>
            <w:tcBorders>
              <w:bottom w:val="single" w:sz="8" w:space="0" w:color="auto"/>
            </w:tcBorders>
            <w:vAlign w:val="bottom"/>
          </w:tcPr>
          <w:p w14:paraId="3179AD45" w14:textId="77777777" w:rsidR="00556D5C" w:rsidRPr="000127EF" w:rsidRDefault="00556D5C" w:rsidP="00556D5C">
            <w:pPr>
              <w:jc w:val="right"/>
              <w:rPr>
                <w:i/>
              </w:rPr>
            </w:pPr>
          </w:p>
        </w:tc>
        <w:tc>
          <w:tcPr>
            <w:tcW w:w="1559" w:type="dxa"/>
            <w:tcBorders>
              <w:bottom w:val="single" w:sz="8" w:space="0" w:color="auto"/>
            </w:tcBorders>
            <w:vAlign w:val="bottom"/>
          </w:tcPr>
          <w:p w14:paraId="23F8FA53" w14:textId="77777777" w:rsidR="00556D5C" w:rsidRPr="000127EF" w:rsidRDefault="00556D5C" w:rsidP="00556D5C">
            <w:pPr>
              <w:ind w:right="92"/>
              <w:jc w:val="right"/>
              <w:rPr>
                <w:i/>
              </w:rPr>
            </w:pPr>
          </w:p>
        </w:tc>
        <w:tc>
          <w:tcPr>
            <w:tcW w:w="5245" w:type="dxa"/>
            <w:vMerge w:val="restart"/>
          </w:tcPr>
          <w:p w14:paraId="21A7F5DB" w14:textId="77777777" w:rsidR="00556D5C" w:rsidRPr="000127EF" w:rsidRDefault="00556D5C" w:rsidP="00556D5C"/>
          <w:p w14:paraId="438F92C6" w14:textId="77777777" w:rsidR="00556D5C" w:rsidRPr="000127EF" w:rsidRDefault="00556D5C" w:rsidP="00556D5C">
            <w:r w:rsidRPr="000127EF">
              <w:rPr>
                <w:b/>
              </w:rPr>
              <w:t>Cost of Services</w:t>
            </w:r>
          </w:p>
        </w:tc>
        <w:tc>
          <w:tcPr>
            <w:tcW w:w="850" w:type="dxa"/>
            <w:vMerge w:val="restart"/>
          </w:tcPr>
          <w:p w14:paraId="75FE82F4" w14:textId="77777777" w:rsidR="00556D5C" w:rsidRPr="007E2D8B" w:rsidRDefault="00556D5C" w:rsidP="00556D5C"/>
        </w:tc>
        <w:tc>
          <w:tcPr>
            <w:tcW w:w="1618" w:type="dxa"/>
            <w:tcBorders>
              <w:bottom w:val="single" w:sz="8" w:space="0" w:color="auto"/>
            </w:tcBorders>
            <w:vAlign w:val="bottom"/>
          </w:tcPr>
          <w:p w14:paraId="3FF2C05A" w14:textId="77777777" w:rsidR="00556D5C" w:rsidRPr="007E2D8B" w:rsidRDefault="00556D5C" w:rsidP="00556D5C">
            <w:pPr>
              <w:tabs>
                <w:tab w:val="left" w:pos="1452"/>
              </w:tabs>
              <w:ind w:right="92"/>
              <w:jc w:val="right"/>
            </w:pPr>
          </w:p>
        </w:tc>
        <w:tc>
          <w:tcPr>
            <w:tcW w:w="1217" w:type="dxa"/>
            <w:tcBorders>
              <w:bottom w:val="single" w:sz="8" w:space="0" w:color="auto"/>
            </w:tcBorders>
            <w:vAlign w:val="bottom"/>
          </w:tcPr>
          <w:p w14:paraId="5ECA2452" w14:textId="77777777" w:rsidR="00556D5C" w:rsidRPr="007E2D8B" w:rsidRDefault="00556D5C" w:rsidP="00556D5C">
            <w:pPr>
              <w:jc w:val="right"/>
            </w:pPr>
          </w:p>
        </w:tc>
        <w:tc>
          <w:tcPr>
            <w:tcW w:w="1701" w:type="dxa"/>
            <w:tcBorders>
              <w:bottom w:val="single" w:sz="8" w:space="0" w:color="auto"/>
            </w:tcBorders>
            <w:shd w:val="clear" w:color="auto" w:fill="C5E0B3" w:themeFill="accent6" w:themeFillTint="66"/>
            <w:vAlign w:val="bottom"/>
          </w:tcPr>
          <w:p w14:paraId="0BE03FA6" w14:textId="77777777" w:rsidR="00556D5C" w:rsidRPr="007E2D8B" w:rsidRDefault="00556D5C" w:rsidP="00556D5C">
            <w:pPr>
              <w:ind w:right="92"/>
              <w:jc w:val="right"/>
            </w:pPr>
          </w:p>
        </w:tc>
      </w:tr>
      <w:tr w:rsidR="00556D5C" w:rsidRPr="000127EF" w14:paraId="0FD73E64" w14:textId="77777777" w:rsidTr="00C53116">
        <w:trPr>
          <w:trHeight w:val="238"/>
        </w:trPr>
        <w:tc>
          <w:tcPr>
            <w:tcW w:w="1526" w:type="dxa"/>
            <w:tcBorders>
              <w:top w:val="single" w:sz="8" w:space="0" w:color="auto"/>
            </w:tcBorders>
          </w:tcPr>
          <w:p w14:paraId="6F7F5995" w14:textId="78036D91" w:rsidR="00556D5C" w:rsidRPr="000127EF" w:rsidRDefault="00C15881" w:rsidP="00C15881">
            <w:pPr>
              <w:tabs>
                <w:tab w:val="left" w:pos="1452"/>
              </w:tabs>
              <w:ind w:right="92"/>
              <w:jc w:val="right"/>
              <w:rPr>
                <w:b/>
                <w:i/>
              </w:rPr>
            </w:pPr>
            <w:r>
              <w:rPr>
                <w:b/>
                <w:i/>
              </w:rPr>
              <w:t>61</w:t>
            </w:r>
            <w:r w:rsidR="00B23AA1">
              <w:rPr>
                <w:b/>
                <w:i/>
              </w:rPr>
              <w:t>,3</w:t>
            </w:r>
            <w:r>
              <w:rPr>
                <w:b/>
                <w:i/>
              </w:rPr>
              <w:t>13</w:t>
            </w:r>
          </w:p>
        </w:tc>
        <w:tc>
          <w:tcPr>
            <w:tcW w:w="1428" w:type="dxa"/>
            <w:tcBorders>
              <w:top w:val="single" w:sz="8" w:space="0" w:color="auto"/>
            </w:tcBorders>
          </w:tcPr>
          <w:p w14:paraId="039C9F72" w14:textId="458B3E16" w:rsidR="00556D5C" w:rsidRPr="000127EF" w:rsidRDefault="00556D5C" w:rsidP="00C15881">
            <w:pPr>
              <w:jc w:val="right"/>
              <w:rPr>
                <w:b/>
                <w:i/>
              </w:rPr>
            </w:pPr>
            <w:r w:rsidRPr="000127EF">
              <w:rPr>
                <w:b/>
                <w:i/>
              </w:rPr>
              <w:fldChar w:fldCharType="begin"/>
            </w:r>
            <w:r w:rsidRPr="000127EF">
              <w:rPr>
                <w:b/>
                <w:i/>
              </w:rPr>
              <w:instrText xml:space="preserve"> =SUM(b4:b6) </w:instrText>
            </w:r>
            <w:r w:rsidRPr="000127EF">
              <w:rPr>
                <w:b/>
                <w:i/>
              </w:rPr>
              <w:fldChar w:fldCharType="separate"/>
            </w:r>
            <w:r w:rsidR="00B23AA1">
              <w:rPr>
                <w:b/>
                <w:i/>
                <w:noProof/>
              </w:rPr>
              <w:t>(2</w:t>
            </w:r>
            <w:r w:rsidR="00C15881">
              <w:rPr>
                <w:b/>
                <w:i/>
                <w:noProof/>
              </w:rPr>
              <w:t>4</w:t>
            </w:r>
            <w:r w:rsidR="00B23AA1">
              <w:rPr>
                <w:b/>
                <w:i/>
                <w:noProof/>
              </w:rPr>
              <w:t>,</w:t>
            </w:r>
            <w:r w:rsidR="00C15881">
              <w:rPr>
                <w:b/>
                <w:i/>
                <w:noProof/>
              </w:rPr>
              <w:t>291</w:t>
            </w:r>
            <w:r w:rsidRPr="000127EF">
              <w:rPr>
                <w:b/>
                <w:i/>
                <w:noProof/>
              </w:rPr>
              <w:t>)</w:t>
            </w:r>
            <w:r w:rsidRPr="000127EF">
              <w:rPr>
                <w:b/>
                <w:i/>
              </w:rPr>
              <w:fldChar w:fldCharType="end"/>
            </w:r>
          </w:p>
        </w:tc>
        <w:tc>
          <w:tcPr>
            <w:tcW w:w="1559" w:type="dxa"/>
            <w:tcBorders>
              <w:top w:val="single" w:sz="8" w:space="0" w:color="auto"/>
            </w:tcBorders>
          </w:tcPr>
          <w:p w14:paraId="2A9D84B3" w14:textId="0DB97069" w:rsidR="00556D5C" w:rsidRPr="000127EF" w:rsidRDefault="00B23AA1" w:rsidP="00556D5C">
            <w:pPr>
              <w:ind w:right="92"/>
              <w:jc w:val="right"/>
              <w:rPr>
                <w:b/>
                <w:i/>
              </w:rPr>
            </w:pPr>
            <w:r>
              <w:rPr>
                <w:b/>
                <w:i/>
              </w:rPr>
              <w:t>37,016</w:t>
            </w:r>
          </w:p>
        </w:tc>
        <w:tc>
          <w:tcPr>
            <w:tcW w:w="5245" w:type="dxa"/>
            <w:vMerge/>
          </w:tcPr>
          <w:p w14:paraId="77F887EA" w14:textId="77777777" w:rsidR="00556D5C" w:rsidRPr="000127EF" w:rsidRDefault="00556D5C" w:rsidP="00556D5C">
            <w:pPr>
              <w:rPr>
                <w:b/>
              </w:rPr>
            </w:pPr>
          </w:p>
        </w:tc>
        <w:tc>
          <w:tcPr>
            <w:tcW w:w="850" w:type="dxa"/>
            <w:vMerge/>
          </w:tcPr>
          <w:p w14:paraId="14830164" w14:textId="77777777" w:rsidR="00556D5C" w:rsidRPr="007E2D8B" w:rsidRDefault="00556D5C" w:rsidP="00556D5C">
            <w:pPr>
              <w:rPr>
                <w:b/>
              </w:rPr>
            </w:pPr>
          </w:p>
        </w:tc>
        <w:tc>
          <w:tcPr>
            <w:tcW w:w="1618" w:type="dxa"/>
            <w:tcBorders>
              <w:top w:val="single" w:sz="8" w:space="0" w:color="auto"/>
            </w:tcBorders>
          </w:tcPr>
          <w:p w14:paraId="00D903AB" w14:textId="381768C0" w:rsidR="00556D5C" w:rsidRPr="007E2D8B" w:rsidRDefault="007E2D8B" w:rsidP="007462B5">
            <w:pPr>
              <w:tabs>
                <w:tab w:val="left" w:pos="1452"/>
              </w:tabs>
              <w:ind w:right="92"/>
              <w:jc w:val="right"/>
              <w:rPr>
                <w:b/>
              </w:rPr>
            </w:pPr>
            <w:r w:rsidRPr="007E2D8B">
              <w:rPr>
                <w:b/>
              </w:rPr>
              <w:t>6</w:t>
            </w:r>
            <w:r w:rsidR="00C22BB5">
              <w:rPr>
                <w:b/>
              </w:rPr>
              <w:t>2</w:t>
            </w:r>
            <w:r w:rsidRPr="007E2D8B">
              <w:rPr>
                <w:b/>
              </w:rPr>
              <w:t>,</w:t>
            </w:r>
            <w:r w:rsidR="007462B5">
              <w:rPr>
                <w:b/>
              </w:rPr>
              <w:t>71</w:t>
            </w:r>
            <w:r w:rsidR="00C22BB5">
              <w:rPr>
                <w:b/>
              </w:rPr>
              <w:t>1</w:t>
            </w:r>
          </w:p>
        </w:tc>
        <w:tc>
          <w:tcPr>
            <w:tcW w:w="1217" w:type="dxa"/>
            <w:tcBorders>
              <w:top w:val="single" w:sz="8" w:space="0" w:color="auto"/>
            </w:tcBorders>
          </w:tcPr>
          <w:p w14:paraId="206E5C4A" w14:textId="35C2C960" w:rsidR="00556D5C" w:rsidRPr="007E2D8B" w:rsidRDefault="007E2D8B" w:rsidP="007462B5">
            <w:pPr>
              <w:jc w:val="right"/>
              <w:rPr>
                <w:b/>
              </w:rPr>
            </w:pPr>
            <w:r w:rsidRPr="007E2D8B">
              <w:rPr>
                <w:b/>
              </w:rPr>
              <w:t>(2</w:t>
            </w:r>
            <w:r w:rsidR="007462B5">
              <w:rPr>
                <w:b/>
              </w:rPr>
              <w:t>3</w:t>
            </w:r>
            <w:r w:rsidRPr="007E2D8B">
              <w:rPr>
                <w:b/>
              </w:rPr>
              <w:t>,</w:t>
            </w:r>
            <w:r w:rsidR="007462B5">
              <w:rPr>
                <w:b/>
              </w:rPr>
              <w:t>13</w:t>
            </w:r>
            <w:r w:rsidR="00C22BB5">
              <w:rPr>
                <w:b/>
              </w:rPr>
              <w:t>1</w:t>
            </w:r>
            <w:r w:rsidRPr="007E2D8B">
              <w:rPr>
                <w:b/>
              </w:rPr>
              <w:t>)</w:t>
            </w:r>
          </w:p>
        </w:tc>
        <w:tc>
          <w:tcPr>
            <w:tcW w:w="1701" w:type="dxa"/>
            <w:tcBorders>
              <w:top w:val="single" w:sz="8" w:space="0" w:color="auto"/>
            </w:tcBorders>
            <w:shd w:val="clear" w:color="auto" w:fill="C5E0B3" w:themeFill="accent6" w:themeFillTint="66"/>
          </w:tcPr>
          <w:p w14:paraId="44D739F5" w14:textId="0FCB4C4D" w:rsidR="00556D5C" w:rsidRPr="007E2D8B" w:rsidRDefault="007E2D8B" w:rsidP="00C22BB5">
            <w:pPr>
              <w:ind w:right="92"/>
              <w:jc w:val="right"/>
              <w:rPr>
                <w:b/>
              </w:rPr>
            </w:pPr>
            <w:r w:rsidRPr="007E2D8B">
              <w:rPr>
                <w:b/>
              </w:rPr>
              <w:t>39,5</w:t>
            </w:r>
            <w:r w:rsidR="00C22BB5">
              <w:rPr>
                <w:b/>
              </w:rPr>
              <w:t>80</w:t>
            </w:r>
          </w:p>
        </w:tc>
      </w:tr>
      <w:tr w:rsidR="00556D5C" w:rsidRPr="000127EF" w14:paraId="79DF4304" w14:textId="77777777" w:rsidTr="00C53116">
        <w:trPr>
          <w:trHeight w:val="181"/>
        </w:trPr>
        <w:tc>
          <w:tcPr>
            <w:tcW w:w="1526" w:type="dxa"/>
          </w:tcPr>
          <w:p w14:paraId="4F813DF8" w14:textId="77777777" w:rsidR="00556D5C" w:rsidRPr="000127EF" w:rsidRDefault="00556D5C" w:rsidP="00556D5C">
            <w:pPr>
              <w:rPr>
                <w:i/>
                <w:sz w:val="10"/>
                <w:szCs w:val="10"/>
              </w:rPr>
            </w:pPr>
          </w:p>
        </w:tc>
        <w:tc>
          <w:tcPr>
            <w:tcW w:w="1428" w:type="dxa"/>
          </w:tcPr>
          <w:p w14:paraId="2C33436A" w14:textId="77777777" w:rsidR="00556D5C" w:rsidRPr="000127EF" w:rsidRDefault="00556D5C" w:rsidP="00556D5C">
            <w:pPr>
              <w:rPr>
                <w:i/>
                <w:sz w:val="10"/>
                <w:szCs w:val="10"/>
              </w:rPr>
            </w:pPr>
          </w:p>
        </w:tc>
        <w:tc>
          <w:tcPr>
            <w:tcW w:w="1559" w:type="dxa"/>
          </w:tcPr>
          <w:p w14:paraId="45ADF7B3" w14:textId="77777777" w:rsidR="00556D5C" w:rsidRPr="000127EF" w:rsidRDefault="00556D5C" w:rsidP="00556D5C">
            <w:pPr>
              <w:rPr>
                <w:i/>
                <w:sz w:val="10"/>
                <w:szCs w:val="10"/>
              </w:rPr>
            </w:pPr>
          </w:p>
        </w:tc>
        <w:tc>
          <w:tcPr>
            <w:tcW w:w="5245" w:type="dxa"/>
          </w:tcPr>
          <w:p w14:paraId="3E045EBA" w14:textId="77777777" w:rsidR="00556D5C" w:rsidRPr="000127EF" w:rsidRDefault="00556D5C" w:rsidP="00556D5C">
            <w:pPr>
              <w:rPr>
                <w:sz w:val="10"/>
                <w:szCs w:val="10"/>
              </w:rPr>
            </w:pPr>
          </w:p>
        </w:tc>
        <w:tc>
          <w:tcPr>
            <w:tcW w:w="850" w:type="dxa"/>
          </w:tcPr>
          <w:p w14:paraId="48B2D119" w14:textId="77777777" w:rsidR="00556D5C" w:rsidRPr="007E2D8B" w:rsidRDefault="00556D5C" w:rsidP="00556D5C">
            <w:pPr>
              <w:rPr>
                <w:sz w:val="10"/>
                <w:szCs w:val="10"/>
              </w:rPr>
            </w:pPr>
          </w:p>
        </w:tc>
        <w:tc>
          <w:tcPr>
            <w:tcW w:w="1618" w:type="dxa"/>
          </w:tcPr>
          <w:p w14:paraId="0F0C8985" w14:textId="77777777" w:rsidR="00556D5C" w:rsidRPr="007E2D8B" w:rsidRDefault="00556D5C" w:rsidP="00556D5C">
            <w:pPr>
              <w:rPr>
                <w:sz w:val="10"/>
                <w:szCs w:val="10"/>
              </w:rPr>
            </w:pPr>
          </w:p>
        </w:tc>
        <w:tc>
          <w:tcPr>
            <w:tcW w:w="1217" w:type="dxa"/>
          </w:tcPr>
          <w:p w14:paraId="6F047A32" w14:textId="77777777" w:rsidR="00556D5C" w:rsidRPr="007E2D8B" w:rsidRDefault="00556D5C" w:rsidP="00556D5C">
            <w:pPr>
              <w:rPr>
                <w:sz w:val="10"/>
                <w:szCs w:val="10"/>
              </w:rPr>
            </w:pPr>
          </w:p>
        </w:tc>
        <w:tc>
          <w:tcPr>
            <w:tcW w:w="1701" w:type="dxa"/>
            <w:shd w:val="clear" w:color="auto" w:fill="C5E0B3" w:themeFill="accent6" w:themeFillTint="66"/>
          </w:tcPr>
          <w:p w14:paraId="19D0C9ED" w14:textId="77777777" w:rsidR="00556D5C" w:rsidRPr="007E2D8B" w:rsidRDefault="00556D5C" w:rsidP="00556D5C">
            <w:pPr>
              <w:rPr>
                <w:sz w:val="10"/>
                <w:szCs w:val="10"/>
              </w:rPr>
            </w:pPr>
          </w:p>
        </w:tc>
      </w:tr>
      <w:tr w:rsidR="00556D5C" w:rsidRPr="000127EF" w14:paraId="0A90D10C" w14:textId="77777777" w:rsidTr="00C53116">
        <w:tc>
          <w:tcPr>
            <w:tcW w:w="1526" w:type="dxa"/>
            <w:vAlign w:val="center"/>
          </w:tcPr>
          <w:p w14:paraId="051AD9F5" w14:textId="7B26AFC4" w:rsidR="00556D5C" w:rsidRPr="000127EF" w:rsidRDefault="00B23AA1" w:rsidP="00556D5C">
            <w:pPr>
              <w:ind w:right="92"/>
              <w:jc w:val="right"/>
              <w:rPr>
                <w:i/>
              </w:rPr>
            </w:pPr>
            <w:r>
              <w:t>5,961</w:t>
            </w:r>
          </w:p>
        </w:tc>
        <w:tc>
          <w:tcPr>
            <w:tcW w:w="1428" w:type="dxa"/>
            <w:vAlign w:val="center"/>
          </w:tcPr>
          <w:p w14:paraId="722835E3" w14:textId="1FA51D0C" w:rsidR="00556D5C" w:rsidRPr="000127EF" w:rsidRDefault="00B23AA1" w:rsidP="00556D5C">
            <w:pPr>
              <w:jc w:val="right"/>
              <w:rPr>
                <w:i/>
              </w:rPr>
            </w:pPr>
            <w:r>
              <w:t>(119</w:t>
            </w:r>
            <w:r w:rsidR="00556D5C" w:rsidRPr="000127EF">
              <w:t>)</w:t>
            </w:r>
          </w:p>
        </w:tc>
        <w:tc>
          <w:tcPr>
            <w:tcW w:w="1559" w:type="dxa"/>
            <w:vAlign w:val="center"/>
          </w:tcPr>
          <w:p w14:paraId="0BA833EA" w14:textId="410AE573" w:rsidR="00556D5C" w:rsidRPr="000127EF" w:rsidRDefault="00B23AA1" w:rsidP="00556D5C">
            <w:pPr>
              <w:ind w:right="92"/>
              <w:jc w:val="right"/>
              <w:rPr>
                <w:i/>
              </w:rPr>
            </w:pPr>
            <w:r>
              <w:rPr>
                <w:i/>
              </w:rPr>
              <w:t>5,842</w:t>
            </w:r>
          </w:p>
        </w:tc>
        <w:tc>
          <w:tcPr>
            <w:tcW w:w="5245" w:type="dxa"/>
          </w:tcPr>
          <w:p w14:paraId="4EDC4198" w14:textId="77777777" w:rsidR="00556D5C" w:rsidRPr="000127EF" w:rsidRDefault="00556D5C" w:rsidP="00556D5C">
            <w:r w:rsidRPr="000127EF">
              <w:t>Other Operating Expenditure</w:t>
            </w:r>
          </w:p>
        </w:tc>
        <w:tc>
          <w:tcPr>
            <w:tcW w:w="850" w:type="dxa"/>
          </w:tcPr>
          <w:p w14:paraId="72CD36C9" w14:textId="77777777" w:rsidR="00556D5C" w:rsidRPr="007E2D8B" w:rsidRDefault="00556D5C" w:rsidP="00556D5C">
            <w:pPr>
              <w:jc w:val="right"/>
            </w:pPr>
            <w:r w:rsidRPr="007E2D8B">
              <w:t>9</w:t>
            </w:r>
          </w:p>
        </w:tc>
        <w:tc>
          <w:tcPr>
            <w:tcW w:w="1618" w:type="dxa"/>
            <w:vAlign w:val="center"/>
          </w:tcPr>
          <w:p w14:paraId="45BBC3AA" w14:textId="6C9355FF" w:rsidR="00556D5C" w:rsidRPr="007E2D8B" w:rsidRDefault="007E2D8B" w:rsidP="00C22BB5">
            <w:pPr>
              <w:ind w:right="92"/>
              <w:jc w:val="right"/>
            </w:pPr>
            <w:r w:rsidRPr="007E2D8B">
              <w:t>1,2</w:t>
            </w:r>
            <w:r w:rsidR="00C22BB5">
              <w:t>43</w:t>
            </w:r>
          </w:p>
        </w:tc>
        <w:tc>
          <w:tcPr>
            <w:tcW w:w="1217" w:type="dxa"/>
            <w:vAlign w:val="center"/>
          </w:tcPr>
          <w:p w14:paraId="4F4E3A55" w14:textId="7858ECA5" w:rsidR="00556D5C" w:rsidRPr="007E2D8B" w:rsidRDefault="007E2D8B" w:rsidP="00556D5C">
            <w:pPr>
              <w:jc w:val="right"/>
            </w:pPr>
            <w:r w:rsidRPr="007E2D8B">
              <w:t>(147)</w:t>
            </w:r>
          </w:p>
        </w:tc>
        <w:tc>
          <w:tcPr>
            <w:tcW w:w="1701" w:type="dxa"/>
            <w:shd w:val="clear" w:color="auto" w:fill="C5E0B3" w:themeFill="accent6" w:themeFillTint="66"/>
            <w:vAlign w:val="center"/>
          </w:tcPr>
          <w:p w14:paraId="0720A619" w14:textId="028FF006" w:rsidR="00556D5C" w:rsidRPr="007E2D8B" w:rsidRDefault="007E2D8B" w:rsidP="00C22BB5">
            <w:pPr>
              <w:ind w:right="92"/>
              <w:jc w:val="right"/>
            </w:pPr>
            <w:r w:rsidRPr="007E2D8B">
              <w:t>1,0</w:t>
            </w:r>
            <w:r w:rsidR="00C22BB5">
              <w:t>96</w:t>
            </w:r>
          </w:p>
        </w:tc>
      </w:tr>
      <w:tr w:rsidR="00556D5C" w:rsidRPr="000127EF" w14:paraId="20CB0B73" w14:textId="77777777" w:rsidTr="00C53116">
        <w:tc>
          <w:tcPr>
            <w:tcW w:w="1526" w:type="dxa"/>
            <w:vAlign w:val="center"/>
          </w:tcPr>
          <w:p w14:paraId="70B0632B" w14:textId="1C2764B6" w:rsidR="00556D5C" w:rsidRPr="000127EF" w:rsidRDefault="00B23AA1" w:rsidP="00381C96">
            <w:pPr>
              <w:ind w:right="92"/>
              <w:jc w:val="right"/>
              <w:rPr>
                <w:i/>
              </w:rPr>
            </w:pPr>
            <w:r>
              <w:t>2,</w:t>
            </w:r>
            <w:r w:rsidR="00381C96">
              <w:t>790</w:t>
            </w:r>
          </w:p>
        </w:tc>
        <w:tc>
          <w:tcPr>
            <w:tcW w:w="1428" w:type="dxa"/>
            <w:vAlign w:val="center"/>
          </w:tcPr>
          <w:p w14:paraId="39D95019" w14:textId="7926C219" w:rsidR="00556D5C" w:rsidRPr="000127EF" w:rsidRDefault="00B23AA1" w:rsidP="00556D5C">
            <w:pPr>
              <w:jc w:val="right"/>
              <w:rPr>
                <w:i/>
              </w:rPr>
            </w:pPr>
            <w:r>
              <w:t>(312</w:t>
            </w:r>
            <w:r w:rsidR="00556D5C" w:rsidRPr="000127EF">
              <w:t>)</w:t>
            </w:r>
          </w:p>
        </w:tc>
        <w:tc>
          <w:tcPr>
            <w:tcW w:w="1559" w:type="dxa"/>
            <w:vAlign w:val="center"/>
          </w:tcPr>
          <w:p w14:paraId="60E2A313" w14:textId="343B0810" w:rsidR="00556D5C" w:rsidRPr="000127EF" w:rsidRDefault="00381C96" w:rsidP="00556D5C">
            <w:pPr>
              <w:ind w:right="92"/>
              <w:jc w:val="right"/>
              <w:rPr>
                <w:i/>
              </w:rPr>
            </w:pPr>
            <w:r>
              <w:rPr>
                <w:i/>
              </w:rPr>
              <w:t>2,478</w:t>
            </w:r>
          </w:p>
        </w:tc>
        <w:tc>
          <w:tcPr>
            <w:tcW w:w="5245" w:type="dxa"/>
          </w:tcPr>
          <w:p w14:paraId="7197017E" w14:textId="77777777" w:rsidR="00556D5C" w:rsidRPr="000127EF" w:rsidRDefault="00556D5C" w:rsidP="00556D5C">
            <w:r w:rsidRPr="000127EF">
              <w:t>Financing &amp; Investment Income &amp; Expenditure</w:t>
            </w:r>
          </w:p>
        </w:tc>
        <w:tc>
          <w:tcPr>
            <w:tcW w:w="850" w:type="dxa"/>
          </w:tcPr>
          <w:p w14:paraId="492126B3" w14:textId="77777777" w:rsidR="00556D5C" w:rsidRPr="007E2D8B" w:rsidRDefault="00556D5C" w:rsidP="00556D5C">
            <w:pPr>
              <w:jc w:val="right"/>
            </w:pPr>
            <w:r w:rsidRPr="007E2D8B">
              <w:t>10</w:t>
            </w:r>
          </w:p>
        </w:tc>
        <w:tc>
          <w:tcPr>
            <w:tcW w:w="1618" w:type="dxa"/>
            <w:vAlign w:val="center"/>
          </w:tcPr>
          <w:p w14:paraId="17D67879" w14:textId="03108789" w:rsidR="00556D5C" w:rsidRPr="007E2D8B" w:rsidRDefault="007E2D8B" w:rsidP="00801E92">
            <w:pPr>
              <w:ind w:right="92"/>
              <w:jc w:val="right"/>
            </w:pPr>
            <w:r w:rsidRPr="007E2D8B">
              <w:t>2,222</w:t>
            </w:r>
          </w:p>
        </w:tc>
        <w:tc>
          <w:tcPr>
            <w:tcW w:w="1217" w:type="dxa"/>
            <w:vAlign w:val="center"/>
          </w:tcPr>
          <w:p w14:paraId="19D86C76" w14:textId="067B61C4" w:rsidR="00556D5C" w:rsidRPr="007E2D8B" w:rsidRDefault="007E2D8B" w:rsidP="00801E92">
            <w:pPr>
              <w:jc w:val="right"/>
            </w:pPr>
            <w:r w:rsidRPr="007E2D8B">
              <w:t>(397)</w:t>
            </w:r>
          </w:p>
        </w:tc>
        <w:tc>
          <w:tcPr>
            <w:tcW w:w="1701" w:type="dxa"/>
            <w:shd w:val="clear" w:color="auto" w:fill="C5E0B3" w:themeFill="accent6" w:themeFillTint="66"/>
            <w:vAlign w:val="center"/>
          </w:tcPr>
          <w:p w14:paraId="1EC5AEAE" w14:textId="5F3021BD" w:rsidR="00556D5C" w:rsidRPr="007E2D8B" w:rsidRDefault="007E2D8B" w:rsidP="00801E92">
            <w:pPr>
              <w:ind w:right="92"/>
              <w:jc w:val="right"/>
            </w:pPr>
            <w:r w:rsidRPr="007E2D8B">
              <w:t>1,825</w:t>
            </w:r>
          </w:p>
        </w:tc>
      </w:tr>
      <w:tr w:rsidR="00556D5C" w:rsidRPr="000127EF" w14:paraId="3B856433" w14:textId="77777777" w:rsidTr="00C53116">
        <w:tc>
          <w:tcPr>
            <w:tcW w:w="1526" w:type="dxa"/>
            <w:tcBorders>
              <w:bottom w:val="single" w:sz="8" w:space="0" w:color="auto"/>
            </w:tcBorders>
            <w:vAlign w:val="center"/>
          </w:tcPr>
          <w:p w14:paraId="28830422" w14:textId="1EA3D55C" w:rsidR="00556D5C" w:rsidRPr="000127EF" w:rsidRDefault="00B23AA1" w:rsidP="00556D5C">
            <w:pPr>
              <w:ind w:right="92"/>
              <w:jc w:val="right"/>
              <w:rPr>
                <w:i/>
              </w:rPr>
            </w:pPr>
            <w:r>
              <w:t>169</w:t>
            </w:r>
          </w:p>
        </w:tc>
        <w:tc>
          <w:tcPr>
            <w:tcW w:w="1428" w:type="dxa"/>
            <w:tcBorders>
              <w:bottom w:val="single" w:sz="8" w:space="0" w:color="auto"/>
            </w:tcBorders>
            <w:vAlign w:val="center"/>
          </w:tcPr>
          <w:p w14:paraId="45425F86" w14:textId="68A52674" w:rsidR="00556D5C" w:rsidRPr="000127EF" w:rsidRDefault="00B23AA1" w:rsidP="00556D5C">
            <w:pPr>
              <w:jc w:val="right"/>
              <w:rPr>
                <w:i/>
              </w:rPr>
            </w:pPr>
            <w:r>
              <w:t>(41,633</w:t>
            </w:r>
            <w:r w:rsidR="00556D5C" w:rsidRPr="000127EF">
              <w:t>)</w:t>
            </w:r>
          </w:p>
        </w:tc>
        <w:tc>
          <w:tcPr>
            <w:tcW w:w="1559" w:type="dxa"/>
            <w:tcBorders>
              <w:bottom w:val="single" w:sz="8" w:space="0" w:color="auto"/>
            </w:tcBorders>
            <w:vAlign w:val="center"/>
          </w:tcPr>
          <w:p w14:paraId="1E5762FC" w14:textId="17BA2E74" w:rsidR="00556D5C" w:rsidRPr="000127EF" w:rsidRDefault="00556D5C" w:rsidP="00556D5C">
            <w:pPr>
              <w:ind w:right="92"/>
              <w:jc w:val="right"/>
              <w:rPr>
                <w:i/>
              </w:rPr>
            </w:pPr>
            <w:r w:rsidRPr="000127EF">
              <w:rPr>
                <w:i/>
              </w:rPr>
              <w:fldChar w:fldCharType="begin"/>
            </w:r>
            <w:r w:rsidRPr="000127EF">
              <w:rPr>
                <w:i/>
              </w:rPr>
              <w:instrText xml:space="preserve"> =SUM(left) </w:instrText>
            </w:r>
            <w:r w:rsidRPr="000127EF">
              <w:rPr>
                <w:i/>
              </w:rPr>
              <w:fldChar w:fldCharType="separate"/>
            </w:r>
            <w:r w:rsidR="00B23AA1">
              <w:rPr>
                <w:i/>
                <w:noProof/>
              </w:rPr>
              <w:t>(41,464</w:t>
            </w:r>
            <w:r w:rsidRPr="000127EF">
              <w:rPr>
                <w:i/>
                <w:noProof/>
              </w:rPr>
              <w:t>)</w:t>
            </w:r>
            <w:r w:rsidRPr="000127EF">
              <w:rPr>
                <w:i/>
              </w:rPr>
              <w:fldChar w:fldCharType="end"/>
            </w:r>
          </w:p>
        </w:tc>
        <w:tc>
          <w:tcPr>
            <w:tcW w:w="5245" w:type="dxa"/>
          </w:tcPr>
          <w:p w14:paraId="197D2615" w14:textId="77777777" w:rsidR="00556D5C" w:rsidRPr="000127EF" w:rsidRDefault="00556D5C" w:rsidP="00556D5C">
            <w:r w:rsidRPr="000127EF">
              <w:t>Taxation &amp; Non-Specific Grant Income</w:t>
            </w:r>
          </w:p>
        </w:tc>
        <w:tc>
          <w:tcPr>
            <w:tcW w:w="850" w:type="dxa"/>
            <w:vMerge w:val="restart"/>
          </w:tcPr>
          <w:p w14:paraId="712AA082" w14:textId="77777777" w:rsidR="00556D5C" w:rsidRPr="007E2D8B" w:rsidRDefault="00556D5C" w:rsidP="00556D5C">
            <w:pPr>
              <w:jc w:val="right"/>
            </w:pPr>
            <w:r w:rsidRPr="007E2D8B">
              <w:t>11</w:t>
            </w:r>
          </w:p>
        </w:tc>
        <w:tc>
          <w:tcPr>
            <w:tcW w:w="1618" w:type="dxa"/>
            <w:tcBorders>
              <w:bottom w:val="single" w:sz="8" w:space="0" w:color="auto"/>
            </w:tcBorders>
            <w:vAlign w:val="center"/>
          </w:tcPr>
          <w:p w14:paraId="0B5C93DD" w14:textId="2C2C36F6" w:rsidR="00556D5C" w:rsidRPr="007E2D8B" w:rsidRDefault="007E2D8B" w:rsidP="00556D5C">
            <w:pPr>
              <w:ind w:right="92"/>
              <w:jc w:val="right"/>
            </w:pPr>
            <w:r w:rsidRPr="007E2D8B">
              <w:t>239</w:t>
            </w:r>
          </w:p>
        </w:tc>
        <w:tc>
          <w:tcPr>
            <w:tcW w:w="1217" w:type="dxa"/>
            <w:tcBorders>
              <w:bottom w:val="single" w:sz="8" w:space="0" w:color="auto"/>
            </w:tcBorders>
            <w:vAlign w:val="center"/>
          </w:tcPr>
          <w:p w14:paraId="79A149D7" w14:textId="46625E5D" w:rsidR="00556D5C" w:rsidRPr="007E2D8B" w:rsidRDefault="007E2D8B" w:rsidP="00801E92">
            <w:pPr>
              <w:jc w:val="right"/>
            </w:pPr>
            <w:r w:rsidRPr="007E2D8B">
              <w:t>(42,883)</w:t>
            </w:r>
          </w:p>
        </w:tc>
        <w:tc>
          <w:tcPr>
            <w:tcW w:w="1701" w:type="dxa"/>
            <w:tcBorders>
              <w:bottom w:val="single" w:sz="8" w:space="0" w:color="auto"/>
            </w:tcBorders>
            <w:shd w:val="clear" w:color="auto" w:fill="C5E0B3" w:themeFill="accent6" w:themeFillTint="66"/>
            <w:vAlign w:val="center"/>
          </w:tcPr>
          <w:p w14:paraId="3B9AC507" w14:textId="548B4213" w:rsidR="00556D5C" w:rsidRPr="007E2D8B" w:rsidRDefault="007E2D8B" w:rsidP="00801E92">
            <w:pPr>
              <w:ind w:right="92"/>
              <w:jc w:val="right"/>
            </w:pPr>
            <w:r w:rsidRPr="007E2D8B">
              <w:t>(42,644)</w:t>
            </w:r>
          </w:p>
        </w:tc>
      </w:tr>
      <w:tr w:rsidR="00556D5C" w:rsidRPr="000127EF" w14:paraId="24B90D10" w14:textId="77777777" w:rsidTr="00C53116">
        <w:tc>
          <w:tcPr>
            <w:tcW w:w="1526" w:type="dxa"/>
            <w:tcBorders>
              <w:top w:val="single" w:sz="8" w:space="0" w:color="auto"/>
            </w:tcBorders>
          </w:tcPr>
          <w:p w14:paraId="0761DD62" w14:textId="291FDD08" w:rsidR="00556D5C" w:rsidRPr="000127EF" w:rsidRDefault="00B23AA1" w:rsidP="00C15881">
            <w:pPr>
              <w:ind w:right="92"/>
              <w:jc w:val="right"/>
              <w:rPr>
                <w:b/>
                <w:i/>
              </w:rPr>
            </w:pPr>
            <w:r>
              <w:rPr>
                <w:b/>
                <w:i/>
              </w:rPr>
              <w:t>7</w:t>
            </w:r>
            <w:r w:rsidR="00C15881">
              <w:rPr>
                <w:b/>
                <w:i/>
              </w:rPr>
              <w:t>0</w:t>
            </w:r>
            <w:r>
              <w:rPr>
                <w:b/>
                <w:i/>
              </w:rPr>
              <w:t>,</w:t>
            </w:r>
            <w:r w:rsidR="00C15881">
              <w:rPr>
                <w:b/>
                <w:i/>
              </w:rPr>
              <w:t>233</w:t>
            </w:r>
          </w:p>
        </w:tc>
        <w:tc>
          <w:tcPr>
            <w:tcW w:w="1428" w:type="dxa"/>
            <w:tcBorders>
              <w:top w:val="single" w:sz="8" w:space="0" w:color="auto"/>
            </w:tcBorders>
          </w:tcPr>
          <w:p w14:paraId="5076BECF" w14:textId="15B5CE9F" w:rsidR="00556D5C" w:rsidRPr="000127EF" w:rsidRDefault="00556D5C" w:rsidP="00C15881">
            <w:pPr>
              <w:jc w:val="right"/>
              <w:rPr>
                <w:b/>
                <w:i/>
              </w:rPr>
            </w:pPr>
            <w:r w:rsidRPr="000127EF">
              <w:rPr>
                <w:b/>
                <w:i/>
              </w:rPr>
              <w:fldChar w:fldCharType="begin"/>
            </w:r>
            <w:r w:rsidRPr="000127EF">
              <w:rPr>
                <w:b/>
                <w:i/>
              </w:rPr>
              <w:instrText xml:space="preserve"> =SUM(b8:b12) </w:instrText>
            </w:r>
            <w:r w:rsidRPr="000127EF">
              <w:rPr>
                <w:b/>
                <w:i/>
              </w:rPr>
              <w:fldChar w:fldCharType="separate"/>
            </w:r>
            <w:r w:rsidR="00B23AA1">
              <w:rPr>
                <w:b/>
                <w:i/>
                <w:noProof/>
              </w:rPr>
              <w:t>(6</w:t>
            </w:r>
            <w:r w:rsidR="00C15881">
              <w:rPr>
                <w:b/>
                <w:i/>
                <w:noProof/>
              </w:rPr>
              <w:t>6</w:t>
            </w:r>
            <w:r w:rsidR="00B23AA1">
              <w:rPr>
                <w:b/>
                <w:i/>
                <w:noProof/>
              </w:rPr>
              <w:t>,</w:t>
            </w:r>
            <w:r w:rsidR="00C15881">
              <w:rPr>
                <w:b/>
                <w:i/>
                <w:noProof/>
              </w:rPr>
              <w:t>361</w:t>
            </w:r>
            <w:r w:rsidRPr="000127EF">
              <w:rPr>
                <w:b/>
                <w:i/>
                <w:noProof/>
              </w:rPr>
              <w:t>)</w:t>
            </w:r>
            <w:r w:rsidRPr="000127EF">
              <w:rPr>
                <w:b/>
                <w:i/>
              </w:rPr>
              <w:fldChar w:fldCharType="end"/>
            </w:r>
          </w:p>
        </w:tc>
        <w:tc>
          <w:tcPr>
            <w:tcW w:w="1559" w:type="dxa"/>
            <w:tcBorders>
              <w:top w:val="single" w:sz="8" w:space="0" w:color="auto"/>
            </w:tcBorders>
          </w:tcPr>
          <w:p w14:paraId="7682EC9A" w14:textId="3450F66F" w:rsidR="00556D5C" w:rsidRPr="000127EF" w:rsidRDefault="00B23AA1" w:rsidP="00381C96">
            <w:pPr>
              <w:ind w:right="92"/>
              <w:jc w:val="right"/>
              <w:rPr>
                <w:b/>
                <w:i/>
              </w:rPr>
            </w:pPr>
            <w:r>
              <w:rPr>
                <w:b/>
                <w:i/>
              </w:rPr>
              <w:t>3,</w:t>
            </w:r>
            <w:r w:rsidR="00381C96">
              <w:rPr>
                <w:b/>
                <w:i/>
              </w:rPr>
              <w:t>872</w:t>
            </w:r>
          </w:p>
        </w:tc>
        <w:tc>
          <w:tcPr>
            <w:tcW w:w="5245" w:type="dxa"/>
          </w:tcPr>
          <w:p w14:paraId="17BBD53F" w14:textId="77777777" w:rsidR="00556D5C" w:rsidRPr="000127EF" w:rsidRDefault="00556D5C" w:rsidP="00556D5C">
            <w:pPr>
              <w:rPr>
                <w:b/>
              </w:rPr>
            </w:pPr>
            <w:r w:rsidRPr="000127EF">
              <w:rPr>
                <w:b/>
              </w:rPr>
              <w:t>(Surplus) / Deficit on Provision of Services</w:t>
            </w:r>
          </w:p>
        </w:tc>
        <w:tc>
          <w:tcPr>
            <w:tcW w:w="850" w:type="dxa"/>
            <w:vMerge/>
          </w:tcPr>
          <w:p w14:paraId="1BF08AC3" w14:textId="77777777" w:rsidR="00556D5C" w:rsidRPr="007E2D8B" w:rsidRDefault="00556D5C" w:rsidP="00556D5C">
            <w:pPr>
              <w:rPr>
                <w:b/>
              </w:rPr>
            </w:pPr>
          </w:p>
        </w:tc>
        <w:tc>
          <w:tcPr>
            <w:tcW w:w="1618" w:type="dxa"/>
          </w:tcPr>
          <w:p w14:paraId="76080924" w14:textId="0E671BAA" w:rsidR="00556D5C" w:rsidRPr="007E2D8B" w:rsidRDefault="007E2D8B" w:rsidP="007462B5">
            <w:pPr>
              <w:ind w:right="92"/>
              <w:jc w:val="right"/>
              <w:rPr>
                <w:b/>
              </w:rPr>
            </w:pPr>
            <w:r w:rsidRPr="007E2D8B">
              <w:rPr>
                <w:b/>
              </w:rPr>
              <w:t>6</w:t>
            </w:r>
            <w:r w:rsidR="00C22BB5">
              <w:rPr>
                <w:b/>
              </w:rPr>
              <w:t>6</w:t>
            </w:r>
            <w:r w:rsidRPr="007E2D8B">
              <w:rPr>
                <w:b/>
              </w:rPr>
              <w:t>,</w:t>
            </w:r>
            <w:r w:rsidR="007462B5">
              <w:rPr>
                <w:b/>
              </w:rPr>
              <w:t>41</w:t>
            </w:r>
            <w:r w:rsidR="00C22BB5">
              <w:rPr>
                <w:b/>
              </w:rPr>
              <w:t>5</w:t>
            </w:r>
          </w:p>
        </w:tc>
        <w:tc>
          <w:tcPr>
            <w:tcW w:w="1217" w:type="dxa"/>
          </w:tcPr>
          <w:p w14:paraId="2D53B406" w14:textId="7544238E" w:rsidR="00556D5C" w:rsidRPr="007E2D8B" w:rsidRDefault="007E2D8B" w:rsidP="007462B5">
            <w:pPr>
              <w:jc w:val="right"/>
              <w:rPr>
                <w:b/>
              </w:rPr>
            </w:pPr>
            <w:r w:rsidRPr="007E2D8B">
              <w:rPr>
                <w:b/>
              </w:rPr>
              <w:t>(6</w:t>
            </w:r>
            <w:r w:rsidR="00C22BB5">
              <w:rPr>
                <w:b/>
              </w:rPr>
              <w:t>6</w:t>
            </w:r>
            <w:r w:rsidRPr="007E2D8B">
              <w:rPr>
                <w:b/>
              </w:rPr>
              <w:t>,</w:t>
            </w:r>
            <w:r w:rsidR="007462B5">
              <w:rPr>
                <w:b/>
              </w:rPr>
              <w:t>558</w:t>
            </w:r>
            <w:r w:rsidRPr="007E2D8B">
              <w:rPr>
                <w:b/>
              </w:rPr>
              <w:t>)</w:t>
            </w:r>
          </w:p>
        </w:tc>
        <w:tc>
          <w:tcPr>
            <w:tcW w:w="1701" w:type="dxa"/>
            <w:shd w:val="clear" w:color="auto" w:fill="C5E0B3" w:themeFill="accent6" w:themeFillTint="66"/>
          </w:tcPr>
          <w:p w14:paraId="7F2E0D16" w14:textId="7D72BAC0" w:rsidR="00556D5C" w:rsidRPr="007E2D8B" w:rsidRDefault="007E2D8B" w:rsidP="00801E92">
            <w:pPr>
              <w:ind w:right="92"/>
              <w:jc w:val="right"/>
              <w:rPr>
                <w:b/>
              </w:rPr>
            </w:pPr>
            <w:r w:rsidRPr="007E2D8B">
              <w:rPr>
                <w:b/>
              </w:rPr>
              <w:t>(143)</w:t>
            </w:r>
          </w:p>
        </w:tc>
      </w:tr>
      <w:tr w:rsidR="00556D5C" w:rsidRPr="000127EF" w14:paraId="6D586C01" w14:textId="77777777" w:rsidTr="00C53116">
        <w:tc>
          <w:tcPr>
            <w:tcW w:w="1526" w:type="dxa"/>
          </w:tcPr>
          <w:p w14:paraId="6A36F341" w14:textId="77777777" w:rsidR="00556D5C" w:rsidRPr="000127EF" w:rsidRDefault="00556D5C" w:rsidP="00556D5C">
            <w:pPr>
              <w:ind w:right="176"/>
              <w:jc w:val="right"/>
              <w:rPr>
                <w:i/>
                <w:sz w:val="10"/>
                <w:szCs w:val="10"/>
              </w:rPr>
            </w:pPr>
          </w:p>
        </w:tc>
        <w:tc>
          <w:tcPr>
            <w:tcW w:w="1428" w:type="dxa"/>
          </w:tcPr>
          <w:p w14:paraId="591EF9A6" w14:textId="77777777" w:rsidR="00556D5C" w:rsidRPr="000127EF" w:rsidRDefault="00556D5C" w:rsidP="00556D5C">
            <w:pPr>
              <w:ind w:right="176"/>
              <w:jc w:val="right"/>
              <w:rPr>
                <w:i/>
                <w:sz w:val="10"/>
                <w:szCs w:val="10"/>
              </w:rPr>
            </w:pPr>
          </w:p>
        </w:tc>
        <w:tc>
          <w:tcPr>
            <w:tcW w:w="1559" w:type="dxa"/>
          </w:tcPr>
          <w:p w14:paraId="145C4ADF" w14:textId="77777777" w:rsidR="00556D5C" w:rsidRPr="000127EF" w:rsidRDefault="00556D5C" w:rsidP="00556D5C">
            <w:pPr>
              <w:rPr>
                <w:i/>
                <w:sz w:val="10"/>
                <w:szCs w:val="10"/>
              </w:rPr>
            </w:pPr>
          </w:p>
        </w:tc>
        <w:tc>
          <w:tcPr>
            <w:tcW w:w="5245" w:type="dxa"/>
          </w:tcPr>
          <w:p w14:paraId="33B10044" w14:textId="77777777" w:rsidR="00556D5C" w:rsidRPr="000127EF" w:rsidRDefault="00556D5C" w:rsidP="00556D5C">
            <w:pPr>
              <w:rPr>
                <w:sz w:val="10"/>
                <w:szCs w:val="10"/>
              </w:rPr>
            </w:pPr>
          </w:p>
        </w:tc>
        <w:tc>
          <w:tcPr>
            <w:tcW w:w="850" w:type="dxa"/>
          </w:tcPr>
          <w:p w14:paraId="2863ED79" w14:textId="77777777" w:rsidR="00556D5C" w:rsidRPr="007E2D8B" w:rsidRDefault="00556D5C" w:rsidP="00556D5C">
            <w:pPr>
              <w:rPr>
                <w:sz w:val="10"/>
                <w:szCs w:val="10"/>
              </w:rPr>
            </w:pPr>
          </w:p>
        </w:tc>
        <w:tc>
          <w:tcPr>
            <w:tcW w:w="1618" w:type="dxa"/>
          </w:tcPr>
          <w:p w14:paraId="1C99FA59" w14:textId="77777777" w:rsidR="00556D5C" w:rsidRPr="007E2D8B" w:rsidRDefault="00556D5C" w:rsidP="00556D5C">
            <w:pPr>
              <w:rPr>
                <w:sz w:val="10"/>
                <w:szCs w:val="10"/>
              </w:rPr>
            </w:pPr>
          </w:p>
        </w:tc>
        <w:tc>
          <w:tcPr>
            <w:tcW w:w="1217" w:type="dxa"/>
          </w:tcPr>
          <w:p w14:paraId="5A25F56F" w14:textId="77777777" w:rsidR="00556D5C" w:rsidRPr="007E2D8B" w:rsidRDefault="00556D5C" w:rsidP="00556D5C">
            <w:pPr>
              <w:rPr>
                <w:sz w:val="10"/>
                <w:szCs w:val="10"/>
              </w:rPr>
            </w:pPr>
          </w:p>
        </w:tc>
        <w:tc>
          <w:tcPr>
            <w:tcW w:w="1701" w:type="dxa"/>
            <w:shd w:val="clear" w:color="auto" w:fill="C5E0B3" w:themeFill="accent6" w:themeFillTint="66"/>
          </w:tcPr>
          <w:p w14:paraId="7D4579A3" w14:textId="77777777" w:rsidR="00556D5C" w:rsidRPr="007E2D8B" w:rsidRDefault="00556D5C" w:rsidP="00556D5C">
            <w:pPr>
              <w:rPr>
                <w:sz w:val="10"/>
                <w:szCs w:val="10"/>
              </w:rPr>
            </w:pPr>
          </w:p>
        </w:tc>
      </w:tr>
      <w:tr w:rsidR="00556D5C" w:rsidRPr="000127EF" w14:paraId="36F95A85" w14:textId="77777777" w:rsidTr="00C53116">
        <w:tc>
          <w:tcPr>
            <w:tcW w:w="1526" w:type="dxa"/>
          </w:tcPr>
          <w:p w14:paraId="74346410" w14:textId="77777777" w:rsidR="00556D5C" w:rsidRPr="000127EF" w:rsidRDefault="00556D5C" w:rsidP="00556D5C">
            <w:pPr>
              <w:ind w:right="176"/>
              <w:jc w:val="right"/>
              <w:rPr>
                <w:i/>
              </w:rPr>
            </w:pPr>
          </w:p>
        </w:tc>
        <w:tc>
          <w:tcPr>
            <w:tcW w:w="1428" w:type="dxa"/>
          </w:tcPr>
          <w:p w14:paraId="18EFA3D7" w14:textId="77777777" w:rsidR="00556D5C" w:rsidRPr="000127EF" w:rsidRDefault="00556D5C" w:rsidP="00556D5C">
            <w:pPr>
              <w:ind w:right="176"/>
              <w:jc w:val="right"/>
              <w:rPr>
                <w:i/>
              </w:rPr>
            </w:pPr>
          </w:p>
        </w:tc>
        <w:tc>
          <w:tcPr>
            <w:tcW w:w="1559" w:type="dxa"/>
            <w:vAlign w:val="center"/>
          </w:tcPr>
          <w:p w14:paraId="3C6D237B" w14:textId="54CEB523" w:rsidR="00556D5C" w:rsidRPr="000127EF" w:rsidRDefault="00B23AA1" w:rsidP="00556D5C">
            <w:pPr>
              <w:ind w:right="92"/>
              <w:jc w:val="right"/>
              <w:rPr>
                <w:i/>
              </w:rPr>
            </w:pPr>
            <w:r>
              <w:rPr>
                <w:i/>
              </w:rPr>
              <w:t>(2</w:t>
            </w:r>
            <w:r w:rsidR="00A64459">
              <w:rPr>
                <w:i/>
              </w:rPr>
              <w:t>,</w:t>
            </w:r>
            <w:r>
              <w:rPr>
                <w:i/>
              </w:rPr>
              <w:t>347</w:t>
            </w:r>
            <w:r w:rsidR="00556D5C" w:rsidRPr="000127EF">
              <w:rPr>
                <w:i/>
              </w:rPr>
              <w:t>)</w:t>
            </w:r>
          </w:p>
        </w:tc>
        <w:tc>
          <w:tcPr>
            <w:tcW w:w="5245" w:type="dxa"/>
          </w:tcPr>
          <w:p w14:paraId="41F6FE40" w14:textId="4095CB93" w:rsidR="00556D5C" w:rsidRPr="000127EF" w:rsidRDefault="00556D5C" w:rsidP="00556D5C">
            <w:r w:rsidRPr="000127EF">
              <w:t>Surplus on Revaluation of property, plant and equipment</w:t>
            </w:r>
          </w:p>
        </w:tc>
        <w:tc>
          <w:tcPr>
            <w:tcW w:w="850" w:type="dxa"/>
          </w:tcPr>
          <w:p w14:paraId="3B84AB8D" w14:textId="77777777" w:rsidR="00556D5C" w:rsidRPr="007E2D8B" w:rsidRDefault="00556D5C" w:rsidP="00556D5C"/>
        </w:tc>
        <w:tc>
          <w:tcPr>
            <w:tcW w:w="1618" w:type="dxa"/>
          </w:tcPr>
          <w:p w14:paraId="6BB612F1" w14:textId="77777777" w:rsidR="00556D5C" w:rsidRPr="007E2D8B" w:rsidRDefault="00556D5C" w:rsidP="00556D5C"/>
        </w:tc>
        <w:tc>
          <w:tcPr>
            <w:tcW w:w="1217" w:type="dxa"/>
          </w:tcPr>
          <w:p w14:paraId="430195C5" w14:textId="77777777" w:rsidR="00556D5C" w:rsidRPr="007E2D8B" w:rsidRDefault="00556D5C" w:rsidP="00556D5C"/>
        </w:tc>
        <w:tc>
          <w:tcPr>
            <w:tcW w:w="1701" w:type="dxa"/>
            <w:shd w:val="clear" w:color="auto" w:fill="C5E0B3" w:themeFill="accent6" w:themeFillTint="66"/>
            <w:vAlign w:val="center"/>
          </w:tcPr>
          <w:p w14:paraId="2EDB87E6" w14:textId="35734E83" w:rsidR="00556D5C" w:rsidRPr="007E2D8B" w:rsidRDefault="007E2D8B" w:rsidP="00801E92">
            <w:pPr>
              <w:ind w:right="92"/>
              <w:jc w:val="right"/>
            </w:pPr>
            <w:r w:rsidRPr="007E2D8B">
              <w:t>(1,475)</w:t>
            </w:r>
          </w:p>
        </w:tc>
      </w:tr>
      <w:tr w:rsidR="00556D5C" w:rsidRPr="000127EF" w14:paraId="555C721B" w14:textId="77777777" w:rsidTr="00C53116">
        <w:tc>
          <w:tcPr>
            <w:tcW w:w="1526" w:type="dxa"/>
          </w:tcPr>
          <w:p w14:paraId="17128399" w14:textId="77777777" w:rsidR="00556D5C" w:rsidRPr="000127EF" w:rsidRDefault="00556D5C" w:rsidP="00556D5C">
            <w:pPr>
              <w:ind w:right="176"/>
              <w:jc w:val="right"/>
              <w:rPr>
                <w:i/>
              </w:rPr>
            </w:pPr>
          </w:p>
        </w:tc>
        <w:tc>
          <w:tcPr>
            <w:tcW w:w="1428" w:type="dxa"/>
          </w:tcPr>
          <w:p w14:paraId="3C4F51E9" w14:textId="77777777" w:rsidR="00556D5C" w:rsidRPr="000127EF" w:rsidRDefault="00556D5C" w:rsidP="00556D5C">
            <w:pPr>
              <w:ind w:right="176"/>
              <w:jc w:val="right"/>
              <w:rPr>
                <w:i/>
              </w:rPr>
            </w:pPr>
          </w:p>
        </w:tc>
        <w:tc>
          <w:tcPr>
            <w:tcW w:w="1559" w:type="dxa"/>
            <w:tcBorders>
              <w:bottom w:val="single" w:sz="8" w:space="0" w:color="auto"/>
            </w:tcBorders>
            <w:vAlign w:val="center"/>
          </w:tcPr>
          <w:p w14:paraId="4A061C81" w14:textId="427E2398" w:rsidR="00556D5C" w:rsidRPr="000127EF" w:rsidRDefault="00EF4149" w:rsidP="00556D5C">
            <w:pPr>
              <w:ind w:right="92"/>
              <w:jc w:val="right"/>
              <w:rPr>
                <w:i/>
              </w:rPr>
            </w:pPr>
            <w:r>
              <w:rPr>
                <w:i/>
              </w:rPr>
              <w:t>6,935</w:t>
            </w:r>
          </w:p>
        </w:tc>
        <w:tc>
          <w:tcPr>
            <w:tcW w:w="5245" w:type="dxa"/>
          </w:tcPr>
          <w:p w14:paraId="678057EE" w14:textId="7BAD84B9" w:rsidR="00556D5C" w:rsidRPr="000127EF" w:rsidRDefault="00556D5C" w:rsidP="00556D5C">
            <w:r w:rsidRPr="000127EF">
              <w:t>Re-measurements of the net defined benefit liability (asset)</w:t>
            </w:r>
          </w:p>
        </w:tc>
        <w:tc>
          <w:tcPr>
            <w:tcW w:w="850" w:type="dxa"/>
            <w:vMerge w:val="restart"/>
          </w:tcPr>
          <w:p w14:paraId="41BA21D9" w14:textId="77777777" w:rsidR="00556D5C" w:rsidRPr="007E2D8B" w:rsidRDefault="00556D5C" w:rsidP="00556D5C"/>
        </w:tc>
        <w:tc>
          <w:tcPr>
            <w:tcW w:w="1618" w:type="dxa"/>
            <w:vMerge w:val="restart"/>
          </w:tcPr>
          <w:p w14:paraId="1CB15A40" w14:textId="77777777" w:rsidR="00556D5C" w:rsidRPr="007E2D8B" w:rsidRDefault="00556D5C" w:rsidP="00556D5C"/>
        </w:tc>
        <w:tc>
          <w:tcPr>
            <w:tcW w:w="1217" w:type="dxa"/>
            <w:vMerge w:val="restart"/>
          </w:tcPr>
          <w:p w14:paraId="5AE0099D" w14:textId="77777777" w:rsidR="00556D5C" w:rsidRPr="007E2D8B" w:rsidRDefault="00556D5C" w:rsidP="00556D5C"/>
        </w:tc>
        <w:tc>
          <w:tcPr>
            <w:tcW w:w="1701" w:type="dxa"/>
            <w:tcBorders>
              <w:bottom w:val="single" w:sz="8" w:space="0" w:color="auto"/>
            </w:tcBorders>
            <w:shd w:val="clear" w:color="auto" w:fill="C5E0B3" w:themeFill="accent6" w:themeFillTint="66"/>
            <w:vAlign w:val="center"/>
          </w:tcPr>
          <w:p w14:paraId="5FDDA6FF" w14:textId="1DE90B45" w:rsidR="00556D5C" w:rsidRPr="007E2D8B" w:rsidRDefault="007E2D8B" w:rsidP="00801E92">
            <w:pPr>
              <w:ind w:right="92"/>
              <w:jc w:val="right"/>
            </w:pPr>
            <w:r w:rsidRPr="007E2D8B">
              <w:t>(10,</w:t>
            </w:r>
            <w:r w:rsidR="00A6161B">
              <w:t>229</w:t>
            </w:r>
            <w:r w:rsidRPr="007E2D8B">
              <w:t>)</w:t>
            </w:r>
          </w:p>
        </w:tc>
      </w:tr>
      <w:tr w:rsidR="00556D5C" w:rsidRPr="000127EF" w14:paraId="7F74A319" w14:textId="77777777" w:rsidTr="00C53116">
        <w:tc>
          <w:tcPr>
            <w:tcW w:w="1526" w:type="dxa"/>
          </w:tcPr>
          <w:p w14:paraId="56925E1C" w14:textId="77777777" w:rsidR="00556D5C" w:rsidRPr="000127EF" w:rsidRDefault="00556D5C" w:rsidP="00556D5C">
            <w:pPr>
              <w:ind w:right="176"/>
              <w:jc w:val="right"/>
              <w:rPr>
                <w:b/>
                <w:i/>
              </w:rPr>
            </w:pPr>
          </w:p>
        </w:tc>
        <w:tc>
          <w:tcPr>
            <w:tcW w:w="1428" w:type="dxa"/>
          </w:tcPr>
          <w:p w14:paraId="48312C04" w14:textId="77777777" w:rsidR="00556D5C" w:rsidRPr="000127EF" w:rsidRDefault="00556D5C" w:rsidP="00556D5C">
            <w:pPr>
              <w:ind w:right="176"/>
              <w:jc w:val="right"/>
              <w:rPr>
                <w:b/>
                <w:i/>
              </w:rPr>
            </w:pPr>
          </w:p>
        </w:tc>
        <w:tc>
          <w:tcPr>
            <w:tcW w:w="1559" w:type="dxa"/>
            <w:tcBorders>
              <w:top w:val="single" w:sz="8" w:space="0" w:color="auto"/>
              <w:bottom w:val="single" w:sz="8" w:space="0" w:color="auto"/>
            </w:tcBorders>
          </w:tcPr>
          <w:p w14:paraId="2172791C" w14:textId="2B0327D1" w:rsidR="00556D5C" w:rsidRPr="000127EF" w:rsidRDefault="00EF4149" w:rsidP="00EF4149">
            <w:pPr>
              <w:ind w:right="92"/>
              <w:jc w:val="right"/>
              <w:rPr>
                <w:b/>
                <w:i/>
              </w:rPr>
            </w:pPr>
            <w:r>
              <w:rPr>
                <w:b/>
                <w:i/>
              </w:rPr>
              <w:t>4</w:t>
            </w:r>
            <w:r w:rsidR="00B23AA1">
              <w:rPr>
                <w:b/>
                <w:i/>
              </w:rPr>
              <w:t>,</w:t>
            </w:r>
            <w:r>
              <w:rPr>
                <w:b/>
                <w:i/>
              </w:rPr>
              <w:t>588</w:t>
            </w:r>
          </w:p>
        </w:tc>
        <w:tc>
          <w:tcPr>
            <w:tcW w:w="5245" w:type="dxa"/>
          </w:tcPr>
          <w:p w14:paraId="3F9CF0FA" w14:textId="77777777" w:rsidR="00556D5C" w:rsidRPr="000127EF" w:rsidRDefault="00556D5C" w:rsidP="00556D5C">
            <w:pPr>
              <w:rPr>
                <w:b/>
              </w:rPr>
            </w:pPr>
            <w:r w:rsidRPr="000127EF">
              <w:rPr>
                <w:b/>
              </w:rPr>
              <w:t>Other Comprehensive Income &amp; Expenditure</w:t>
            </w:r>
          </w:p>
        </w:tc>
        <w:tc>
          <w:tcPr>
            <w:tcW w:w="850" w:type="dxa"/>
            <w:vMerge/>
          </w:tcPr>
          <w:p w14:paraId="02D57D71" w14:textId="77777777" w:rsidR="00556D5C" w:rsidRPr="007E2D8B" w:rsidRDefault="00556D5C" w:rsidP="00556D5C">
            <w:pPr>
              <w:rPr>
                <w:b/>
              </w:rPr>
            </w:pPr>
          </w:p>
        </w:tc>
        <w:tc>
          <w:tcPr>
            <w:tcW w:w="1618" w:type="dxa"/>
            <w:vMerge/>
          </w:tcPr>
          <w:p w14:paraId="533A0AA0" w14:textId="77777777" w:rsidR="00556D5C" w:rsidRPr="007E2D8B" w:rsidRDefault="00556D5C" w:rsidP="00556D5C">
            <w:pPr>
              <w:rPr>
                <w:b/>
              </w:rPr>
            </w:pPr>
          </w:p>
        </w:tc>
        <w:tc>
          <w:tcPr>
            <w:tcW w:w="1217" w:type="dxa"/>
            <w:vMerge/>
          </w:tcPr>
          <w:p w14:paraId="74B68D44" w14:textId="77777777" w:rsidR="00556D5C" w:rsidRPr="007E2D8B" w:rsidRDefault="00556D5C" w:rsidP="00556D5C">
            <w:pPr>
              <w:rPr>
                <w:b/>
              </w:rPr>
            </w:pPr>
          </w:p>
        </w:tc>
        <w:tc>
          <w:tcPr>
            <w:tcW w:w="1701" w:type="dxa"/>
            <w:tcBorders>
              <w:top w:val="single" w:sz="8" w:space="0" w:color="auto"/>
              <w:bottom w:val="single" w:sz="8" w:space="0" w:color="auto"/>
            </w:tcBorders>
            <w:shd w:val="clear" w:color="auto" w:fill="C5E0B3" w:themeFill="accent6" w:themeFillTint="66"/>
          </w:tcPr>
          <w:p w14:paraId="1A566530" w14:textId="2039760F" w:rsidR="00556D5C" w:rsidRPr="007E2D8B" w:rsidRDefault="00CC2EC1" w:rsidP="00B23AA1">
            <w:pPr>
              <w:tabs>
                <w:tab w:val="center" w:pos="696"/>
                <w:tab w:val="right" w:pos="1393"/>
              </w:tabs>
              <w:ind w:right="92"/>
              <w:jc w:val="right"/>
              <w:rPr>
                <w:b/>
              </w:rPr>
            </w:pPr>
            <w:r w:rsidRPr="007E2D8B">
              <w:rPr>
                <w:b/>
              </w:rPr>
              <w:tab/>
            </w:r>
            <w:r w:rsidR="007E2D8B" w:rsidRPr="007E2D8B">
              <w:rPr>
                <w:b/>
              </w:rPr>
              <w:t>(11,</w:t>
            </w:r>
            <w:r w:rsidR="00A6161B">
              <w:rPr>
                <w:b/>
              </w:rPr>
              <w:t>704</w:t>
            </w:r>
            <w:r w:rsidR="007E2D8B" w:rsidRPr="007E2D8B">
              <w:rPr>
                <w:b/>
              </w:rPr>
              <w:t>)</w:t>
            </w:r>
          </w:p>
        </w:tc>
      </w:tr>
      <w:tr w:rsidR="00556D5C" w:rsidRPr="000127EF" w14:paraId="5AD86573" w14:textId="77777777" w:rsidTr="00C53116">
        <w:tc>
          <w:tcPr>
            <w:tcW w:w="1526" w:type="dxa"/>
          </w:tcPr>
          <w:p w14:paraId="38A1ECEB" w14:textId="77777777" w:rsidR="00556D5C" w:rsidRPr="000127EF" w:rsidRDefault="00556D5C" w:rsidP="00556D5C">
            <w:pPr>
              <w:ind w:right="176"/>
              <w:jc w:val="right"/>
              <w:rPr>
                <w:i/>
                <w:sz w:val="10"/>
                <w:szCs w:val="10"/>
              </w:rPr>
            </w:pPr>
          </w:p>
        </w:tc>
        <w:tc>
          <w:tcPr>
            <w:tcW w:w="1428" w:type="dxa"/>
          </w:tcPr>
          <w:p w14:paraId="370AD082" w14:textId="77777777" w:rsidR="00556D5C" w:rsidRPr="000127EF" w:rsidRDefault="00556D5C" w:rsidP="00556D5C">
            <w:pPr>
              <w:ind w:right="176"/>
              <w:jc w:val="right"/>
              <w:rPr>
                <w:i/>
                <w:sz w:val="10"/>
                <w:szCs w:val="10"/>
              </w:rPr>
            </w:pPr>
          </w:p>
        </w:tc>
        <w:tc>
          <w:tcPr>
            <w:tcW w:w="1559" w:type="dxa"/>
            <w:tcBorders>
              <w:top w:val="single" w:sz="8" w:space="0" w:color="auto"/>
            </w:tcBorders>
          </w:tcPr>
          <w:p w14:paraId="34EDDC9A" w14:textId="77777777" w:rsidR="00556D5C" w:rsidRPr="000127EF" w:rsidRDefault="00556D5C" w:rsidP="00556D5C">
            <w:pPr>
              <w:rPr>
                <w:i/>
                <w:sz w:val="10"/>
                <w:szCs w:val="10"/>
              </w:rPr>
            </w:pPr>
          </w:p>
        </w:tc>
        <w:tc>
          <w:tcPr>
            <w:tcW w:w="5245" w:type="dxa"/>
          </w:tcPr>
          <w:p w14:paraId="2434BD77" w14:textId="77777777" w:rsidR="00556D5C" w:rsidRPr="000127EF" w:rsidRDefault="00556D5C" w:rsidP="00556D5C">
            <w:pPr>
              <w:rPr>
                <w:sz w:val="10"/>
                <w:szCs w:val="10"/>
              </w:rPr>
            </w:pPr>
          </w:p>
        </w:tc>
        <w:tc>
          <w:tcPr>
            <w:tcW w:w="850" w:type="dxa"/>
            <w:vMerge/>
            <w:tcBorders>
              <w:bottom w:val="nil"/>
            </w:tcBorders>
          </w:tcPr>
          <w:p w14:paraId="16553694" w14:textId="77777777" w:rsidR="00556D5C" w:rsidRPr="007E2D8B" w:rsidRDefault="00556D5C" w:rsidP="00556D5C">
            <w:pPr>
              <w:rPr>
                <w:sz w:val="10"/>
                <w:szCs w:val="10"/>
              </w:rPr>
            </w:pPr>
          </w:p>
        </w:tc>
        <w:tc>
          <w:tcPr>
            <w:tcW w:w="1618" w:type="dxa"/>
            <w:vMerge/>
          </w:tcPr>
          <w:p w14:paraId="5E1B9605" w14:textId="77777777" w:rsidR="00556D5C" w:rsidRPr="007E2D8B" w:rsidRDefault="00556D5C" w:rsidP="00556D5C">
            <w:pPr>
              <w:rPr>
                <w:sz w:val="10"/>
                <w:szCs w:val="10"/>
              </w:rPr>
            </w:pPr>
          </w:p>
        </w:tc>
        <w:tc>
          <w:tcPr>
            <w:tcW w:w="1217" w:type="dxa"/>
            <w:vMerge/>
          </w:tcPr>
          <w:p w14:paraId="635717E1" w14:textId="77777777" w:rsidR="00556D5C" w:rsidRPr="007E2D8B" w:rsidRDefault="00556D5C" w:rsidP="00556D5C">
            <w:pPr>
              <w:rPr>
                <w:sz w:val="10"/>
                <w:szCs w:val="10"/>
              </w:rPr>
            </w:pPr>
          </w:p>
        </w:tc>
        <w:tc>
          <w:tcPr>
            <w:tcW w:w="1701" w:type="dxa"/>
            <w:tcBorders>
              <w:top w:val="single" w:sz="8" w:space="0" w:color="auto"/>
            </w:tcBorders>
            <w:shd w:val="clear" w:color="auto" w:fill="C5E0B3" w:themeFill="accent6" w:themeFillTint="66"/>
          </w:tcPr>
          <w:p w14:paraId="1F3BF951" w14:textId="77777777" w:rsidR="00556D5C" w:rsidRPr="007E2D8B" w:rsidRDefault="00556D5C" w:rsidP="00556D5C">
            <w:pPr>
              <w:rPr>
                <w:sz w:val="10"/>
                <w:szCs w:val="10"/>
              </w:rPr>
            </w:pPr>
          </w:p>
        </w:tc>
      </w:tr>
      <w:tr w:rsidR="00556D5C" w:rsidRPr="000127EF" w14:paraId="60304180" w14:textId="77777777" w:rsidTr="00C53116">
        <w:tc>
          <w:tcPr>
            <w:tcW w:w="1526" w:type="dxa"/>
          </w:tcPr>
          <w:p w14:paraId="3AB8E27E" w14:textId="77777777" w:rsidR="00556D5C" w:rsidRPr="000127EF" w:rsidRDefault="00556D5C" w:rsidP="00556D5C">
            <w:pPr>
              <w:ind w:right="176"/>
              <w:jc w:val="right"/>
              <w:rPr>
                <w:b/>
                <w:i/>
              </w:rPr>
            </w:pPr>
          </w:p>
        </w:tc>
        <w:tc>
          <w:tcPr>
            <w:tcW w:w="1428" w:type="dxa"/>
          </w:tcPr>
          <w:p w14:paraId="61D5BCF6" w14:textId="77777777" w:rsidR="00556D5C" w:rsidRPr="000127EF" w:rsidRDefault="00556D5C" w:rsidP="00556D5C">
            <w:pPr>
              <w:ind w:right="176"/>
              <w:jc w:val="right"/>
              <w:rPr>
                <w:b/>
                <w:i/>
              </w:rPr>
            </w:pPr>
          </w:p>
        </w:tc>
        <w:tc>
          <w:tcPr>
            <w:tcW w:w="1559" w:type="dxa"/>
            <w:tcBorders>
              <w:bottom w:val="single" w:sz="8" w:space="0" w:color="auto"/>
            </w:tcBorders>
          </w:tcPr>
          <w:p w14:paraId="5FBF0441" w14:textId="46B9B90A" w:rsidR="00556D5C" w:rsidRPr="000127EF" w:rsidRDefault="00EF4149" w:rsidP="00EF4149">
            <w:pPr>
              <w:ind w:right="92"/>
              <w:jc w:val="right"/>
              <w:rPr>
                <w:b/>
                <w:i/>
              </w:rPr>
            </w:pPr>
            <w:r>
              <w:rPr>
                <w:b/>
                <w:i/>
              </w:rPr>
              <w:t>8</w:t>
            </w:r>
            <w:r w:rsidR="00B23AA1">
              <w:rPr>
                <w:b/>
                <w:i/>
              </w:rPr>
              <w:t>,</w:t>
            </w:r>
            <w:r>
              <w:rPr>
                <w:b/>
                <w:i/>
              </w:rPr>
              <w:t>460</w:t>
            </w:r>
          </w:p>
        </w:tc>
        <w:tc>
          <w:tcPr>
            <w:tcW w:w="5245" w:type="dxa"/>
          </w:tcPr>
          <w:p w14:paraId="3E13181E" w14:textId="77777777" w:rsidR="00556D5C" w:rsidRPr="000127EF" w:rsidRDefault="00556D5C" w:rsidP="00556D5C">
            <w:pPr>
              <w:rPr>
                <w:b/>
              </w:rPr>
            </w:pPr>
            <w:r w:rsidRPr="000127EF">
              <w:rPr>
                <w:b/>
              </w:rPr>
              <w:t>Total Comprehensive Income &amp; Expenditure</w:t>
            </w:r>
          </w:p>
        </w:tc>
        <w:tc>
          <w:tcPr>
            <w:tcW w:w="2468" w:type="dxa"/>
            <w:gridSpan w:val="2"/>
            <w:tcBorders>
              <w:top w:val="nil"/>
              <w:bottom w:val="nil"/>
            </w:tcBorders>
          </w:tcPr>
          <w:p w14:paraId="7D90FCF4" w14:textId="77777777" w:rsidR="00556D5C" w:rsidRPr="007E2D8B" w:rsidRDefault="00556D5C" w:rsidP="00556D5C">
            <w:pPr>
              <w:rPr>
                <w:b/>
              </w:rPr>
            </w:pPr>
          </w:p>
        </w:tc>
        <w:tc>
          <w:tcPr>
            <w:tcW w:w="1217" w:type="dxa"/>
            <w:vMerge w:val="restart"/>
          </w:tcPr>
          <w:p w14:paraId="3E451679" w14:textId="77777777" w:rsidR="00556D5C" w:rsidRPr="007E2D8B" w:rsidRDefault="00556D5C" w:rsidP="00556D5C">
            <w:pPr>
              <w:rPr>
                <w:b/>
              </w:rPr>
            </w:pPr>
          </w:p>
        </w:tc>
        <w:tc>
          <w:tcPr>
            <w:tcW w:w="1701" w:type="dxa"/>
            <w:tcBorders>
              <w:bottom w:val="single" w:sz="8" w:space="0" w:color="auto"/>
            </w:tcBorders>
            <w:shd w:val="clear" w:color="auto" w:fill="C5E0B3" w:themeFill="accent6" w:themeFillTint="66"/>
          </w:tcPr>
          <w:p w14:paraId="7B7C0748" w14:textId="48AF8015" w:rsidR="00556D5C" w:rsidRPr="007E2D8B" w:rsidRDefault="007E2D8B" w:rsidP="007E2D8B">
            <w:pPr>
              <w:ind w:right="92"/>
              <w:jc w:val="right"/>
              <w:rPr>
                <w:b/>
              </w:rPr>
            </w:pPr>
            <w:r w:rsidRPr="007E2D8B">
              <w:rPr>
                <w:b/>
              </w:rPr>
              <w:t>(11,</w:t>
            </w:r>
            <w:r w:rsidR="00A6161B">
              <w:rPr>
                <w:b/>
              </w:rPr>
              <w:t>847</w:t>
            </w:r>
            <w:r w:rsidRPr="007E2D8B">
              <w:rPr>
                <w:b/>
              </w:rPr>
              <w:t>)</w:t>
            </w:r>
          </w:p>
        </w:tc>
      </w:tr>
      <w:tr w:rsidR="00556D5C" w:rsidRPr="000127EF" w14:paraId="168DC436" w14:textId="77777777" w:rsidTr="00C53116">
        <w:tc>
          <w:tcPr>
            <w:tcW w:w="1526" w:type="dxa"/>
          </w:tcPr>
          <w:p w14:paraId="364DBE84" w14:textId="77777777" w:rsidR="00556D5C" w:rsidRPr="000127EF" w:rsidRDefault="00556D5C" w:rsidP="00556D5C">
            <w:pPr>
              <w:rPr>
                <w:i/>
                <w:sz w:val="12"/>
                <w:szCs w:val="12"/>
              </w:rPr>
            </w:pPr>
          </w:p>
        </w:tc>
        <w:tc>
          <w:tcPr>
            <w:tcW w:w="1428" w:type="dxa"/>
          </w:tcPr>
          <w:p w14:paraId="5F92A0D2" w14:textId="77777777" w:rsidR="00556D5C" w:rsidRPr="000127EF" w:rsidRDefault="00556D5C" w:rsidP="00556D5C">
            <w:pPr>
              <w:rPr>
                <w:i/>
                <w:sz w:val="12"/>
                <w:szCs w:val="12"/>
              </w:rPr>
            </w:pPr>
          </w:p>
        </w:tc>
        <w:tc>
          <w:tcPr>
            <w:tcW w:w="1559" w:type="dxa"/>
            <w:tcBorders>
              <w:top w:val="single" w:sz="8" w:space="0" w:color="auto"/>
            </w:tcBorders>
          </w:tcPr>
          <w:p w14:paraId="17309473" w14:textId="77777777" w:rsidR="00556D5C" w:rsidRPr="000127EF" w:rsidRDefault="00556D5C" w:rsidP="00556D5C">
            <w:pPr>
              <w:rPr>
                <w:i/>
                <w:sz w:val="12"/>
                <w:szCs w:val="12"/>
              </w:rPr>
            </w:pPr>
          </w:p>
        </w:tc>
        <w:tc>
          <w:tcPr>
            <w:tcW w:w="5245" w:type="dxa"/>
          </w:tcPr>
          <w:p w14:paraId="3DBBB26E" w14:textId="77777777" w:rsidR="00556D5C" w:rsidRPr="000127EF" w:rsidRDefault="00556D5C" w:rsidP="00556D5C">
            <w:pPr>
              <w:rPr>
                <w:sz w:val="12"/>
                <w:szCs w:val="12"/>
              </w:rPr>
            </w:pPr>
          </w:p>
        </w:tc>
        <w:tc>
          <w:tcPr>
            <w:tcW w:w="850" w:type="dxa"/>
            <w:tcBorders>
              <w:top w:val="nil"/>
            </w:tcBorders>
          </w:tcPr>
          <w:p w14:paraId="64B8F7B5" w14:textId="77777777" w:rsidR="00556D5C" w:rsidRPr="000127EF" w:rsidRDefault="00556D5C" w:rsidP="00556D5C">
            <w:pPr>
              <w:rPr>
                <w:sz w:val="12"/>
                <w:szCs w:val="12"/>
              </w:rPr>
            </w:pPr>
          </w:p>
        </w:tc>
        <w:tc>
          <w:tcPr>
            <w:tcW w:w="1618" w:type="dxa"/>
            <w:tcBorders>
              <w:top w:val="nil"/>
            </w:tcBorders>
          </w:tcPr>
          <w:p w14:paraId="2703BB1D" w14:textId="77777777" w:rsidR="00556D5C" w:rsidRPr="000127EF" w:rsidRDefault="00556D5C" w:rsidP="00556D5C">
            <w:pPr>
              <w:rPr>
                <w:sz w:val="12"/>
                <w:szCs w:val="12"/>
              </w:rPr>
            </w:pPr>
          </w:p>
        </w:tc>
        <w:tc>
          <w:tcPr>
            <w:tcW w:w="1217" w:type="dxa"/>
            <w:vMerge/>
          </w:tcPr>
          <w:p w14:paraId="552E11A3" w14:textId="77777777" w:rsidR="00556D5C" w:rsidRPr="000127EF" w:rsidRDefault="00556D5C" w:rsidP="00556D5C">
            <w:pPr>
              <w:rPr>
                <w:sz w:val="12"/>
                <w:szCs w:val="12"/>
              </w:rPr>
            </w:pPr>
          </w:p>
        </w:tc>
        <w:tc>
          <w:tcPr>
            <w:tcW w:w="1701" w:type="dxa"/>
          </w:tcPr>
          <w:p w14:paraId="63678CB4" w14:textId="77777777" w:rsidR="00556D5C" w:rsidRPr="000127EF" w:rsidRDefault="00556D5C" w:rsidP="00556D5C">
            <w:pPr>
              <w:rPr>
                <w:sz w:val="12"/>
                <w:szCs w:val="12"/>
              </w:rPr>
            </w:pPr>
          </w:p>
        </w:tc>
      </w:tr>
    </w:tbl>
    <w:p w14:paraId="57AD17E5" w14:textId="77777777" w:rsidR="00131E8B" w:rsidRPr="000127EF" w:rsidRDefault="00131E8B" w:rsidP="002E7C2E">
      <w:pPr>
        <w:sectPr w:rsidR="00131E8B" w:rsidRPr="000127EF" w:rsidSect="008C78E8">
          <w:pgSz w:w="16840" w:h="11907" w:orient="landscape" w:code="9"/>
          <w:pgMar w:top="709" w:right="1135" w:bottom="992" w:left="1440" w:header="567" w:footer="851" w:gutter="0"/>
          <w:paperSrc w:first="7" w:other="7"/>
          <w:cols w:space="720"/>
          <w:docGrid w:linePitch="299"/>
        </w:sectPr>
      </w:pPr>
    </w:p>
    <w:p w14:paraId="267A8296" w14:textId="77777777" w:rsidR="002E7C2E" w:rsidRPr="000127EF" w:rsidRDefault="00131E8B" w:rsidP="00131E8B">
      <w:pPr>
        <w:pStyle w:val="MainSoAHeading"/>
      </w:pPr>
      <w:bookmarkStart w:id="13" w:name="_Toc54886655"/>
      <w:r w:rsidRPr="000127EF">
        <w:lastRenderedPageBreak/>
        <w:t>Movement in Reserves Statement</w:t>
      </w:r>
      <w:bookmarkEnd w:id="13"/>
    </w:p>
    <w:p w14:paraId="44F07887" w14:textId="77777777" w:rsidR="00131E8B" w:rsidRPr="000127EF" w:rsidRDefault="00661E70" w:rsidP="00131E8B">
      <w:r>
        <w:pict w14:anchorId="4D69E0A6">
          <v:rect id="_x0000_i1031" style="width:510.3pt;height:2pt" o:hralign="center" o:hrstd="t" o:hrnoshade="t" o:hr="t" fillcolor="#a8d08d [1945]" stroked="f"/>
        </w:pict>
      </w:r>
    </w:p>
    <w:p w14:paraId="584CAA2F" w14:textId="77777777" w:rsidR="00131E8B" w:rsidRPr="000127EF" w:rsidRDefault="00131E8B" w:rsidP="006A56F7">
      <w:pPr>
        <w:spacing w:after="120"/>
        <w:jc w:val="both"/>
      </w:pPr>
      <w:r w:rsidRPr="000127EF">
        <w:t xml:space="preserve">This statement shows the movement in the year on the different reserves held by the Council, analysed into ‘usable reserves’ (ie. those that can be applied to fund expenditure or reduce local taxation) and other reserves.  The Surplus or Deficit on the Provision of Services line shows the true cost of providing the Council’s services, more details of which are shown in the Comprehensive Income and Expenditure Statement, page </w:t>
      </w:r>
      <w:r w:rsidR="00437EAA" w:rsidRPr="000127EF">
        <w:t>16</w:t>
      </w:r>
      <w:r w:rsidRPr="000127EF">
        <w:t xml:space="preserve">.  These are different from the statutory amounts required to be charged to the General Fund Balance for council tax setting purposes.  The Net Increase or Decrease before Transfers to Earmarked Reserves line shows the statutory General Fund Balance before any discretionary transfers to or from earmarked reserves undertaken by the Council, for more detailed movements, see Note </w:t>
      </w:r>
      <w:r w:rsidR="00E74A8D" w:rsidRPr="000127EF">
        <w:t>13</w:t>
      </w:r>
      <w:r w:rsidRPr="000127EF">
        <w:t>.</w:t>
      </w:r>
    </w:p>
    <w:tbl>
      <w:tblPr>
        <w:tblStyle w:val="TableGrid"/>
        <w:tblW w:w="14341"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5783"/>
        <w:gridCol w:w="1217"/>
        <w:gridCol w:w="1250"/>
        <w:gridCol w:w="1218"/>
        <w:gridCol w:w="1219"/>
        <w:gridCol w:w="1218"/>
        <w:gridCol w:w="1218"/>
        <w:gridCol w:w="1218"/>
      </w:tblGrid>
      <w:tr w:rsidR="00B623B2" w:rsidRPr="000127EF" w14:paraId="30822DEA" w14:textId="77777777" w:rsidTr="00296B32">
        <w:tc>
          <w:tcPr>
            <w:tcW w:w="5783" w:type="dxa"/>
          </w:tcPr>
          <w:p w14:paraId="1029B06F" w14:textId="6E483976" w:rsidR="00131E8B" w:rsidRPr="000127EF" w:rsidRDefault="008E5C64" w:rsidP="00131E8B">
            <w:pPr>
              <w:rPr>
                <w:rFonts w:cs="Arial"/>
                <w:b/>
                <w:sz w:val="20"/>
              </w:rPr>
            </w:pPr>
            <w:r w:rsidRPr="000127EF">
              <w:rPr>
                <w:rFonts w:cs="Arial"/>
                <w:b/>
                <w:sz w:val="20"/>
              </w:rPr>
              <w:t xml:space="preserve"> </w:t>
            </w:r>
          </w:p>
        </w:tc>
        <w:tc>
          <w:tcPr>
            <w:tcW w:w="1217" w:type="dxa"/>
            <w:vAlign w:val="center"/>
          </w:tcPr>
          <w:p w14:paraId="2A624042" w14:textId="77777777" w:rsidR="00131E8B" w:rsidRPr="000127EF" w:rsidRDefault="00131E8B" w:rsidP="00296B32">
            <w:pPr>
              <w:jc w:val="center"/>
              <w:rPr>
                <w:rFonts w:cs="Arial"/>
                <w:b/>
                <w:sz w:val="20"/>
              </w:rPr>
            </w:pPr>
            <w:r w:rsidRPr="000127EF">
              <w:rPr>
                <w:rFonts w:cs="Arial"/>
                <w:b/>
                <w:sz w:val="20"/>
              </w:rPr>
              <w:t>General Fund Balance</w:t>
            </w:r>
          </w:p>
        </w:tc>
        <w:tc>
          <w:tcPr>
            <w:tcW w:w="1250" w:type="dxa"/>
            <w:vAlign w:val="center"/>
          </w:tcPr>
          <w:p w14:paraId="1647E4B8" w14:textId="77777777" w:rsidR="00131E8B" w:rsidRPr="000127EF" w:rsidRDefault="00131E8B" w:rsidP="00296B32">
            <w:pPr>
              <w:jc w:val="center"/>
              <w:rPr>
                <w:rFonts w:cs="Arial"/>
                <w:b/>
                <w:sz w:val="20"/>
              </w:rPr>
            </w:pPr>
            <w:r w:rsidRPr="000127EF">
              <w:rPr>
                <w:rFonts w:cs="Arial"/>
                <w:b/>
                <w:sz w:val="20"/>
              </w:rPr>
              <w:t>Earmarked Reserves</w:t>
            </w:r>
          </w:p>
        </w:tc>
        <w:tc>
          <w:tcPr>
            <w:tcW w:w="1218" w:type="dxa"/>
            <w:vAlign w:val="center"/>
          </w:tcPr>
          <w:p w14:paraId="5F1E17EC" w14:textId="77777777" w:rsidR="00131E8B" w:rsidRPr="000127EF" w:rsidRDefault="00131E8B" w:rsidP="00296B32">
            <w:pPr>
              <w:jc w:val="center"/>
              <w:rPr>
                <w:rFonts w:cs="Arial"/>
                <w:b/>
                <w:sz w:val="20"/>
              </w:rPr>
            </w:pPr>
            <w:r w:rsidRPr="000127EF">
              <w:rPr>
                <w:rFonts w:cs="Arial"/>
                <w:b/>
                <w:sz w:val="20"/>
              </w:rPr>
              <w:t>Capital Receipts Reserve</w:t>
            </w:r>
          </w:p>
        </w:tc>
        <w:tc>
          <w:tcPr>
            <w:tcW w:w="1219" w:type="dxa"/>
            <w:vAlign w:val="center"/>
          </w:tcPr>
          <w:p w14:paraId="2088919A" w14:textId="77777777" w:rsidR="00131E8B" w:rsidRPr="000127EF" w:rsidRDefault="00131E8B" w:rsidP="00296B32">
            <w:pPr>
              <w:jc w:val="center"/>
              <w:rPr>
                <w:rFonts w:cs="Arial"/>
                <w:b/>
                <w:sz w:val="20"/>
              </w:rPr>
            </w:pPr>
            <w:r w:rsidRPr="000127EF">
              <w:rPr>
                <w:rFonts w:cs="Arial"/>
                <w:b/>
                <w:sz w:val="20"/>
              </w:rPr>
              <w:t>Capital Grants Unapplied</w:t>
            </w:r>
          </w:p>
        </w:tc>
        <w:tc>
          <w:tcPr>
            <w:tcW w:w="1218" w:type="dxa"/>
            <w:vAlign w:val="center"/>
          </w:tcPr>
          <w:p w14:paraId="324684C2" w14:textId="77777777" w:rsidR="00131E8B" w:rsidRPr="000127EF" w:rsidRDefault="00131E8B" w:rsidP="00296B32">
            <w:pPr>
              <w:jc w:val="center"/>
              <w:rPr>
                <w:rFonts w:cs="Arial"/>
                <w:b/>
                <w:sz w:val="20"/>
              </w:rPr>
            </w:pPr>
            <w:r w:rsidRPr="000127EF">
              <w:rPr>
                <w:rFonts w:cs="Arial"/>
                <w:b/>
                <w:sz w:val="20"/>
              </w:rPr>
              <w:t>Total Useable Reserves</w:t>
            </w:r>
          </w:p>
        </w:tc>
        <w:tc>
          <w:tcPr>
            <w:tcW w:w="1218" w:type="dxa"/>
            <w:vAlign w:val="center"/>
          </w:tcPr>
          <w:p w14:paraId="565FC8B6" w14:textId="77777777" w:rsidR="00131E8B" w:rsidRPr="005C1C24" w:rsidRDefault="00B623B2" w:rsidP="00296B32">
            <w:pPr>
              <w:jc w:val="center"/>
              <w:rPr>
                <w:rFonts w:cs="Arial"/>
                <w:b/>
                <w:sz w:val="20"/>
              </w:rPr>
            </w:pPr>
            <w:r w:rsidRPr="005C1C24">
              <w:rPr>
                <w:rFonts w:cs="Arial"/>
                <w:b/>
                <w:sz w:val="20"/>
              </w:rPr>
              <w:t>Unusable Reserves</w:t>
            </w:r>
          </w:p>
        </w:tc>
        <w:tc>
          <w:tcPr>
            <w:tcW w:w="1218" w:type="dxa"/>
            <w:vAlign w:val="center"/>
          </w:tcPr>
          <w:p w14:paraId="33A3DDD6" w14:textId="77777777" w:rsidR="00131E8B" w:rsidRPr="000127EF" w:rsidRDefault="00B623B2" w:rsidP="00296B32">
            <w:pPr>
              <w:jc w:val="center"/>
              <w:rPr>
                <w:rFonts w:cs="Arial"/>
                <w:b/>
                <w:sz w:val="20"/>
              </w:rPr>
            </w:pPr>
            <w:r w:rsidRPr="000127EF">
              <w:rPr>
                <w:rFonts w:cs="Arial"/>
                <w:b/>
                <w:sz w:val="20"/>
              </w:rPr>
              <w:t>Total Council Reserves</w:t>
            </w:r>
          </w:p>
        </w:tc>
      </w:tr>
      <w:tr w:rsidR="00B623B2" w:rsidRPr="000127EF" w14:paraId="14AA42FE" w14:textId="77777777" w:rsidTr="004304C1">
        <w:tc>
          <w:tcPr>
            <w:tcW w:w="5783" w:type="dxa"/>
          </w:tcPr>
          <w:p w14:paraId="0D283550" w14:textId="77777777" w:rsidR="00B623B2" w:rsidRPr="000127EF" w:rsidRDefault="00B623B2" w:rsidP="00131E8B">
            <w:pPr>
              <w:rPr>
                <w:rFonts w:cs="Arial"/>
                <w:sz w:val="20"/>
              </w:rPr>
            </w:pPr>
          </w:p>
        </w:tc>
        <w:tc>
          <w:tcPr>
            <w:tcW w:w="1217" w:type="dxa"/>
          </w:tcPr>
          <w:p w14:paraId="5A920697" w14:textId="77777777" w:rsidR="00B623B2" w:rsidRPr="000127EF" w:rsidRDefault="00B623B2" w:rsidP="00B623B2">
            <w:pPr>
              <w:jc w:val="center"/>
              <w:rPr>
                <w:rFonts w:cs="Arial"/>
                <w:b/>
                <w:sz w:val="20"/>
              </w:rPr>
            </w:pPr>
            <w:r w:rsidRPr="000127EF">
              <w:rPr>
                <w:rFonts w:cs="Arial"/>
                <w:b/>
                <w:sz w:val="20"/>
              </w:rPr>
              <w:t>£000</w:t>
            </w:r>
          </w:p>
        </w:tc>
        <w:tc>
          <w:tcPr>
            <w:tcW w:w="1250" w:type="dxa"/>
          </w:tcPr>
          <w:p w14:paraId="2F13C877" w14:textId="77777777" w:rsidR="00B623B2" w:rsidRPr="000127EF" w:rsidRDefault="00B623B2" w:rsidP="00B623B2">
            <w:pPr>
              <w:jc w:val="center"/>
              <w:rPr>
                <w:rFonts w:cs="Arial"/>
                <w:sz w:val="20"/>
              </w:rPr>
            </w:pPr>
            <w:r w:rsidRPr="000127EF">
              <w:rPr>
                <w:rFonts w:cs="Arial"/>
                <w:b/>
                <w:sz w:val="20"/>
              </w:rPr>
              <w:t>£000</w:t>
            </w:r>
          </w:p>
        </w:tc>
        <w:tc>
          <w:tcPr>
            <w:tcW w:w="1218" w:type="dxa"/>
          </w:tcPr>
          <w:p w14:paraId="24FE4F81" w14:textId="77777777" w:rsidR="00B623B2" w:rsidRPr="000127EF" w:rsidRDefault="00B623B2" w:rsidP="00B623B2">
            <w:pPr>
              <w:jc w:val="center"/>
              <w:rPr>
                <w:rFonts w:cs="Arial"/>
                <w:sz w:val="20"/>
              </w:rPr>
            </w:pPr>
            <w:r w:rsidRPr="000127EF">
              <w:rPr>
                <w:rFonts w:cs="Arial"/>
                <w:b/>
                <w:sz w:val="20"/>
              </w:rPr>
              <w:t>£000</w:t>
            </w:r>
          </w:p>
        </w:tc>
        <w:tc>
          <w:tcPr>
            <w:tcW w:w="1219" w:type="dxa"/>
          </w:tcPr>
          <w:p w14:paraId="4B3CCC46" w14:textId="77777777" w:rsidR="00B623B2" w:rsidRPr="000127EF" w:rsidRDefault="00B623B2" w:rsidP="00B623B2">
            <w:pPr>
              <w:jc w:val="center"/>
              <w:rPr>
                <w:rFonts w:cs="Arial"/>
                <w:sz w:val="20"/>
              </w:rPr>
            </w:pPr>
            <w:r w:rsidRPr="000127EF">
              <w:rPr>
                <w:rFonts w:cs="Arial"/>
                <w:b/>
                <w:sz w:val="20"/>
              </w:rPr>
              <w:t>£000</w:t>
            </w:r>
          </w:p>
        </w:tc>
        <w:tc>
          <w:tcPr>
            <w:tcW w:w="1218" w:type="dxa"/>
          </w:tcPr>
          <w:p w14:paraId="76756D0C" w14:textId="77777777" w:rsidR="00B623B2" w:rsidRPr="000127EF" w:rsidRDefault="00B623B2" w:rsidP="00B623B2">
            <w:pPr>
              <w:jc w:val="center"/>
              <w:rPr>
                <w:rFonts w:cs="Arial"/>
                <w:sz w:val="20"/>
              </w:rPr>
            </w:pPr>
            <w:r w:rsidRPr="000127EF">
              <w:rPr>
                <w:rFonts w:cs="Arial"/>
                <w:b/>
                <w:sz w:val="20"/>
              </w:rPr>
              <w:t>£000</w:t>
            </w:r>
          </w:p>
        </w:tc>
        <w:tc>
          <w:tcPr>
            <w:tcW w:w="1218" w:type="dxa"/>
          </w:tcPr>
          <w:p w14:paraId="11E55A7A" w14:textId="77777777" w:rsidR="00B623B2" w:rsidRPr="005C1C24" w:rsidRDefault="00B623B2" w:rsidP="00B623B2">
            <w:pPr>
              <w:jc w:val="center"/>
              <w:rPr>
                <w:rFonts w:cs="Arial"/>
                <w:sz w:val="20"/>
              </w:rPr>
            </w:pPr>
            <w:r w:rsidRPr="005C1C24">
              <w:rPr>
                <w:rFonts w:cs="Arial"/>
                <w:b/>
                <w:sz w:val="20"/>
              </w:rPr>
              <w:t>£000</w:t>
            </w:r>
          </w:p>
        </w:tc>
        <w:tc>
          <w:tcPr>
            <w:tcW w:w="1218" w:type="dxa"/>
            <w:shd w:val="clear" w:color="auto" w:fill="C5E0B3" w:themeFill="accent6" w:themeFillTint="66"/>
          </w:tcPr>
          <w:p w14:paraId="26CCAA34" w14:textId="77777777" w:rsidR="00B623B2" w:rsidRPr="000127EF" w:rsidRDefault="00B623B2" w:rsidP="00B623B2">
            <w:pPr>
              <w:jc w:val="center"/>
              <w:rPr>
                <w:rFonts w:cs="Arial"/>
                <w:sz w:val="20"/>
              </w:rPr>
            </w:pPr>
            <w:r w:rsidRPr="000127EF">
              <w:rPr>
                <w:rFonts w:cs="Arial"/>
                <w:b/>
                <w:sz w:val="20"/>
              </w:rPr>
              <w:t>£000</w:t>
            </w:r>
          </w:p>
        </w:tc>
      </w:tr>
      <w:tr w:rsidR="00864BA5" w:rsidRPr="000127EF" w14:paraId="3E5AD76B" w14:textId="77777777" w:rsidTr="00F310DA">
        <w:trPr>
          <w:trHeight w:val="165"/>
        </w:trPr>
        <w:tc>
          <w:tcPr>
            <w:tcW w:w="5783" w:type="dxa"/>
          </w:tcPr>
          <w:p w14:paraId="62D8C34B" w14:textId="1DAAE17C" w:rsidR="00864BA5" w:rsidRPr="000127EF" w:rsidRDefault="00864BA5" w:rsidP="00864BA5">
            <w:pPr>
              <w:rPr>
                <w:rFonts w:cs="Arial"/>
                <w:b/>
                <w:sz w:val="20"/>
              </w:rPr>
            </w:pPr>
            <w:r w:rsidRPr="000127EF">
              <w:rPr>
                <w:rFonts w:cs="Arial"/>
                <w:b/>
                <w:sz w:val="20"/>
              </w:rPr>
              <w:t>Balance 1 April</w:t>
            </w:r>
            <w:r>
              <w:rPr>
                <w:rFonts w:cs="Arial"/>
                <w:b/>
                <w:sz w:val="20"/>
              </w:rPr>
              <w:t xml:space="preserve"> 2018</w:t>
            </w:r>
          </w:p>
        </w:tc>
        <w:tc>
          <w:tcPr>
            <w:tcW w:w="1217" w:type="dxa"/>
            <w:tcBorders>
              <w:bottom w:val="single" w:sz="8" w:space="0" w:color="auto"/>
            </w:tcBorders>
            <w:vAlign w:val="center"/>
          </w:tcPr>
          <w:p w14:paraId="30C8F6DA" w14:textId="7DDF1664" w:rsidR="00864BA5" w:rsidRPr="000127EF" w:rsidRDefault="008E2034" w:rsidP="00864BA5">
            <w:pPr>
              <w:jc w:val="right"/>
              <w:rPr>
                <w:rFonts w:cs="Arial"/>
                <w:b/>
                <w:i/>
                <w:sz w:val="20"/>
              </w:rPr>
            </w:pPr>
            <w:r>
              <w:rPr>
                <w:rFonts w:cs="Arial"/>
                <w:b/>
                <w:i/>
                <w:sz w:val="20"/>
              </w:rPr>
              <w:t>8,979</w:t>
            </w:r>
          </w:p>
        </w:tc>
        <w:tc>
          <w:tcPr>
            <w:tcW w:w="1250" w:type="dxa"/>
            <w:tcBorders>
              <w:bottom w:val="single" w:sz="8" w:space="0" w:color="auto"/>
            </w:tcBorders>
            <w:vAlign w:val="center"/>
          </w:tcPr>
          <w:p w14:paraId="28B2E489" w14:textId="2FF08D87" w:rsidR="00864BA5" w:rsidRPr="000127EF" w:rsidRDefault="008E2034" w:rsidP="00864BA5">
            <w:pPr>
              <w:jc w:val="right"/>
              <w:rPr>
                <w:rFonts w:cs="Arial"/>
                <w:b/>
                <w:i/>
                <w:sz w:val="20"/>
              </w:rPr>
            </w:pPr>
            <w:r>
              <w:rPr>
                <w:rFonts w:cs="Arial"/>
                <w:b/>
                <w:i/>
                <w:sz w:val="20"/>
              </w:rPr>
              <w:t>11,264</w:t>
            </w:r>
          </w:p>
        </w:tc>
        <w:tc>
          <w:tcPr>
            <w:tcW w:w="1218" w:type="dxa"/>
            <w:tcBorders>
              <w:bottom w:val="single" w:sz="8" w:space="0" w:color="auto"/>
            </w:tcBorders>
            <w:vAlign w:val="center"/>
          </w:tcPr>
          <w:p w14:paraId="71F61F5A" w14:textId="4489BED3" w:rsidR="00864BA5" w:rsidRPr="000127EF" w:rsidRDefault="008E2034" w:rsidP="00864BA5">
            <w:pPr>
              <w:jc w:val="right"/>
              <w:rPr>
                <w:rFonts w:cs="Arial"/>
                <w:b/>
                <w:i/>
                <w:sz w:val="20"/>
              </w:rPr>
            </w:pPr>
            <w:r>
              <w:rPr>
                <w:rFonts w:cs="Arial"/>
                <w:b/>
                <w:i/>
                <w:sz w:val="20"/>
              </w:rPr>
              <w:t>1,347</w:t>
            </w:r>
          </w:p>
        </w:tc>
        <w:tc>
          <w:tcPr>
            <w:tcW w:w="1219" w:type="dxa"/>
            <w:tcBorders>
              <w:bottom w:val="single" w:sz="8" w:space="0" w:color="auto"/>
            </w:tcBorders>
            <w:vAlign w:val="center"/>
          </w:tcPr>
          <w:p w14:paraId="0A1DB9C2" w14:textId="59101DC1" w:rsidR="00864BA5" w:rsidRPr="000127EF" w:rsidRDefault="008E2034" w:rsidP="00864BA5">
            <w:pPr>
              <w:jc w:val="right"/>
              <w:rPr>
                <w:rFonts w:cs="Arial"/>
                <w:b/>
                <w:i/>
                <w:sz w:val="20"/>
              </w:rPr>
            </w:pPr>
            <w:r>
              <w:rPr>
                <w:rFonts w:cs="Arial"/>
                <w:b/>
                <w:i/>
                <w:sz w:val="20"/>
              </w:rPr>
              <w:t>6,286</w:t>
            </w:r>
          </w:p>
        </w:tc>
        <w:tc>
          <w:tcPr>
            <w:tcW w:w="1218" w:type="dxa"/>
            <w:tcBorders>
              <w:bottom w:val="single" w:sz="8" w:space="0" w:color="auto"/>
            </w:tcBorders>
            <w:vAlign w:val="center"/>
          </w:tcPr>
          <w:p w14:paraId="316BF6E8" w14:textId="3AFE862E" w:rsidR="00864BA5" w:rsidRPr="000127EF" w:rsidRDefault="008E2034" w:rsidP="00864BA5">
            <w:pPr>
              <w:jc w:val="right"/>
              <w:rPr>
                <w:rFonts w:cs="Arial"/>
                <w:b/>
                <w:i/>
                <w:sz w:val="20"/>
              </w:rPr>
            </w:pPr>
            <w:r>
              <w:rPr>
                <w:rFonts w:cs="Arial"/>
                <w:b/>
                <w:i/>
                <w:sz w:val="20"/>
              </w:rPr>
              <w:t>27,876</w:t>
            </w:r>
          </w:p>
        </w:tc>
        <w:tc>
          <w:tcPr>
            <w:tcW w:w="1218" w:type="dxa"/>
            <w:tcBorders>
              <w:bottom w:val="single" w:sz="8" w:space="0" w:color="auto"/>
            </w:tcBorders>
            <w:vAlign w:val="center"/>
          </w:tcPr>
          <w:p w14:paraId="15EBFB4D" w14:textId="4D280992" w:rsidR="00864BA5" w:rsidRPr="005C1C24" w:rsidRDefault="008E2034" w:rsidP="00864BA5">
            <w:pPr>
              <w:jc w:val="right"/>
              <w:rPr>
                <w:rFonts w:cs="Arial"/>
                <w:b/>
                <w:i/>
                <w:sz w:val="20"/>
              </w:rPr>
            </w:pPr>
            <w:r>
              <w:rPr>
                <w:rFonts w:cs="Arial"/>
                <w:b/>
                <w:i/>
                <w:sz w:val="20"/>
              </w:rPr>
              <w:t>12,631</w:t>
            </w:r>
          </w:p>
        </w:tc>
        <w:tc>
          <w:tcPr>
            <w:tcW w:w="1218" w:type="dxa"/>
            <w:tcBorders>
              <w:bottom w:val="single" w:sz="8" w:space="0" w:color="auto"/>
            </w:tcBorders>
            <w:shd w:val="clear" w:color="auto" w:fill="C5E0B3" w:themeFill="accent6" w:themeFillTint="66"/>
            <w:vAlign w:val="center"/>
          </w:tcPr>
          <w:p w14:paraId="1914645C" w14:textId="3D46B78B" w:rsidR="00864BA5" w:rsidRPr="000127EF" w:rsidRDefault="008E2034" w:rsidP="00864BA5">
            <w:pPr>
              <w:jc w:val="right"/>
              <w:rPr>
                <w:rFonts w:cs="Arial"/>
                <w:b/>
                <w:i/>
                <w:sz w:val="20"/>
              </w:rPr>
            </w:pPr>
            <w:r>
              <w:rPr>
                <w:rFonts w:cs="Arial"/>
                <w:b/>
                <w:i/>
                <w:sz w:val="20"/>
              </w:rPr>
              <w:t>40,507</w:t>
            </w:r>
          </w:p>
        </w:tc>
      </w:tr>
      <w:tr w:rsidR="00864BA5" w:rsidRPr="000127EF" w14:paraId="1BDFB28C" w14:textId="77777777" w:rsidTr="004304C1">
        <w:tc>
          <w:tcPr>
            <w:tcW w:w="5783" w:type="dxa"/>
          </w:tcPr>
          <w:p w14:paraId="3E06EDFA" w14:textId="77777777" w:rsidR="00864BA5" w:rsidRPr="000127EF" w:rsidRDefault="00864BA5" w:rsidP="00864BA5">
            <w:pPr>
              <w:ind w:left="624"/>
              <w:rPr>
                <w:rFonts w:cs="Arial"/>
                <w:i/>
                <w:sz w:val="20"/>
              </w:rPr>
            </w:pPr>
            <w:r w:rsidRPr="000127EF">
              <w:rPr>
                <w:rFonts w:cs="Arial"/>
                <w:i/>
                <w:sz w:val="20"/>
              </w:rPr>
              <w:t>Surplus / (Deficit) on Provision of Services</w:t>
            </w:r>
          </w:p>
        </w:tc>
        <w:tc>
          <w:tcPr>
            <w:tcW w:w="1217" w:type="dxa"/>
          </w:tcPr>
          <w:p w14:paraId="2AE45BF3" w14:textId="62D785A5" w:rsidR="00864BA5" w:rsidRPr="000127EF" w:rsidRDefault="008E2034" w:rsidP="00864BA5">
            <w:pPr>
              <w:jc w:val="right"/>
              <w:rPr>
                <w:rFonts w:cs="Arial"/>
                <w:i/>
                <w:sz w:val="20"/>
              </w:rPr>
            </w:pPr>
            <w:r>
              <w:rPr>
                <w:rFonts w:cs="Arial"/>
                <w:i/>
                <w:sz w:val="20"/>
              </w:rPr>
              <w:t>(3,872)</w:t>
            </w:r>
          </w:p>
        </w:tc>
        <w:tc>
          <w:tcPr>
            <w:tcW w:w="1250" w:type="dxa"/>
          </w:tcPr>
          <w:p w14:paraId="15A841BC" w14:textId="3A724557" w:rsidR="00864BA5" w:rsidRPr="000127EF" w:rsidRDefault="008E2034" w:rsidP="00864BA5">
            <w:pPr>
              <w:jc w:val="right"/>
              <w:rPr>
                <w:rFonts w:cs="Arial"/>
                <w:i/>
                <w:sz w:val="20"/>
              </w:rPr>
            </w:pPr>
            <w:r>
              <w:rPr>
                <w:rFonts w:cs="Arial"/>
                <w:i/>
                <w:sz w:val="20"/>
              </w:rPr>
              <w:t>-</w:t>
            </w:r>
          </w:p>
        </w:tc>
        <w:tc>
          <w:tcPr>
            <w:tcW w:w="1218" w:type="dxa"/>
          </w:tcPr>
          <w:p w14:paraId="72EE9592" w14:textId="736A78A5" w:rsidR="00864BA5" w:rsidRPr="000127EF" w:rsidRDefault="008E2034" w:rsidP="00864BA5">
            <w:pPr>
              <w:jc w:val="right"/>
              <w:rPr>
                <w:rFonts w:cs="Arial"/>
                <w:i/>
                <w:sz w:val="20"/>
              </w:rPr>
            </w:pPr>
            <w:r>
              <w:rPr>
                <w:rFonts w:cs="Arial"/>
                <w:i/>
                <w:sz w:val="20"/>
              </w:rPr>
              <w:t>-</w:t>
            </w:r>
          </w:p>
        </w:tc>
        <w:tc>
          <w:tcPr>
            <w:tcW w:w="1219" w:type="dxa"/>
          </w:tcPr>
          <w:p w14:paraId="45ECFECB" w14:textId="5A5250E6" w:rsidR="00864BA5" w:rsidRPr="000127EF" w:rsidRDefault="008E2034" w:rsidP="00864BA5">
            <w:pPr>
              <w:jc w:val="right"/>
              <w:rPr>
                <w:rFonts w:cs="Arial"/>
                <w:i/>
                <w:sz w:val="20"/>
              </w:rPr>
            </w:pPr>
            <w:r>
              <w:rPr>
                <w:rFonts w:cs="Arial"/>
                <w:i/>
                <w:sz w:val="20"/>
              </w:rPr>
              <w:t>-</w:t>
            </w:r>
          </w:p>
        </w:tc>
        <w:tc>
          <w:tcPr>
            <w:tcW w:w="1218" w:type="dxa"/>
          </w:tcPr>
          <w:p w14:paraId="2FF79C38" w14:textId="516E5313" w:rsidR="00864BA5" w:rsidRPr="000127EF" w:rsidRDefault="008E2034" w:rsidP="00864BA5">
            <w:pPr>
              <w:jc w:val="right"/>
              <w:rPr>
                <w:rFonts w:cs="Arial"/>
                <w:b/>
                <w:i/>
                <w:sz w:val="20"/>
              </w:rPr>
            </w:pPr>
            <w:r>
              <w:rPr>
                <w:rFonts w:cs="Arial"/>
                <w:b/>
                <w:i/>
                <w:sz w:val="20"/>
              </w:rPr>
              <w:t>(3,872)</w:t>
            </w:r>
          </w:p>
        </w:tc>
        <w:tc>
          <w:tcPr>
            <w:tcW w:w="1218" w:type="dxa"/>
          </w:tcPr>
          <w:p w14:paraId="4930EE74" w14:textId="1404031A" w:rsidR="00864BA5" w:rsidRPr="00F87219" w:rsidRDefault="008E2034" w:rsidP="00864BA5">
            <w:pPr>
              <w:jc w:val="right"/>
              <w:rPr>
                <w:rFonts w:cs="Arial"/>
                <w:i/>
                <w:sz w:val="20"/>
              </w:rPr>
            </w:pPr>
            <w:r>
              <w:rPr>
                <w:rFonts w:cs="Arial"/>
                <w:i/>
                <w:sz w:val="20"/>
              </w:rPr>
              <w:t>-</w:t>
            </w:r>
          </w:p>
        </w:tc>
        <w:tc>
          <w:tcPr>
            <w:tcW w:w="1218" w:type="dxa"/>
            <w:shd w:val="clear" w:color="auto" w:fill="C5E0B3" w:themeFill="accent6" w:themeFillTint="66"/>
          </w:tcPr>
          <w:p w14:paraId="7538B75F" w14:textId="5CFC352C" w:rsidR="00864BA5" w:rsidRPr="000127EF" w:rsidRDefault="008E2034" w:rsidP="00864BA5">
            <w:pPr>
              <w:jc w:val="right"/>
              <w:rPr>
                <w:rFonts w:cs="Arial"/>
                <w:b/>
                <w:i/>
                <w:sz w:val="20"/>
              </w:rPr>
            </w:pPr>
            <w:r>
              <w:rPr>
                <w:rFonts w:cs="Arial"/>
                <w:b/>
                <w:i/>
                <w:sz w:val="20"/>
              </w:rPr>
              <w:t>(3,872)</w:t>
            </w:r>
          </w:p>
        </w:tc>
      </w:tr>
      <w:tr w:rsidR="00864BA5" w:rsidRPr="000127EF" w14:paraId="0931E023" w14:textId="77777777" w:rsidTr="004304C1">
        <w:tc>
          <w:tcPr>
            <w:tcW w:w="5783" w:type="dxa"/>
          </w:tcPr>
          <w:p w14:paraId="6FD16239" w14:textId="77777777" w:rsidR="00864BA5" w:rsidRPr="000127EF" w:rsidRDefault="00864BA5" w:rsidP="00864BA5">
            <w:pPr>
              <w:ind w:left="624"/>
              <w:rPr>
                <w:rFonts w:cs="Arial"/>
                <w:i/>
                <w:sz w:val="20"/>
              </w:rPr>
            </w:pPr>
            <w:r w:rsidRPr="000127EF">
              <w:rPr>
                <w:rFonts w:cs="Arial"/>
                <w:i/>
                <w:sz w:val="20"/>
              </w:rPr>
              <w:t>Other Comprehensive Income &amp; Expenditure</w:t>
            </w:r>
          </w:p>
        </w:tc>
        <w:tc>
          <w:tcPr>
            <w:tcW w:w="1217" w:type="dxa"/>
            <w:tcBorders>
              <w:bottom w:val="single" w:sz="8" w:space="0" w:color="auto"/>
            </w:tcBorders>
          </w:tcPr>
          <w:p w14:paraId="4EB21BD8" w14:textId="0A934254" w:rsidR="00864BA5" w:rsidRPr="000127EF" w:rsidRDefault="008E2034" w:rsidP="00864BA5">
            <w:pPr>
              <w:jc w:val="right"/>
              <w:rPr>
                <w:rFonts w:cs="Arial"/>
                <w:i/>
                <w:sz w:val="20"/>
              </w:rPr>
            </w:pPr>
            <w:r>
              <w:rPr>
                <w:rFonts w:cs="Arial"/>
                <w:i/>
                <w:sz w:val="20"/>
              </w:rPr>
              <w:t>-</w:t>
            </w:r>
          </w:p>
        </w:tc>
        <w:tc>
          <w:tcPr>
            <w:tcW w:w="1250" w:type="dxa"/>
            <w:tcBorders>
              <w:bottom w:val="single" w:sz="8" w:space="0" w:color="auto"/>
            </w:tcBorders>
          </w:tcPr>
          <w:p w14:paraId="21E3001E" w14:textId="4CDAF784" w:rsidR="00864BA5" w:rsidRPr="000127EF" w:rsidRDefault="008E2034" w:rsidP="00864BA5">
            <w:pPr>
              <w:jc w:val="right"/>
              <w:rPr>
                <w:rFonts w:cs="Arial"/>
                <w:i/>
                <w:sz w:val="20"/>
              </w:rPr>
            </w:pPr>
            <w:r>
              <w:rPr>
                <w:rFonts w:cs="Arial"/>
                <w:i/>
                <w:sz w:val="20"/>
              </w:rPr>
              <w:t>-</w:t>
            </w:r>
          </w:p>
        </w:tc>
        <w:tc>
          <w:tcPr>
            <w:tcW w:w="1218" w:type="dxa"/>
            <w:tcBorders>
              <w:bottom w:val="single" w:sz="8" w:space="0" w:color="auto"/>
            </w:tcBorders>
          </w:tcPr>
          <w:p w14:paraId="1C883FCA" w14:textId="56A34388" w:rsidR="00864BA5" w:rsidRPr="000127EF" w:rsidRDefault="008E2034" w:rsidP="00864BA5">
            <w:pPr>
              <w:jc w:val="right"/>
              <w:rPr>
                <w:rFonts w:cs="Arial"/>
                <w:i/>
                <w:sz w:val="20"/>
              </w:rPr>
            </w:pPr>
            <w:r>
              <w:rPr>
                <w:rFonts w:cs="Arial"/>
                <w:i/>
                <w:sz w:val="20"/>
              </w:rPr>
              <w:t>-</w:t>
            </w:r>
          </w:p>
        </w:tc>
        <w:tc>
          <w:tcPr>
            <w:tcW w:w="1219" w:type="dxa"/>
            <w:tcBorders>
              <w:bottom w:val="single" w:sz="8" w:space="0" w:color="auto"/>
            </w:tcBorders>
          </w:tcPr>
          <w:p w14:paraId="3203E766" w14:textId="22F674F4" w:rsidR="00864BA5" w:rsidRPr="000127EF" w:rsidRDefault="008E2034" w:rsidP="00864BA5">
            <w:pPr>
              <w:jc w:val="right"/>
              <w:rPr>
                <w:rFonts w:cs="Arial"/>
                <w:i/>
                <w:sz w:val="20"/>
              </w:rPr>
            </w:pPr>
            <w:r>
              <w:rPr>
                <w:rFonts w:cs="Arial"/>
                <w:i/>
                <w:sz w:val="20"/>
              </w:rPr>
              <w:t>-</w:t>
            </w:r>
          </w:p>
        </w:tc>
        <w:tc>
          <w:tcPr>
            <w:tcW w:w="1218" w:type="dxa"/>
            <w:tcBorders>
              <w:bottom w:val="single" w:sz="8" w:space="0" w:color="auto"/>
            </w:tcBorders>
          </w:tcPr>
          <w:p w14:paraId="5AD104AD" w14:textId="1075DADE" w:rsidR="00864BA5" w:rsidRPr="000127EF" w:rsidRDefault="008E2034" w:rsidP="00864BA5">
            <w:pPr>
              <w:jc w:val="right"/>
              <w:rPr>
                <w:rFonts w:cs="Arial"/>
                <w:b/>
                <w:i/>
                <w:sz w:val="20"/>
              </w:rPr>
            </w:pPr>
            <w:r>
              <w:rPr>
                <w:rFonts w:cs="Arial"/>
                <w:b/>
                <w:i/>
                <w:sz w:val="20"/>
              </w:rPr>
              <w:t>-</w:t>
            </w:r>
          </w:p>
        </w:tc>
        <w:tc>
          <w:tcPr>
            <w:tcW w:w="1218" w:type="dxa"/>
            <w:tcBorders>
              <w:bottom w:val="single" w:sz="8" w:space="0" w:color="auto"/>
            </w:tcBorders>
          </w:tcPr>
          <w:p w14:paraId="1FAD4BC6" w14:textId="78F7C6D9" w:rsidR="00864BA5" w:rsidRPr="00F87219" w:rsidRDefault="008E2034" w:rsidP="005C1C24">
            <w:pPr>
              <w:jc w:val="right"/>
              <w:rPr>
                <w:rFonts w:cs="Arial"/>
                <w:i/>
                <w:sz w:val="20"/>
              </w:rPr>
            </w:pPr>
            <w:r>
              <w:rPr>
                <w:rFonts w:cs="Arial"/>
                <w:i/>
                <w:sz w:val="20"/>
              </w:rPr>
              <w:t>(4,588)</w:t>
            </w:r>
          </w:p>
        </w:tc>
        <w:tc>
          <w:tcPr>
            <w:tcW w:w="1218" w:type="dxa"/>
            <w:tcBorders>
              <w:bottom w:val="single" w:sz="8" w:space="0" w:color="auto"/>
            </w:tcBorders>
            <w:shd w:val="clear" w:color="auto" w:fill="C5E0B3" w:themeFill="accent6" w:themeFillTint="66"/>
          </w:tcPr>
          <w:p w14:paraId="5640A61F" w14:textId="5290C57B" w:rsidR="00864BA5" w:rsidRPr="000127EF" w:rsidRDefault="008E2034" w:rsidP="00864BA5">
            <w:pPr>
              <w:jc w:val="right"/>
              <w:rPr>
                <w:rFonts w:cs="Arial"/>
                <w:b/>
                <w:i/>
                <w:sz w:val="20"/>
              </w:rPr>
            </w:pPr>
            <w:r>
              <w:rPr>
                <w:rFonts w:cs="Arial"/>
                <w:b/>
                <w:i/>
                <w:sz w:val="20"/>
              </w:rPr>
              <w:t>(4,588)</w:t>
            </w:r>
          </w:p>
        </w:tc>
      </w:tr>
      <w:tr w:rsidR="00864BA5" w:rsidRPr="000127EF" w14:paraId="458D825D" w14:textId="77777777" w:rsidTr="004304C1">
        <w:tc>
          <w:tcPr>
            <w:tcW w:w="5783" w:type="dxa"/>
          </w:tcPr>
          <w:p w14:paraId="59704F44" w14:textId="77777777" w:rsidR="00864BA5" w:rsidRPr="000127EF" w:rsidRDefault="00864BA5" w:rsidP="00864BA5">
            <w:pPr>
              <w:rPr>
                <w:rFonts w:cs="Arial"/>
                <w:b/>
                <w:sz w:val="20"/>
              </w:rPr>
            </w:pPr>
            <w:r w:rsidRPr="000127EF">
              <w:rPr>
                <w:rFonts w:cs="Arial"/>
                <w:b/>
                <w:sz w:val="20"/>
              </w:rPr>
              <w:t>Total Comprehensive Income &amp; Expenditure</w:t>
            </w:r>
          </w:p>
        </w:tc>
        <w:tc>
          <w:tcPr>
            <w:tcW w:w="1217" w:type="dxa"/>
            <w:tcBorders>
              <w:top w:val="single" w:sz="8" w:space="0" w:color="auto"/>
            </w:tcBorders>
          </w:tcPr>
          <w:p w14:paraId="449DD884" w14:textId="036CB988" w:rsidR="00864BA5" w:rsidRPr="000127EF" w:rsidRDefault="008E2034" w:rsidP="00864BA5">
            <w:pPr>
              <w:jc w:val="right"/>
              <w:rPr>
                <w:rFonts w:cs="Arial"/>
                <w:b/>
                <w:i/>
                <w:sz w:val="20"/>
              </w:rPr>
            </w:pPr>
            <w:r>
              <w:rPr>
                <w:rFonts w:cs="Arial"/>
                <w:b/>
                <w:i/>
                <w:sz w:val="20"/>
              </w:rPr>
              <w:t>(3,872)</w:t>
            </w:r>
          </w:p>
        </w:tc>
        <w:tc>
          <w:tcPr>
            <w:tcW w:w="1250" w:type="dxa"/>
            <w:tcBorders>
              <w:top w:val="single" w:sz="8" w:space="0" w:color="auto"/>
            </w:tcBorders>
          </w:tcPr>
          <w:p w14:paraId="7688209C" w14:textId="075665CA" w:rsidR="00864BA5" w:rsidRPr="000127EF" w:rsidRDefault="008E2034" w:rsidP="00864BA5">
            <w:pPr>
              <w:jc w:val="right"/>
              <w:rPr>
                <w:rFonts w:cs="Arial"/>
                <w:b/>
                <w:i/>
                <w:sz w:val="20"/>
              </w:rPr>
            </w:pPr>
            <w:r>
              <w:rPr>
                <w:rFonts w:cs="Arial"/>
                <w:b/>
                <w:i/>
                <w:sz w:val="20"/>
              </w:rPr>
              <w:t>-</w:t>
            </w:r>
          </w:p>
        </w:tc>
        <w:tc>
          <w:tcPr>
            <w:tcW w:w="1218" w:type="dxa"/>
            <w:tcBorders>
              <w:top w:val="single" w:sz="8" w:space="0" w:color="auto"/>
            </w:tcBorders>
          </w:tcPr>
          <w:p w14:paraId="5F57E6A6" w14:textId="5062A055" w:rsidR="00864BA5" w:rsidRPr="000127EF" w:rsidRDefault="008E2034" w:rsidP="00864BA5">
            <w:pPr>
              <w:jc w:val="right"/>
              <w:rPr>
                <w:rFonts w:cs="Arial"/>
                <w:b/>
                <w:i/>
                <w:sz w:val="20"/>
              </w:rPr>
            </w:pPr>
            <w:r>
              <w:rPr>
                <w:rFonts w:cs="Arial"/>
                <w:b/>
                <w:i/>
                <w:sz w:val="20"/>
              </w:rPr>
              <w:t>-</w:t>
            </w:r>
          </w:p>
        </w:tc>
        <w:tc>
          <w:tcPr>
            <w:tcW w:w="1219" w:type="dxa"/>
            <w:tcBorders>
              <w:top w:val="single" w:sz="8" w:space="0" w:color="auto"/>
            </w:tcBorders>
          </w:tcPr>
          <w:p w14:paraId="4A385063" w14:textId="63F16F9B" w:rsidR="00864BA5" w:rsidRPr="000127EF" w:rsidRDefault="008E2034" w:rsidP="00864BA5">
            <w:pPr>
              <w:jc w:val="right"/>
              <w:rPr>
                <w:rFonts w:cs="Arial"/>
                <w:b/>
                <w:i/>
                <w:sz w:val="20"/>
              </w:rPr>
            </w:pPr>
            <w:r>
              <w:rPr>
                <w:rFonts w:cs="Arial"/>
                <w:b/>
                <w:i/>
                <w:sz w:val="20"/>
              </w:rPr>
              <w:t>-</w:t>
            </w:r>
          </w:p>
        </w:tc>
        <w:tc>
          <w:tcPr>
            <w:tcW w:w="1218" w:type="dxa"/>
            <w:tcBorders>
              <w:top w:val="single" w:sz="8" w:space="0" w:color="auto"/>
            </w:tcBorders>
          </w:tcPr>
          <w:p w14:paraId="6D70B6E3" w14:textId="145A3DC2" w:rsidR="00864BA5" w:rsidRPr="000127EF" w:rsidRDefault="008E2034" w:rsidP="00864BA5">
            <w:pPr>
              <w:jc w:val="right"/>
              <w:rPr>
                <w:rFonts w:cs="Arial"/>
                <w:b/>
                <w:i/>
                <w:sz w:val="20"/>
              </w:rPr>
            </w:pPr>
            <w:r>
              <w:rPr>
                <w:rFonts w:cs="Arial"/>
                <w:b/>
                <w:i/>
                <w:sz w:val="20"/>
              </w:rPr>
              <w:t>(3,872)</w:t>
            </w:r>
          </w:p>
        </w:tc>
        <w:tc>
          <w:tcPr>
            <w:tcW w:w="1218" w:type="dxa"/>
            <w:tcBorders>
              <w:top w:val="single" w:sz="8" w:space="0" w:color="auto"/>
            </w:tcBorders>
          </w:tcPr>
          <w:p w14:paraId="182502E6" w14:textId="54945AD5" w:rsidR="00864BA5" w:rsidRPr="00F87219" w:rsidRDefault="008E2034" w:rsidP="00864BA5">
            <w:pPr>
              <w:jc w:val="right"/>
              <w:rPr>
                <w:rFonts w:cs="Arial"/>
                <w:b/>
                <w:i/>
                <w:sz w:val="20"/>
              </w:rPr>
            </w:pPr>
            <w:r>
              <w:rPr>
                <w:rFonts w:cs="Arial"/>
                <w:b/>
                <w:i/>
                <w:sz w:val="20"/>
              </w:rPr>
              <w:t>(4,588)</w:t>
            </w:r>
          </w:p>
        </w:tc>
        <w:tc>
          <w:tcPr>
            <w:tcW w:w="1218" w:type="dxa"/>
            <w:tcBorders>
              <w:top w:val="single" w:sz="8" w:space="0" w:color="auto"/>
            </w:tcBorders>
            <w:shd w:val="clear" w:color="auto" w:fill="C5E0B3" w:themeFill="accent6" w:themeFillTint="66"/>
          </w:tcPr>
          <w:p w14:paraId="5EED02B3" w14:textId="16F4DA20" w:rsidR="00864BA5" w:rsidRPr="000127EF" w:rsidRDefault="008E2034" w:rsidP="00864BA5">
            <w:pPr>
              <w:jc w:val="right"/>
              <w:rPr>
                <w:rFonts w:cs="Arial"/>
                <w:b/>
                <w:i/>
                <w:sz w:val="20"/>
              </w:rPr>
            </w:pPr>
            <w:r>
              <w:rPr>
                <w:rFonts w:cs="Arial"/>
                <w:b/>
                <w:i/>
                <w:sz w:val="20"/>
              </w:rPr>
              <w:t>(8,460)</w:t>
            </w:r>
          </w:p>
        </w:tc>
      </w:tr>
      <w:tr w:rsidR="00864BA5" w:rsidRPr="000127EF" w14:paraId="0161818E" w14:textId="77777777" w:rsidTr="00296B32">
        <w:tc>
          <w:tcPr>
            <w:tcW w:w="5783" w:type="dxa"/>
          </w:tcPr>
          <w:p w14:paraId="60CF14DB" w14:textId="77777777" w:rsidR="00864BA5" w:rsidRPr="000127EF" w:rsidRDefault="00864BA5" w:rsidP="00864BA5">
            <w:pPr>
              <w:ind w:left="624"/>
              <w:rPr>
                <w:rFonts w:cs="Arial"/>
                <w:i/>
                <w:sz w:val="20"/>
              </w:rPr>
            </w:pPr>
            <w:r w:rsidRPr="000127EF">
              <w:rPr>
                <w:rFonts w:cs="Arial"/>
                <w:i/>
                <w:sz w:val="20"/>
              </w:rPr>
              <w:t>Adjustments between accounting basis and funding basis under regulations (Note 13)</w:t>
            </w:r>
          </w:p>
        </w:tc>
        <w:tc>
          <w:tcPr>
            <w:tcW w:w="1217" w:type="dxa"/>
            <w:tcBorders>
              <w:bottom w:val="single" w:sz="8" w:space="0" w:color="auto"/>
            </w:tcBorders>
            <w:vAlign w:val="center"/>
          </w:tcPr>
          <w:p w14:paraId="0360050E" w14:textId="4830AA63" w:rsidR="00864BA5" w:rsidRPr="000127EF" w:rsidRDefault="008E2034" w:rsidP="00864BA5">
            <w:pPr>
              <w:jc w:val="right"/>
              <w:rPr>
                <w:rFonts w:cs="Arial"/>
                <w:i/>
                <w:sz w:val="20"/>
              </w:rPr>
            </w:pPr>
            <w:r>
              <w:rPr>
                <w:rFonts w:cs="Arial"/>
                <w:i/>
                <w:sz w:val="20"/>
              </w:rPr>
              <w:t>3,918</w:t>
            </w:r>
          </w:p>
        </w:tc>
        <w:tc>
          <w:tcPr>
            <w:tcW w:w="1250" w:type="dxa"/>
            <w:tcBorders>
              <w:bottom w:val="single" w:sz="8" w:space="0" w:color="auto"/>
            </w:tcBorders>
            <w:vAlign w:val="center"/>
          </w:tcPr>
          <w:p w14:paraId="15AEA85B" w14:textId="188B99E7" w:rsidR="00864BA5" w:rsidRPr="000127EF" w:rsidRDefault="008E2034" w:rsidP="00864BA5">
            <w:pPr>
              <w:jc w:val="right"/>
              <w:rPr>
                <w:rFonts w:cs="Arial"/>
                <w:i/>
                <w:sz w:val="20"/>
              </w:rPr>
            </w:pPr>
            <w:r>
              <w:rPr>
                <w:rFonts w:cs="Arial"/>
                <w:i/>
                <w:sz w:val="20"/>
              </w:rPr>
              <w:t>1,250</w:t>
            </w:r>
          </w:p>
        </w:tc>
        <w:tc>
          <w:tcPr>
            <w:tcW w:w="1218" w:type="dxa"/>
            <w:tcBorders>
              <w:bottom w:val="single" w:sz="8" w:space="0" w:color="auto"/>
            </w:tcBorders>
            <w:vAlign w:val="center"/>
          </w:tcPr>
          <w:p w14:paraId="687D5C5C" w14:textId="72ADB43E" w:rsidR="00864BA5" w:rsidRPr="000127EF" w:rsidRDefault="008E2034" w:rsidP="00864BA5">
            <w:pPr>
              <w:jc w:val="right"/>
              <w:rPr>
                <w:rFonts w:cs="Arial"/>
                <w:i/>
                <w:sz w:val="20"/>
              </w:rPr>
            </w:pPr>
            <w:r>
              <w:rPr>
                <w:rFonts w:cs="Arial"/>
                <w:i/>
                <w:sz w:val="20"/>
              </w:rPr>
              <w:t>95</w:t>
            </w:r>
          </w:p>
        </w:tc>
        <w:tc>
          <w:tcPr>
            <w:tcW w:w="1219" w:type="dxa"/>
            <w:tcBorders>
              <w:bottom w:val="single" w:sz="8" w:space="0" w:color="auto"/>
            </w:tcBorders>
            <w:vAlign w:val="center"/>
          </w:tcPr>
          <w:p w14:paraId="2C4D2331" w14:textId="40538BA3" w:rsidR="00864BA5" w:rsidRPr="000127EF" w:rsidRDefault="008E2034" w:rsidP="00864BA5">
            <w:pPr>
              <w:jc w:val="right"/>
              <w:rPr>
                <w:rFonts w:cs="Arial"/>
                <w:i/>
                <w:sz w:val="20"/>
              </w:rPr>
            </w:pPr>
            <w:r>
              <w:rPr>
                <w:rFonts w:cs="Arial"/>
                <w:i/>
                <w:sz w:val="20"/>
              </w:rPr>
              <w:t>321</w:t>
            </w:r>
          </w:p>
        </w:tc>
        <w:tc>
          <w:tcPr>
            <w:tcW w:w="1218" w:type="dxa"/>
            <w:tcBorders>
              <w:bottom w:val="single" w:sz="8" w:space="0" w:color="auto"/>
            </w:tcBorders>
            <w:vAlign w:val="center"/>
          </w:tcPr>
          <w:p w14:paraId="264BEC9D" w14:textId="64FFFD69" w:rsidR="00864BA5" w:rsidRPr="000127EF" w:rsidRDefault="008E2034" w:rsidP="00864BA5">
            <w:pPr>
              <w:jc w:val="right"/>
              <w:rPr>
                <w:rFonts w:cs="Arial"/>
                <w:i/>
                <w:sz w:val="20"/>
              </w:rPr>
            </w:pPr>
            <w:r>
              <w:rPr>
                <w:rFonts w:cs="Arial"/>
                <w:i/>
                <w:sz w:val="20"/>
              </w:rPr>
              <w:t>5,584</w:t>
            </w:r>
          </w:p>
        </w:tc>
        <w:tc>
          <w:tcPr>
            <w:tcW w:w="1218" w:type="dxa"/>
            <w:tcBorders>
              <w:bottom w:val="single" w:sz="8" w:space="0" w:color="auto"/>
            </w:tcBorders>
            <w:vAlign w:val="center"/>
          </w:tcPr>
          <w:p w14:paraId="49C10665" w14:textId="5A6D7BB6" w:rsidR="00864BA5" w:rsidRPr="00F87219" w:rsidRDefault="008E2034" w:rsidP="00864BA5">
            <w:pPr>
              <w:jc w:val="right"/>
              <w:rPr>
                <w:rFonts w:cs="Arial"/>
                <w:i/>
                <w:sz w:val="20"/>
              </w:rPr>
            </w:pPr>
            <w:r>
              <w:rPr>
                <w:rFonts w:cs="Arial"/>
                <w:i/>
                <w:sz w:val="20"/>
              </w:rPr>
              <w:t>(5,584)</w:t>
            </w:r>
          </w:p>
        </w:tc>
        <w:tc>
          <w:tcPr>
            <w:tcW w:w="1218" w:type="dxa"/>
            <w:tcBorders>
              <w:bottom w:val="single" w:sz="8" w:space="0" w:color="auto"/>
            </w:tcBorders>
            <w:shd w:val="clear" w:color="auto" w:fill="C5E0B3" w:themeFill="accent6" w:themeFillTint="66"/>
            <w:vAlign w:val="center"/>
          </w:tcPr>
          <w:p w14:paraId="0D1F35D9" w14:textId="4A60BA51" w:rsidR="00864BA5" w:rsidRPr="000127EF" w:rsidRDefault="008E2034" w:rsidP="00864BA5">
            <w:pPr>
              <w:tabs>
                <w:tab w:val="center" w:pos="706"/>
                <w:tab w:val="right" w:pos="1412"/>
              </w:tabs>
              <w:jc w:val="right"/>
              <w:rPr>
                <w:rFonts w:cs="Arial"/>
                <w:b/>
                <w:i/>
                <w:sz w:val="20"/>
              </w:rPr>
            </w:pPr>
            <w:r>
              <w:rPr>
                <w:rFonts w:cs="Arial"/>
                <w:b/>
                <w:i/>
                <w:sz w:val="20"/>
              </w:rPr>
              <w:t>-</w:t>
            </w:r>
          </w:p>
        </w:tc>
      </w:tr>
      <w:tr w:rsidR="00864BA5" w:rsidRPr="000127EF" w14:paraId="711F3E94" w14:textId="77777777" w:rsidTr="00296B32">
        <w:trPr>
          <w:trHeight w:val="529"/>
        </w:trPr>
        <w:tc>
          <w:tcPr>
            <w:tcW w:w="5783" w:type="dxa"/>
          </w:tcPr>
          <w:p w14:paraId="14B3CF26" w14:textId="77777777" w:rsidR="00864BA5" w:rsidRPr="000127EF" w:rsidRDefault="00864BA5" w:rsidP="00864BA5">
            <w:pPr>
              <w:rPr>
                <w:rFonts w:cs="Arial"/>
                <w:b/>
                <w:sz w:val="20"/>
              </w:rPr>
            </w:pPr>
            <w:r w:rsidRPr="000127EF">
              <w:rPr>
                <w:rFonts w:cs="Arial"/>
                <w:b/>
                <w:sz w:val="20"/>
              </w:rPr>
              <w:t>Net Increase/(Decrease)  before transfers to or from Earmarked Reserves</w:t>
            </w:r>
          </w:p>
        </w:tc>
        <w:tc>
          <w:tcPr>
            <w:tcW w:w="1217" w:type="dxa"/>
            <w:tcBorders>
              <w:top w:val="single" w:sz="8" w:space="0" w:color="auto"/>
              <w:bottom w:val="nil"/>
            </w:tcBorders>
          </w:tcPr>
          <w:p w14:paraId="511E9EE0" w14:textId="00A168A1" w:rsidR="00864BA5" w:rsidRPr="000127EF" w:rsidRDefault="008E2034" w:rsidP="00864BA5">
            <w:pPr>
              <w:jc w:val="right"/>
              <w:rPr>
                <w:rFonts w:cs="Arial"/>
                <w:i/>
                <w:sz w:val="20"/>
              </w:rPr>
            </w:pPr>
            <w:r>
              <w:rPr>
                <w:rFonts w:cs="Arial"/>
                <w:i/>
                <w:sz w:val="20"/>
              </w:rPr>
              <w:t>46</w:t>
            </w:r>
          </w:p>
        </w:tc>
        <w:tc>
          <w:tcPr>
            <w:tcW w:w="1250" w:type="dxa"/>
            <w:tcBorders>
              <w:top w:val="single" w:sz="8" w:space="0" w:color="auto"/>
              <w:bottom w:val="nil"/>
            </w:tcBorders>
          </w:tcPr>
          <w:p w14:paraId="1EC1D3F4" w14:textId="3E9BEA24" w:rsidR="00864BA5" w:rsidRPr="000127EF" w:rsidRDefault="008E2034" w:rsidP="00864BA5">
            <w:pPr>
              <w:jc w:val="right"/>
              <w:rPr>
                <w:rFonts w:cs="Arial"/>
                <w:i/>
                <w:sz w:val="20"/>
              </w:rPr>
            </w:pPr>
            <w:r>
              <w:rPr>
                <w:rFonts w:cs="Arial"/>
                <w:i/>
                <w:sz w:val="20"/>
              </w:rPr>
              <w:t>1,250</w:t>
            </w:r>
          </w:p>
        </w:tc>
        <w:tc>
          <w:tcPr>
            <w:tcW w:w="1218" w:type="dxa"/>
            <w:tcBorders>
              <w:top w:val="single" w:sz="8" w:space="0" w:color="auto"/>
              <w:bottom w:val="nil"/>
            </w:tcBorders>
          </w:tcPr>
          <w:p w14:paraId="0CECE7E6" w14:textId="0CE8A6C9" w:rsidR="00864BA5" w:rsidRPr="000127EF" w:rsidRDefault="008E2034" w:rsidP="00864BA5">
            <w:pPr>
              <w:jc w:val="right"/>
              <w:rPr>
                <w:rFonts w:cs="Arial"/>
                <w:i/>
                <w:sz w:val="20"/>
              </w:rPr>
            </w:pPr>
            <w:r>
              <w:rPr>
                <w:rFonts w:cs="Arial"/>
                <w:i/>
                <w:sz w:val="20"/>
              </w:rPr>
              <w:t>95</w:t>
            </w:r>
          </w:p>
        </w:tc>
        <w:tc>
          <w:tcPr>
            <w:tcW w:w="1219" w:type="dxa"/>
            <w:tcBorders>
              <w:top w:val="single" w:sz="8" w:space="0" w:color="auto"/>
              <w:bottom w:val="nil"/>
            </w:tcBorders>
          </w:tcPr>
          <w:p w14:paraId="77891521" w14:textId="6020CF7E" w:rsidR="00864BA5" w:rsidRPr="000127EF" w:rsidRDefault="008E2034" w:rsidP="00864BA5">
            <w:pPr>
              <w:jc w:val="right"/>
              <w:rPr>
                <w:rFonts w:cs="Arial"/>
                <w:i/>
                <w:sz w:val="20"/>
              </w:rPr>
            </w:pPr>
            <w:r>
              <w:rPr>
                <w:rFonts w:cs="Arial"/>
                <w:i/>
                <w:sz w:val="20"/>
              </w:rPr>
              <w:t>321</w:t>
            </w:r>
          </w:p>
        </w:tc>
        <w:tc>
          <w:tcPr>
            <w:tcW w:w="1218" w:type="dxa"/>
            <w:tcBorders>
              <w:top w:val="single" w:sz="8" w:space="0" w:color="auto"/>
              <w:bottom w:val="nil"/>
            </w:tcBorders>
          </w:tcPr>
          <w:p w14:paraId="60FC8421" w14:textId="4BA99F5A" w:rsidR="00864BA5" w:rsidRPr="000127EF" w:rsidRDefault="008E2034" w:rsidP="00864BA5">
            <w:pPr>
              <w:jc w:val="right"/>
              <w:rPr>
                <w:rFonts w:cs="Arial"/>
                <w:b/>
                <w:i/>
                <w:sz w:val="20"/>
              </w:rPr>
            </w:pPr>
            <w:r>
              <w:rPr>
                <w:rFonts w:cs="Arial"/>
                <w:b/>
                <w:i/>
                <w:sz w:val="20"/>
              </w:rPr>
              <w:t>1,712</w:t>
            </w:r>
          </w:p>
        </w:tc>
        <w:tc>
          <w:tcPr>
            <w:tcW w:w="1218" w:type="dxa"/>
            <w:tcBorders>
              <w:top w:val="single" w:sz="8" w:space="0" w:color="auto"/>
              <w:bottom w:val="nil"/>
            </w:tcBorders>
          </w:tcPr>
          <w:p w14:paraId="5265CA9E" w14:textId="352FE942" w:rsidR="00864BA5" w:rsidRPr="00F87219" w:rsidRDefault="008E2034" w:rsidP="00864BA5">
            <w:pPr>
              <w:jc w:val="right"/>
              <w:rPr>
                <w:rFonts w:cs="Arial"/>
                <w:i/>
                <w:sz w:val="20"/>
              </w:rPr>
            </w:pPr>
            <w:r>
              <w:rPr>
                <w:rFonts w:cs="Arial"/>
                <w:i/>
                <w:sz w:val="20"/>
              </w:rPr>
              <w:t>(10,172)</w:t>
            </w:r>
          </w:p>
        </w:tc>
        <w:tc>
          <w:tcPr>
            <w:tcW w:w="1218" w:type="dxa"/>
            <w:tcBorders>
              <w:top w:val="single" w:sz="8" w:space="0" w:color="auto"/>
              <w:bottom w:val="nil"/>
            </w:tcBorders>
            <w:shd w:val="clear" w:color="auto" w:fill="C5E0B3" w:themeFill="accent6" w:themeFillTint="66"/>
          </w:tcPr>
          <w:p w14:paraId="261AE711" w14:textId="7BD89435" w:rsidR="00864BA5" w:rsidRPr="000127EF" w:rsidRDefault="008E2034" w:rsidP="005C1C24">
            <w:pPr>
              <w:jc w:val="right"/>
              <w:rPr>
                <w:rFonts w:cs="Arial"/>
                <w:b/>
                <w:i/>
                <w:sz w:val="20"/>
              </w:rPr>
            </w:pPr>
            <w:r>
              <w:rPr>
                <w:rFonts w:cs="Arial"/>
                <w:b/>
                <w:i/>
                <w:sz w:val="20"/>
              </w:rPr>
              <w:t>(8,460)</w:t>
            </w:r>
          </w:p>
        </w:tc>
      </w:tr>
      <w:tr w:rsidR="00864BA5" w:rsidRPr="000127EF" w14:paraId="476AC9F7" w14:textId="77777777" w:rsidTr="00296B32">
        <w:tc>
          <w:tcPr>
            <w:tcW w:w="5783" w:type="dxa"/>
          </w:tcPr>
          <w:p w14:paraId="56B0B7F0" w14:textId="77777777" w:rsidR="00864BA5" w:rsidRPr="000127EF" w:rsidRDefault="00864BA5" w:rsidP="00864BA5">
            <w:pPr>
              <w:ind w:left="624"/>
              <w:rPr>
                <w:rFonts w:cs="Arial"/>
                <w:i/>
                <w:sz w:val="20"/>
              </w:rPr>
            </w:pPr>
            <w:r w:rsidRPr="000127EF">
              <w:rPr>
                <w:rFonts w:cs="Arial"/>
                <w:i/>
                <w:sz w:val="20"/>
              </w:rPr>
              <w:t>Transfers to / (from) Reserves</w:t>
            </w:r>
          </w:p>
          <w:p w14:paraId="548D5BE9" w14:textId="28A62A3A" w:rsidR="00864BA5" w:rsidRPr="000127EF" w:rsidRDefault="00864BA5" w:rsidP="00864BA5">
            <w:pPr>
              <w:rPr>
                <w:rFonts w:cs="Arial"/>
                <w:sz w:val="20"/>
              </w:rPr>
            </w:pPr>
            <w:r w:rsidRPr="000127EF">
              <w:rPr>
                <w:rFonts w:cs="Arial"/>
                <w:b/>
                <w:sz w:val="20"/>
              </w:rPr>
              <w:t>Increase/(Decrease) in 201</w:t>
            </w:r>
            <w:r>
              <w:rPr>
                <w:rFonts w:cs="Arial"/>
                <w:b/>
                <w:sz w:val="20"/>
              </w:rPr>
              <w:t>8</w:t>
            </w:r>
            <w:r w:rsidRPr="000127EF">
              <w:rPr>
                <w:rFonts w:cs="Arial"/>
                <w:b/>
                <w:sz w:val="20"/>
              </w:rPr>
              <w:t>/</w:t>
            </w:r>
            <w:r>
              <w:rPr>
                <w:rFonts w:cs="Arial"/>
                <w:b/>
                <w:sz w:val="20"/>
              </w:rPr>
              <w:t>19</w:t>
            </w:r>
          </w:p>
        </w:tc>
        <w:tc>
          <w:tcPr>
            <w:tcW w:w="1217" w:type="dxa"/>
            <w:tcBorders>
              <w:top w:val="nil"/>
              <w:bottom w:val="single" w:sz="4" w:space="0" w:color="auto"/>
            </w:tcBorders>
          </w:tcPr>
          <w:p w14:paraId="4E0BDECC" w14:textId="10206F3C" w:rsidR="00864BA5" w:rsidRPr="000127EF" w:rsidRDefault="008E2034" w:rsidP="008E2034">
            <w:pPr>
              <w:jc w:val="right"/>
              <w:rPr>
                <w:rFonts w:cs="Arial"/>
                <w:i/>
                <w:sz w:val="20"/>
              </w:rPr>
            </w:pPr>
            <w:r>
              <w:rPr>
                <w:rFonts w:cs="Arial"/>
                <w:i/>
                <w:sz w:val="20"/>
              </w:rPr>
              <w:t>(61)</w:t>
            </w:r>
          </w:p>
        </w:tc>
        <w:tc>
          <w:tcPr>
            <w:tcW w:w="1250" w:type="dxa"/>
            <w:tcBorders>
              <w:top w:val="nil"/>
              <w:bottom w:val="single" w:sz="4" w:space="0" w:color="auto"/>
            </w:tcBorders>
          </w:tcPr>
          <w:p w14:paraId="386F1A31" w14:textId="7E723BE5" w:rsidR="00864BA5" w:rsidRPr="000127EF" w:rsidRDefault="008E2034" w:rsidP="00864BA5">
            <w:pPr>
              <w:jc w:val="right"/>
              <w:rPr>
                <w:rFonts w:cs="Arial"/>
                <w:i/>
                <w:sz w:val="20"/>
              </w:rPr>
            </w:pPr>
            <w:r>
              <w:rPr>
                <w:rFonts w:cs="Arial"/>
                <w:i/>
                <w:sz w:val="20"/>
              </w:rPr>
              <w:t>61</w:t>
            </w:r>
          </w:p>
        </w:tc>
        <w:tc>
          <w:tcPr>
            <w:tcW w:w="1218" w:type="dxa"/>
            <w:tcBorders>
              <w:top w:val="nil"/>
              <w:bottom w:val="single" w:sz="4" w:space="0" w:color="auto"/>
            </w:tcBorders>
          </w:tcPr>
          <w:p w14:paraId="194C9ABA" w14:textId="54533506" w:rsidR="00864BA5" w:rsidRPr="000127EF" w:rsidRDefault="008E2034" w:rsidP="00864BA5">
            <w:pPr>
              <w:jc w:val="right"/>
              <w:rPr>
                <w:rFonts w:cs="Arial"/>
                <w:i/>
                <w:sz w:val="20"/>
              </w:rPr>
            </w:pPr>
            <w:r>
              <w:rPr>
                <w:rFonts w:cs="Arial"/>
                <w:i/>
                <w:sz w:val="20"/>
              </w:rPr>
              <w:t>-</w:t>
            </w:r>
          </w:p>
        </w:tc>
        <w:tc>
          <w:tcPr>
            <w:tcW w:w="1219" w:type="dxa"/>
            <w:tcBorders>
              <w:top w:val="nil"/>
              <w:bottom w:val="single" w:sz="4" w:space="0" w:color="auto"/>
            </w:tcBorders>
          </w:tcPr>
          <w:p w14:paraId="2AD88BA4" w14:textId="65C50876" w:rsidR="00864BA5" w:rsidRPr="000127EF" w:rsidRDefault="008E2034" w:rsidP="00864BA5">
            <w:pPr>
              <w:jc w:val="right"/>
              <w:rPr>
                <w:rFonts w:cs="Arial"/>
                <w:i/>
                <w:sz w:val="20"/>
              </w:rPr>
            </w:pPr>
            <w:r>
              <w:rPr>
                <w:rFonts w:cs="Arial"/>
                <w:i/>
                <w:sz w:val="20"/>
              </w:rPr>
              <w:t>-</w:t>
            </w:r>
          </w:p>
        </w:tc>
        <w:tc>
          <w:tcPr>
            <w:tcW w:w="1218" w:type="dxa"/>
            <w:tcBorders>
              <w:top w:val="nil"/>
              <w:bottom w:val="single" w:sz="4" w:space="0" w:color="auto"/>
            </w:tcBorders>
          </w:tcPr>
          <w:p w14:paraId="5071E3A6" w14:textId="4553235A" w:rsidR="00864BA5" w:rsidRPr="000127EF" w:rsidRDefault="008E2034" w:rsidP="00864BA5">
            <w:pPr>
              <w:jc w:val="right"/>
              <w:rPr>
                <w:rFonts w:cs="Arial"/>
                <w:b/>
                <w:i/>
                <w:sz w:val="20"/>
              </w:rPr>
            </w:pPr>
            <w:r>
              <w:rPr>
                <w:rFonts w:cs="Arial"/>
                <w:b/>
                <w:i/>
                <w:sz w:val="20"/>
              </w:rPr>
              <w:t>-</w:t>
            </w:r>
          </w:p>
        </w:tc>
        <w:tc>
          <w:tcPr>
            <w:tcW w:w="1218" w:type="dxa"/>
            <w:tcBorders>
              <w:top w:val="nil"/>
              <w:bottom w:val="single" w:sz="4" w:space="0" w:color="auto"/>
            </w:tcBorders>
          </w:tcPr>
          <w:p w14:paraId="3C3745AD" w14:textId="0A145149" w:rsidR="00864BA5" w:rsidRPr="00F87219" w:rsidRDefault="008E2034" w:rsidP="00864BA5">
            <w:pPr>
              <w:jc w:val="right"/>
              <w:rPr>
                <w:rFonts w:cs="Arial"/>
                <w:i/>
                <w:sz w:val="20"/>
              </w:rPr>
            </w:pPr>
            <w:r>
              <w:rPr>
                <w:rFonts w:cs="Arial"/>
                <w:i/>
                <w:sz w:val="20"/>
              </w:rPr>
              <w:t>-</w:t>
            </w:r>
          </w:p>
        </w:tc>
        <w:tc>
          <w:tcPr>
            <w:tcW w:w="1218" w:type="dxa"/>
            <w:tcBorders>
              <w:top w:val="nil"/>
              <w:bottom w:val="single" w:sz="4" w:space="0" w:color="auto"/>
            </w:tcBorders>
            <w:shd w:val="clear" w:color="auto" w:fill="C5E0B3" w:themeFill="accent6" w:themeFillTint="66"/>
          </w:tcPr>
          <w:p w14:paraId="2F78C6AE" w14:textId="3EBAACD7" w:rsidR="00864BA5" w:rsidRPr="000127EF" w:rsidRDefault="008E2034" w:rsidP="00864BA5">
            <w:pPr>
              <w:jc w:val="right"/>
              <w:rPr>
                <w:rFonts w:cs="Arial"/>
                <w:b/>
                <w:i/>
                <w:sz w:val="20"/>
              </w:rPr>
            </w:pPr>
            <w:r>
              <w:rPr>
                <w:rFonts w:cs="Arial"/>
                <w:b/>
                <w:i/>
                <w:sz w:val="20"/>
              </w:rPr>
              <w:t>-</w:t>
            </w:r>
          </w:p>
        </w:tc>
      </w:tr>
      <w:tr w:rsidR="00864BA5" w:rsidRPr="000127EF" w14:paraId="2E88D401" w14:textId="77777777" w:rsidTr="00296B32">
        <w:tc>
          <w:tcPr>
            <w:tcW w:w="5783" w:type="dxa"/>
          </w:tcPr>
          <w:p w14:paraId="66D2F0E1" w14:textId="77777777" w:rsidR="00864BA5" w:rsidRPr="000127EF" w:rsidRDefault="00864BA5" w:rsidP="00864BA5">
            <w:pPr>
              <w:rPr>
                <w:rFonts w:cs="Arial"/>
                <w:b/>
                <w:sz w:val="20"/>
              </w:rPr>
            </w:pPr>
          </w:p>
        </w:tc>
        <w:tc>
          <w:tcPr>
            <w:tcW w:w="1217" w:type="dxa"/>
            <w:tcBorders>
              <w:top w:val="single" w:sz="4" w:space="0" w:color="auto"/>
              <w:bottom w:val="single" w:sz="4" w:space="0" w:color="auto"/>
            </w:tcBorders>
          </w:tcPr>
          <w:p w14:paraId="456FD402" w14:textId="18636F30" w:rsidR="00864BA5" w:rsidRPr="000127EF" w:rsidRDefault="008E2034" w:rsidP="00864BA5">
            <w:pPr>
              <w:jc w:val="right"/>
              <w:rPr>
                <w:rFonts w:cs="Arial"/>
                <w:b/>
                <w:i/>
                <w:sz w:val="20"/>
              </w:rPr>
            </w:pPr>
            <w:r>
              <w:rPr>
                <w:rFonts w:cs="Arial"/>
                <w:b/>
                <w:i/>
                <w:sz w:val="20"/>
              </w:rPr>
              <w:t>(15)</w:t>
            </w:r>
          </w:p>
        </w:tc>
        <w:tc>
          <w:tcPr>
            <w:tcW w:w="1250" w:type="dxa"/>
            <w:tcBorders>
              <w:top w:val="single" w:sz="4" w:space="0" w:color="auto"/>
              <w:bottom w:val="single" w:sz="4" w:space="0" w:color="auto"/>
            </w:tcBorders>
          </w:tcPr>
          <w:p w14:paraId="6E253C9F" w14:textId="7F70B1B4" w:rsidR="00864BA5" w:rsidRPr="000127EF" w:rsidRDefault="008E2034" w:rsidP="00864BA5">
            <w:pPr>
              <w:jc w:val="right"/>
              <w:rPr>
                <w:rFonts w:cs="Arial"/>
                <w:b/>
                <w:i/>
                <w:sz w:val="20"/>
              </w:rPr>
            </w:pPr>
            <w:r>
              <w:rPr>
                <w:rFonts w:cs="Arial"/>
                <w:b/>
                <w:i/>
                <w:sz w:val="20"/>
              </w:rPr>
              <w:t>1,311</w:t>
            </w:r>
          </w:p>
        </w:tc>
        <w:tc>
          <w:tcPr>
            <w:tcW w:w="1218" w:type="dxa"/>
            <w:tcBorders>
              <w:top w:val="single" w:sz="4" w:space="0" w:color="auto"/>
              <w:bottom w:val="single" w:sz="4" w:space="0" w:color="auto"/>
            </w:tcBorders>
          </w:tcPr>
          <w:p w14:paraId="25938F2F" w14:textId="17261660" w:rsidR="00864BA5" w:rsidRPr="000127EF" w:rsidRDefault="008E2034" w:rsidP="00864BA5">
            <w:pPr>
              <w:jc w:val="right"/>
              <w:rPr>
                <w:rFonts w:cs="Arial"/>
                <w:b/>
                <w:i/>
                <w:sz w:val="20"/>
              </w:rPr>
            </w:pPr>
            <w:r>
              <w:rPr>
                <w:rFonts w:cs="Arial"/>
                <w:b/>
                <w:i/>
                <w:sz w:val="20"/>
              </w:rPr>
              <w:t>95</w:t>
            </w:r>
          </w:p>
        </w:tc>
        <w:tc>
          <w:tcPr>
            <w:tcW w:w="1219" w:type="dxa"/>
            <w:tcBorders>
              <w:top w:val="single" w:sz="4" w:space="0" w:color="auto"/>
              <w:bottom w:val="single" w:sz="4" w:space="0" w:color="auto"/>
            </w:tcBorders>
          </w:tcPr>
          <w:p w14:paraId="28E8B573" w14:textId="52E28217" w:rsidR="00864BA5" w:rsidRPr="000127EF" w:rsidRDefault="008E2034" w:rsidP="00864BA5">
            <w:pPr>
              <w:jc w:val="right"/>
              <w:rPr>
                <w:rFonts w:cs="Arial"/>
                <w:b/>
                <w:i/>
                <w:sz w:val="20"/>
              </w:rPr>
            </w:pPr>
            <w:r>
              <w:rPr>
                <w:rFonts w:cs="Arial"/>
                <w:b/>
                <w:i/>
                <w:sz w:val="20"/>
              </w:rPr>
              <w:t>321</w:t>
            </w:r>
          </w:p>
        </w:tc>
        <w:tc>
          <w:tcPr>
            <w:tcW w:w="1218" w:type="dxa"/>
            <w:tcBorders>
              <w:top w:val="single" w:sz="4" w:space="0" w:color="auto"/>
              <w:bottom w:val="single" w:sz="4" w:space="0" w:color="auto"/>
            </w:tcBorders>
          </w:tcPr>
          <w:p w14:paraId="0285B92C" w14:textId="217FFD80" w:rsidR="00864BA5" w:rsidRPr="000127EF" w:rsidRDefault="008E2034" w:rsidP="00864BA5">
            <w:pPr>
              <w:jc w:val="right"/>
              <w:rPr>
                <w:rFonts w:cs="Arial"/>
                <w:b/>
                <w:i/>
                <w:sz w:val="20"/>
              </w:rPr>
            </w:pPr>
            <w:r>
              <w:rPr>
                <w:rFonts w:cs="Arial"/>
                <w:b/>
                <w:i/>
                <w:sz w:val="20"/>
              </w:rPr>
              <w:t>1,712</w:t>
            </w:r>
          </w:p>
        </w:tc>
        <w:tc>
          <w:tcPr>
            <w:tcW w:w="1218" w:type="dxa"/>
            <w:tcBorders>
              <w:top w:val="single" w:sz="4" w:space="0" w:color="auto"/>
              <w:bottom w:val="single" w:sz="4" w:space="0" w:color="auto"/>
            </w:tcBorders>
          </w:tcPr>
          <w:p w14:paraId="5F1D8FE5" w14:textId="487F1BDC" w:rsidR="00864BA5" w:rsidRPr="00F87219" w:rsidRDefault="008E2034" w:rsidP="00F87219">
            <w:pPr>
              <w:jc w:val="right"/>
              <w:rPr>
                <w:rFonts w:cs="Arial"/>
                <w:b/>
                <w:i/>
                <w:sz w:val="20"/>
              </w:rPr>
            </w:pPr>
            <w:r>
              <w:rPr>
                <w:rFonts w:cs="Arial"/>
                <w:b/>
                <w:i/>
                <w:sz w:val="20"/>
              </w:rPr>
              <w:t>(10,172)</w:t>
            </w:r>
          </w:p>
        </w:tc>
        <w:tc>
          <w:tcPr>
            <w:tcW w:w="1218" w:type="dxa"/>
            <w:tcBorders>
              <w:top w:val="single" w:sz="4" w:space="0" w:color="auto"/>
              <w:bottom w:val="single" w:sz="4" w:space="0" w:color="auto"/>
            </w:tcBorders>
            <w:shd w:val="clear" w:color="auto" w:fill="C5E0B3" w:themeFill="accent6" w:themeFillTint="66"/>
          </w:tcPr>
          <w:p w14:paraId="0C2625E7" w14:textId="1A858A0D" w:rsidR="00864BA5" w:rsidRPr="000127EF" w:rsidRDefault="008E2034" w:rsidP="00F87219">
            <w:pPr>
              <w:jc w:val="right"/>
              <w:rPr>
                <w:rFonts w:cs="Arial"/>
                <w:b/>
                <w:i/>
                <w:sz w:val="20"/>
              </w:rPr>
            </w:pPr>
            <w:r>
              <w:rPr>
                <w:rFonts w:cs="Arial"/>
                <w:b/>
                <w:i/>
                <w:sz w:val="20"/>
              </w:rPr>
              <w:t>(8,460)</w:t>
            </w:r>
          </w:p>
        </w:tc>
      </w:tr>
      <w:tr w:rsidR="00864BA5" w:rsidRPr="000127EF" w14:paraId="282CEBB7" w14:textId="77777777" w:rsidTr="00296B32">
        <w:trPr>
          <w:trHeight w:val="351"/>
        </w:trPr>
        <w:tc>
          <w:tcPr>
            <w:tcW w:w="5783" w:type="dxa"/>
            <w:vAlign w:val="center"/>
          </w:tcPr>
          <w:p w14:paraId="5239EFF9" w14:textId="0EDB9C25" w:rsidR="00864BA5" w:rsidRPr="000127EF" w:rsidRDefault="00864BA5" w:rsidP="00864BA5">
            <w:pPr>
              <w:rPr>
                <w:rFonts w:cs="Arial"/>
                <w:b/>
                <w:sz w:val="20"/>
              </w:rPr>
            </w:pPr>
            <w:r>
              <w:rPr>
                <w:rFonts w:cs="Arial"/>
                <w:b/>
                <w:sz w:val="20"/>
              </w:rPr>
              <w:t>Balance 31 March 2019</w:t>
            </w:r>
          </w:p>
        </w:tc>
        <w:tc>
          <w:tcPr>
            <w:tcW w:w="1217" w:type="dxa"/>
            <w:tcBorders>
              <w:top w:val="single" w:sz="4" w:space="0" w:color="auto"/>
              <w:bottom w:val="single" w:sz="4" w:space="0" w:color="auto"/>
            </w:tcBorders>
            <w:vAlign w:val="center"/>
          </w:tcPr>
          <w:p w14:paraId="13B7F37C" w14:textId="47D64031" w:rsidR="00864BA5" w:rsidRPr="000127EF" w:rsidRDefault="008E2034" w:rsidP="00864BA5">
            <w:pPr>
              <w:jc w:val="right"/>
              <w:rPr>
                <w:rFonts w:cs="Arial"/>
                <w:b/>
                <w:i/>
                <w:sz w:val="20"/>
              </w:rPr>
            </w:pPr>
            <w:r>
              <w:rPr>
                <w:rFonts w:cs="Arial"/>
                <w:b/>
                <w:i/>
                <w:sz w:val="20"/>
              </w:rPr>
              <w:t>8,964</w:t>
            </w:r>
          </w:p>
        </w:tc>
        <w:tc>
          <w:tcPr>
            <w:tcW w:w="1250" w:type="dxa"/>
            <w:tcBorders>
              <w:top w:val="single" w:sz="4" w:space="0" w:color="auto"/>
              <w:bottom w:val="single" w:sz="4" w:space="0" w:color="auto"/>
            </w:tcBorders>
            <w:vAlign w:val="center"/>
          </w:tcPr>
          <w:p w14:paraId="13048F3A" w14:textId="3DC4DE1C" w:rsidR="00864BA5" w:rsidRPr="000127EF" w:rsidRDefault="008E2034" w:rsidP="00864BA5">
            <w:pPr>
              <w:jc w:val="right"/>
              <w:rPr>
                <w:rFonts w:cs="Arial"/>
                <w:b/>
                <w:i/>
                <w:sz w:val="20"/>
              </w:rPr>
            </w:pPr>
            <w:r>
              <w:rPr>
                <w:rFonts w:cs="Arial"/>
                <w:b/>
                <w:i/>
                <w:sz w:val="20"/>
              </w:rPr>
              <w:t>12,575</w:t>
            </w:r>
          </w:p>
        </w:tc>
        <w:tc>
          <w:tcPr>
            <w:tcW w:w="1218" w:type="dxa"/>
            <w:tcBorders>
              <w:top w:val="single" w:sz="4" w:space="0" w:color="auto"/>
              <w:bottom w:val="single" w:sz="4" w:space="0" w:color="auto"/>
            </w:tcBorders>
            <w:vAlign w:val="center"/>
          </w:tcPr>
          <w:p w14:paraId="30F759DF" w14:textId="2B3529A2" w:rsidR="00864BA5" w:rsidRPr="000127EF" w:rsidRDefault="008E2034" w:rsidP="00864BA5">
            <w:pPr>
              <w:jc w:val="right"/>
              <w:rPr>
                <w:rFonts w:cs="Arial"/>
                <w:b/>
                <w:i/>
                <w:sz w:val="20"/>
              </w:rPr>
            </w:pPr>
            <w:r>
              <w:rPr>
                <w:rFonts w:cs="Arial"/>
                <w:b/>
                <w:i/>
                <w:sz w:val="20"/>
              </w:rPr>
              <w:t>1,442</w:t>
            </w:r>
          </w:p>
        </w:tc>
        <w:tc>
          <w:tcPr>
            <w:tcW w:w="1219" w:type="dxa"/>
            <w:tcBorders>
              <w:top w:val="single" w:sz="4" w:space="0" w:color="auto"/>
              <w:bottom w:val="single" w:sz="4" w:space="0" w:color="auto"/>
            </w:tcBorders>
            <w:vAlign w:val="center"/>
          </w:tcPr>
          <w:p w14:paraId="1C3F8386" w14:textId="26AFA29F" w:rsidR="00864BA5" w:rsidRPr="000127EF" w:rsidRDefault="008E2034" w:rsidP="00864BA5">
            <w:pPr>
              <w:jc w:val="right"/>
              <w:rPr>
                <w:rFonts w:cs="Arial"/>
                <w:b/>
                <w:i/>
                <w:sz w:val="20"/>
              </w:rPr>
            </w:pPr>
            <w:r>
              <w:rPr>
                <w:rFonts w:cs="Arial"/>
                <w:b/>
                <w:i/>
                <w:sz w:val="20"/>
              </w:rPr>
              <w:t>6,607</w:t>
            </w:r>
          </w:p>
        </w:tc>
        <w:tc>
          <w:tcPr>
            <w:tcW w:w="1218" w:type="dxa"/>
            <w:tcBorders>
              <w:top w:val="single" w:sz="4" w:space="0" w:color="auto"/>
              <w:bottom w:val="single" w:sz="4" w:space="0" w:color="auto"/>
            </w:tcBorders>
            <w:vAlign w:val="center"/>
          </w:tcPr>
          <w:p w14:paraId="4BA57868" w14:textId="462CEE1E" w:rsidR="00864BA5" w:rsidRPr="000127EF" w:rsidRDefault="008E2034" w:rsidP="00864BA5">
            <w:pPr>
              <w:jc w:val="right"/>
              <w:rPr>
                <w:rFonts w:cs="Arial"/>
                <w:b/>
                <w:i/>
                <w:sz w:val="20"/>
              </w:rPr>
            </w:pPr>
            <w:r>
              <w:rPr>
                <w:rFonts w:cs="Arial"/>
                <w:b/>
                <w:i/>
                <w:sz w:val="20"/>
              </w:rPr>
              <w:t>29,588</w:t>
            </w:r>
          </w:p>
        </w:tc>
        <w:tc>
          <w:tcPr>
            <w:tcW w:w="1218" w:type="dxa"/>
            <w:tcBorders>
              <w:top w:val="single" w:sz="4" w:space="0" w:color="auto"/>
              <w:bottom w:val="single" w:sz="4" w:space="0" w:color="auto"/>
            </w:tcBorders>
            <w:vAlign w:val="center"/>
          </w:tcPr>
          <w:p w14:paraId="2609079F" w14:textId="4F5CA58E" w:rsidR="00864BA5" w:rsidRPr="008E2034" w:rsidRDefault="008E2034" w:rsidP="00864BA5">
            <w:pPr>
              <w:jc w:val="right"/>
              <w:rPr>
                <w:rFonts w:cs="Arial"/>
                <w:b/>
                <w:i/>
                <w:sz w:val="20"/>
              </w:rPr>
            </w:pPr>
            <w:r w:rsidRPr="008E2034">
              <w:rPr>
                <w:rFonts w:cs="Arial"/>
                <w:b/>
                <w:i/>
                <w:sz w:val="20"/>
              </w:rPr>
              <w:t>2,459</w:t>
            </w:r>
          </w:p>
        </w:tc>
        <w:tc>
          <w:tcPr>
            <w:tcW w:w="1218" w:type="dxa"/>
            <w:tcBorders>
              <w:top w:val="single" w:sz="4" w:space="0" w:color="auto"/>
              <w:bottom w:val="single" w:sz="4" w:space="0" w:color="auto"/>
            </w:tcBorders>
            <w:shd w:val="clear" w:color="auto" w:fill="C5E0B3" w:themeFill="accent6" w:themeFillTint="66"/>
            <w:vAlign w:val="center"/>
          </w:tcPr>
          <w:p w14:paraId="4376306F" w14:textId="100DD550" w:rsidR="00864BA5" w:rsidRPr="000127EF" w:rsidRDefault="008E2034" w:rsidP="00864BA5">
            <w:pPr>
              <w:jc w:val="right"/>
              <w:rPr>
                <w:rFonts w:cs="Arial"/>
                <w:b/>
                <w:i/>
                <w:sz w:val="20"/>
              </w:rPr>
            </w:pPr>
            <w:r>
              <w:rPr>
                <w:rFonts w:cs="Arial"/>
                <w:b/>
                <w:i/>
                <w:sz w:val="20"/>
              </w:rPr>
              <w:t>32,047</w:t>
            </w:r>
          </w:p>
        </w:tc>
      </w:tr>
      <w:tr w:rsidR="007E28E3" w:rsidRPr="000127EF" w14:paraId="513A5025" w14:textId="77777777" w:rsidTr="00296B32">
        <w:tc>
          <w:tcPr>
            <w:tcW w:w="5783" w:type="dxa"/>
          </w:tcPr>
          <w:p w14:paraId="5E5B99B4" w14:textId="77777777" w:rsidR="007E28E3" w:rsidRPr="000127EF" w:rsidRDefault="007E28E3" w:rsidP="007E28E3">
            <w:pPr>
              <w:rPr>
                <w:rFonts w:cs="Arial"/>
                <w:sz w:val="20"/>
              </w:rPr>
            </w:pPr>
          </w:p>
        </w:tc>
        <w:tc>
          <w:tcPr>
            <w:tcW w:w="1217" w:type="dxa"/>
            <w:tcBorders>
              <w:top w:val="single" w:sz="4" w:space="0" w:color="auto"/>
            </w:tcBorders>
          </w:tcPr>
          <w:p w14:paraId="7B248081" w14:textId="77777777" w:rsidR="007E28E3" w:rsidRPr="000127EF" w:rsidRDefault="007E28E3" w:rsidP="007E28E3">
            <w:pPr>
              <w:jc w:val="right"/>
              <w:rPr>
                <w:rFonts w:cs="Arial"/>
                <w:sz w:val="20"/>
              </w:rPr>
            </w:pPr>
          </w:p>
        </w:tc>
        <w:tc>
          <w:tcPr>
            <w:tcW w:w="1250" w:type="dxa"/>
            <w:tcBorders>
              <w:top w:val="single" w:sz="4" w:space="0" w:color="auto"/>
            </w:tcBorders>
          </w:tcPr>
          <w:p w14:paraId="4262C734" w14:textId="77777777" w:rsidR="007E28E3" w:rsidRPr="000127EF" w:rsidRDefault="007E28E3" w:rsidP="007E28E3">
            <w:pPr>
              <w:jc w:val="right"/>
              <w:rPr>
                <w:rFonts w:cs="Arial"/>
                <w:sz w:val="20"/>
              </w:rPr>
            </w:pPr>
          </w:p>
        </w:tc>
        <w:tc>
          <w:tcPr>
            <w:tcW w:w="1218" w:type="dxa"/>
            <w:tcBorders>
              <w:top w:val="single" w:sz="4" w:space="0" w:color="auto"/>
            </w:tcBorders>
          </w:tcPr>
          <w:p w14:paraId="6280F6EC" w14:textId="77777777" w:rsidR="007E28E3" w:rsidRPr="000127EF" w:rsidRDefault="007E28E3" w:rsidP="007E28E3">
            <w:pPr>
              <w:jc w:val="right"/>
              <w:rPr>
                <w:rFonts w:cs="Arial"/>
                <w:sz w:val="20"/>
              </w:rPr>
            </w:pPr>
          </w:p>
        </w:tc>
        <w:tc>
          <w:tcPr>
            <w:tcW w:w="1219" w:type="dxa"/>
            <w:tcBorders>
              <w:top w:val="single" w:sz="4" w:space="0" w:color="auto"/>
            </w:tcBorders>
          </w:tcPr>
          <w:p w14:paraId="088D9E32" w14:textId="77777777" w:rsidR="007E28E3" w:rsidRPr="000127EF" w:rsidRDefault="007E28E3" w:rsidP="007E28E3">
            <w:pPr>
              <w:jc w:val="right"/>
              <w:rPr>
                <w:rFonts w:cs="Arial"/>
                <w:sz w:val="20"/>
              </w:rPr>
            </w:pPr>
          </w:p>
        </w:tc>
        <w:tc>
          <w:tcPr>
            <w:tcW w:w="1218" w:type="dxa"/>
            <w:tcBorders>
              <w:top w:val="single" w:sz="4" w:space="0" w:color="auto"/>
            </w:tcBorders>
          </w:tcPr>
          <w:p w14:paraId="3BFA8B34" w14:textId="77777777" w:rsidR="007E28E3" w:rsidRPr="000127EF" w:rsidRDefault="007E28E3" w:rsidP="007E28E3">
            <w:pPr>
              <w:jc w:val="right"/>
              <w:rPr>
                <w:rFonts w:cs="Arial"/>
                <w:b/>
                <w:sz w:val="20"/>
              </w:rPr>
            </w:pPr>
          </w:p>
        </w:tc>
        <w:tc>
          <w:tcPr>
            <w:tcW w:w="1218" w:type="dxa"/>
            <w:tcBorders>
              <w:top w:val="single" w:sz="4" w:space="0" w:color="auto"/>
            </w:tcBorders>
          </w:tcPr>
          <w:p w14:paraId="15BB15B9" w14:textId="77777777" w:rsidR="007E28E3" w:rsidRPr="008E2034" w:rsidRDefault="007E28E3" w:rsidP="007E28E3">
            <w:pPr>
              <w:jc w:val="right"/>
              <w:rPr>
                <w:rFonts w:cs="Arial"/>
                <w:sz w:val="20"/>
              </w:rPr>
            </w:pPr>
          </w:p>
        </w:tc>
        <w:tc>
          <w:tcPr>
            <w:tcW w:w="1218" w:type="dxa"/>
            <w:tcBorders>
              <w:top w:val="single" w:sz="4" w:space="0" w:color="auto"/>
            </w:tcBorders>
            <w:shd w:val="clear" w:color="auto" w:fill="C5E0B3" w:themeFill="accent6" w:themeFillTint="66"/>
          </w:tcPr>
          <w:p w14:paraId="453D06CA" w14:textId="77777777" w:rsidR="007E28E3" w:rsidRPr="000127EF" w:rsidRDefault="007E28E3" w:rsidP="007E28E3">
            <w:pPr>
              <w:jc w:val="right"/>
              <w:rPr>
                <w:rFonts w:cs="Arial"/>
                <w:b/>
                <w:sz w:val="20"/>
              </w:rPr>
            </w:pPr>
          </w:p>
        </w:tc>
      </w:tr>
      <w:tr w:rsidR="00D24533" w:rsidRPr="000127EF" w14:paraId="591F080C" w14:textId="77777777" w:rsidTr="00215793">
        <w:tc>
          <w:tcPr>
            <w:tcW w:w="5783" w:type="dxa"/>
          </w:tcPr>
          <w:p w14:paraId="45217056" w14:textId="42AB2A6B" w:rsidR="00D24533" w:rsidRPr="008D3FC4" w:rsidRDefault="00B23AA1" w:rsidP="00D24533">
            <w:pPr>
              <w:rPr>
                <w:rFonts w:cs="Arial"/>
                <w:b/>
                <w:sz w:val="20"/>
              </w:rPr>
            </w:pPr>
            <w:r w:rsidRPr="008D3FC4">
              <w:rPr>
                <w:rFonts w:cs="Arial"/>
                <w:b/>
                <w:sz w:val="20"/>
              </w:rPr>
              <w:t>Balance 1 April 2019</w:t>
            </w:r>
          </w:p>
        </w:tc>
        <w:tc>
          <w:tcPr>
            <w:tcW w:w="1217" w:type="dxa"/>
            <w:vAlign w:val="center"/>
          </w:tcPr>
          <w:p w14:paraId="2EDF655D" w14:textId="48139167" w:rsidR="00D24533" w:rsidRPr="008D3FC4" w:rsidRDefault="008E2034" w:rsidP="00B82C5C">
            <w:pPr>
              <w:jc w:val="right"/>
              <w:rPr>
                <w:rFonts w:cs="Arial"/>
                <w:b/>
                <w:sz w:val="20"/>
              </w:rPr>
            </w:pPr>
            <w:r>
              <w:rPr>
                <w:rFonts w:cs="Arial"/>
                <w:b/>
                <w:sz w:val="20"/>
              </w:rPr>
              <w:t>8,964</w:t>
            </w:r>
          </w:p>
        </w:tc>
        <w:tc>
          <w:tcPr>
            <w:tcW w:w="1250" w:type="dxa"/>
            <w:vAlign w:val="center"/>
          </w:tcPr>
          <w:p w14:paraId="4B407D9F" w14:textId="485648A8" w:rsidR="00D24533" w:rsidRPr="008D3FC4" w:rsidRDefault="007F6BE7" w:rsidP="00D24533">
            <w:pPr>
              <w:jc w:val="right"/>
              <w:rPr>
                <w:rFonts w:cs="Arial"/>
                <w:b/>
                <w:sz w:val="20"/>
              </w:rPr>
            </w:pPr>
            <w:r w:rsidRPr="008D3FC4">
              <w:rPr>
                <w:rFonts w:cs="Arial"/>
                <w:b/>
                <w:sz w:val="20"/>
              </w:rPr>
              <w:t>12,575</w:t>
            </w:r>
          </w:p>
        </w:tc>
        <w:tc>
          <w:tcPr>
            <w:tcW w:w="1218" w:type="dxa"/>
            <w:vAlign w:val="center"/>
          </w:tcPr>
          <w:p w14:paraId="042018A1" w14:textId="39CB727D" w:rsidR="00D24533" w:rsidRPr="008D3FC4" w:rsidRDefault="008E2034" w:rsidP="00D24533">
            <w:pPr>
              <w:jc w:val="right"/>
              <w:rPr>
                <w:rFonts w:cs="Arial"/>
                <w:b/>
                <w:sz w:val="20"/>
              </w:rPr>
            </w:pPr>
            <w:r>
              <w:rPr>
                <w:rFonts w:cs="Arial"/>
                <w:b/>
                <w:sz w:val="20"/>
              </w:rPr>
              <w:t>1,442</w:t>
            </w:r>
          </w:p>
        </w:tc>
        <w:tc>
          <w:tcPr>
            <w:tcW w:w="1219" w:type="dxa"/>
            <w:vAlign w:val="center"/>
          </w:tcPr>
          <w:p w14:paraId="5E5D8020" w14:textId="568EF2BD" w:rsidR="00D24533" w:rsidRPr="008D3FC4" w:rsidRDefault="007F6BE7" w:rsidP="00D24533">
            <w:pPr>
              <w:jc w:val="right"/>
              <w:rPr>
                <w:rFonts w:cs="Arial"/>
                <w:b/>
                <w:sz w:val="20"/>
              </w:rPr>
            </w:pPr>
            <w:r w:rsidRPr="008D3FC4">
              <w:rPr>
                <w:rFonts w:cs="Arial"/>
                <w:b/>
                <w:sz w:val="20"/>
              </w:rPr>
              <w:t>6,607</w:t>
            </w:r>
          </w:p>
        </w:tc>
        <w:tc>
          <w:tcPr>
            <w:tcW w:w="1218" w:type="dxa"/>
            <w:vAlign w:val="center"/>
          </w:tcPr>
          <w:p w14:paraId="440928D6" w14:textId="5A607BE2" w:rsidR="00D24533" w:rsidRPr="008D3FC4" w:rsidRDefault="008E2034" w:rsidP="00D24533">
            <w:pPr>
              <w:jc w:val="right"/>
              <w:rPr>
                <w:rFonts w:cs="Arial"/>
                <w:b/>
                <w:sz w:val="20"/>
              </w:rPr>
            </w:pPr>
            <w:r>
              <w:rPr>
                <w:rFonts w:cs="Arial"/>
                <w:b/>
                <w:sz w:val="20"/>
              </w:rPr>
              <w:t>29,588</w:t>
            </w:r>
          </w:p>
        </w:tc>
        <w:tc>
          <w:tcPr>
            <w:tcW w:w="1218" w:type="dxa"/>
            <w:vAlign w:val="center"/>
          </w:tcPr>
          <w:p w14:paraId="2E707216" w14:textId="5A5635FB" w:rsidR="00D24533" w:rsidRPr="008E2034" w:rsidRDefault="008E2034" w:rsidP="00D24533">
            <w:pPr>
              <w:jc w:val="right"/>
              <w:rPr>
                <w:rFonts w:cs="Arial"/>
                <w:b/>
                <w:sz w:val="20"/>
              </w:rPr>
            </w:pPr>
            <w:r w:rsidRPr="008E2034">
              <w:rPr>
                <w:rFonts w:cs="Arial"/>
                <w:b/>
                <w:sz w:val="20"/>
              </w:rPr>
              <w:t>2,459</w:t>
            </w:r>
          </w:p>
        </w:tc>
        <w:tc>
          <w:tcPr>
            <w:tcW w:w="1218" w:type="dxa"/>
            <w:shd w:val="clear" w:color="auto" w:fill="C5E0B3" w:themeFill="accent6" w:themeFillTint="66"/>
            <w:vAlign w:val="center"/>
          </w:tcPr>
          <w:p w14:paraId="2AD56F64" w14:textId="5CA3C6C8" w:rsidR="00D24533" w:rsidRPr="008D3FC4" w:rsidRDefault="008E2034" w:rsidP="00D24533">
            <w:pPr>
              <w:jc w:val="right"/>
              <w:rPr>
                <w:rFonts w:cs="Arial"/>
                <w:b/>
                <w:sz w:val="20"/>
              </w:rPr>
            </w:pPr>
            <w:r>
              <w:rPr>
                <w:rFonts w:cs="Arial"/>
                <w:b/>
                <w:sz w:val="20"/>
              </w:rPr>
              <w:t>32,047</w:t>
            </w:r>
          </w:p>
        </w:tc>
      </w:tr>
      <w:tr w:rsidR="00D24533" w:rsidRPr="000127EF" w14:paraId="122D725B" w14:textId="77777777" w:rsidTr="004304C1">
        <w:tc>
          <w:tcPr>
            <w:tcW w:w="5783" w:type="dxa"/>
          </w:tcPr>
          <w:p w14:paraId="1684A175" w14:textId="5A8C7D5E" w:rsidR="00D24533" w:rsidRPr="008D3FC4" w:rsidRDefault="00D24533" w:rsidP="00D24533">
            <w:pPr>
              <w:ind w:left="624"/>
              <w:rPr>
                <w:rFonts w:cs="Arial"/>
                <w:sz w:val="20"/>
              </w:rPr>
            </w:pPr>
            <w:r w:rsidRPr="008D3FC4">
              <w:rPr>
                <w:rFonts w:cs="Arial"/>
                <w:sz w:val="20"/>
              </w:rPr>
              <w:t>Surplus / (Deficit) on Provision of Services</w:t>
            </w:r>
          </w:p>
        </w:tc>
        <w:tc>
          <w:tcPr>
            <w:tcW w:w="1217" w:type="dxa"/>
          </w:tcPr>
          <w:p w14:paraId="7932CAF6" w14:textId="24C5AB59" w:rsidR="00D24533" w:rsidRPr="008D3FC4" w:rsidRDefault="007F6BE7" w:rsidP="00232B9C">
            <w:pPr>
              <w:jc w:val="right"/>
              <w:rPr>
                <w:rFonts w:cs="Arial"/>
                <w:sz w:val="20"/>
              </w:rPr>
            </w:pPr>
            <w:r w:rsidRPr="008D3FC4">
              <w:rPr>
                <w:rFonts w:cs="Arial"/>
                <w:sz w:val="20"/>
              </w:rPr>
              <w:t>143</w:t>
            </w:r>
          </w:p>
        </w:tc>
        <w:tc>
          <w:tcPr>
            <w:tcW w:w="1250" w:type="dxa"/>
          </w:tcPr>
          <w:p w14:paraId="2CA127D2" w14:textId="101188A1" w:rsidR="00D24533" w:rsidRPr="008D3FC4" w:rsidRDefault="007F6BE7" w:rsidP="00D24533">
            <w:pPr>
              <w:jc w:val="right"/>
              <w:rPr>
                <w:rFonts w:cs="Arial"/>
                <w:sz w:val="20"/>
              </w:rPr>
            </w:pPr>
            <w:r w:rsidRPr="008D3FC4">
              <w:rPr>
                <w:rFonts w:cs="Arial"/>
                <w:sz w:val="20"/>
              </w:rPr>
              <w:t>-</w:t>
            </w:r>
          </w:p>
        </w:tc>
        <w:tc>
          <w:tcPr>
            <w:tcW w:w="1218" w:type="dxa"/>
          </w:tcPr>
          <w:p w14:paraId="3D815EDC" w14:textId="0BB33932" w:rsidR="00D24533" w:rsidRPr="008D3FC4" w:rsidRDefault="007F6BE7" w:rsidP="00D24533">
            <w:pPr>
              <w:jc w:val="right"/>
              <w:rPr>
                <w:rFonts w:cs="Arial"/>
                <w:sz w:val="20"/>
              </w:rPr>
            </w:pPr>
            <w:r w:rsidRPr="008D3FC4">
              <w:rPr>
                <w:rFonts w:cs="Arial"/>
                <w:sz w:val="20"/>
              </w:rPr>
              <w:t>-</w:t>
            </w:r>
          </w:p>
        </w:tc>
        <w:tc>
          <w:tcPr>
            <w:tcW w:w="1219" w:type="dxa"/>
          </w:tcPr>
          <w:p w14:paraId="2720E0E9" w14:textId="1E13C7ED" w:rsidR="00D24533" w:rsidRPr="008D3FC4" w:rsidRDefault="007F6BE7" w:rsidP="00D24533">
            <w:pPr>
              <w:jc w:val="right"/>
              <w:rPr>
                <w:rFonts w:cs="Arial"/>
                <w:sz w:val="20"/>
              </w:rPr>
            </w:pPr>
            <w:r w:rsidRPr="008D3FC4">
              <w:rPr>
                <w:rFonts w:cs="Arial"/>
                <w:sz w:val="20"/>
              </w:rPr>
              <w:t>-</w:t>
            </w:r>
          </w:p>
        </w:tc>
        <w:tc>
          <w:tcPr>
            <w:tcW w:w="1218" w:type="dxa"/>
          </w:tcPr>
          <w:p w14:paraId="33610CF5" w14:textId="77E983C5" w:rsidR="00D24533" w:rsidRPr="008D3FC4" w:rsidRDefault="007F6BE7" w:rsidP="00232B9C">
            <w:pPr>
              <w:jc w:val="right"/>
              <w:rPr>
                <w:rFonts w:cs="Arial"/>
                <w:b/>
                <w:sz w:val="20"/>
              </w:rPr>
            </w:pPr>
            <w:r w:rsidRPr="008D3FC4">
              <w:rPr>
                <w:rFonts w:cs="Arial"/>
                <w:b/>
                <w:sz w:val="20"/>
              </w:rPr>
              <w:t>143</w:t>
            </w:r>
          </w:p>
        </w:tc>
        <w:tc>
          <w:tcPr>
            <w:tcW w:w="1218" w:type="dxa"/>
          </w:tcPr>
          <w:p w14:paraId="2D3AE354" w14:textId="10A637B2" w:rsidR="00D24533" w:rsidRPr="008D3FC4" w:rsidRDefault="007F6BE7" w:rsidP="00D24533">
            <w:pPr>
              <w:jc w:val="right"/>
              <w:rPr>
                <w:rFonts w:cs="Arial"/>
                <w:sz w:val="20"/>
              </w:rPr>
            </w:pPr>
            <w:r w:rsidRPr="008D3FC4">
              <w:rPr>
                <w:rFonts w:cs="Arial"/>
                <w:sz w:val="20"/>
              </w:rPr>
              <w:t>-</w:t>
            </w:r>
          </w:p>
        </w:tc>
        <w:tc>
          <w:tcPr>
            <w:tcW w:w="1218" w:type="dxa"/>
            <w:shd w:val="clear" w:color="auto" w:fill="C5E0B3" w:themeFill="accent6" w:themeFillTint="66"/>
          </w:tcPr>
          <w:p w14:paraId="472FDC91" w14:textId="53B36375" w:rsidR="00D24533" w:rsidRPr="008D3FC4" w:rsidRDefault="007F6BE7" w:rsidP="00232B9C">
            <w:pPr>
              <w:jc w:val="right"/>
              <w:rPr>
                <w:rFonts w:cs="Arial"/>
                <w:b/>
                <w:sz w:val="20"/>
              </w:rPr>
            </w:pPr>
            <w:r w:rsidRPr="008D3FC4">
              <w:rPr>
                <w:rFonts w:cs="Arial"/>
                <w:b/>
                <w:sz w:val="20"/>
              </w:rPr>
              <w:t>143</w:t>
            </w:r>
          </w:p>
        </w:tc>
      </w:tr>
      <w:tr w:rsidR="00D24533" w:rsidRPr="000127EF" w14:paraId="734C397A" w14:textId="77777777" w:rsidTr="004304C1">
        <w:trPr>
          <w:trHeight w:val="150"/>
        </w:trPr>
        <w:tc>
          <w:tcPr>
            <w:tcW w:w="5783" w:type="dxa"/>
          </w:tcPr>
          <w:p w14:paraId="7488D211" w14:textId="77777777" w:rsidR="00D24533" w:rsidRPr="008D3FC4" w:rsidRDefault="00D24533" w:rsidP="00D24533">
            <w:pPr>
              <w:ind w:left="624"/>
              <w:rPr>
                <w:rFonts w:cs="Arial"/>
                <w:sz w:val="20"/>
              </w:rPr>
            </w:pPr>
            <w:r w:rsidRPr="008D3FC4">
              <w:rPr>
                <w:rFonts w:cs="Arial"/>
                <w:sz w:val="20"/>
              </w:rPr>
              <w:t>Other Comprehensive Income &amp; Expenditure</w:t>
            </w:r>
          </w:p>
        </w:tc>
        <w:tc>
          <w:tcPr>
            <w:tcW w:w="1217" w:type="dxa"/>
            <w:tcBorders>
              <w:bottom w:val="single" w:sz="8" w:space="0" w:color="auto"/>
            </w:tcBorders>
          </w:tcPr>
          <w:p w14:paraId="3FEFBB2E" w14:textId="4E4B3240" w:rsidR="00D24533" w:rsidRPr="008D3FC4" w:rsidRDefault="007F6BE7" w:rsidP="00D24533">
            <w:pPr>
              <w:jc w:val="right"/>
              <w:rPr>
                <w:rFonts w:cs="Arial"/>
                <w:sz w:val="20"/>
              </w:rPr>
            </w:pPr>
            <w:r w:rsidRPr="008D3FC4">
              <w:rPr>
                <w:rFonts w:cs="Arial"/>
                <w:sz w:val="20"/>
              </w:rPr>
              <w:t>-</w:t>
            </w:r>
          </w:p>
        </w:tc>
        <w:tc>
          <w:tcPr>
            <w:tcW w:w="1250" w:type="dxa"/>
            <w:tcBorders>
              <w:bottom w:val="single" w:sz="8" w:space="0" w:color="auto"/>
            </w:tcBorders>
          </w:tcPr>
          <w:p w14:paraId="6AECA7DA" w14:textId="35D38E94" w:rsidR="00D24533" w:rsidRPr="008D3FC4" w:rsidRDefault="007F6BE7" w:rsidP="00D24533">
            <w:pPr>
              <w:jc w:val="right"/>
              <w:rPr>
                <w:rFonts w:cs="Arial"/>
                <w:sz w:val="20"/>
              </w:rPr>
            </w:pPr>
            <w:r w:rsidRPr="008D3FC4">
              <w:rPr>
                <w:rFonts w:cs="Arial"/>
                <w:sz w:val="20"/>
              </w:rPr>
              <w:t>-</w:t>
            </w:r>
          </w:p>
        </w:tc>
        <w:tc>
          <w:tcPr>
            <w:tcW w:w="1218" w:type="dxa"/>
            <w:tcBorders>
              <w:bottom w:val="single" w:sz="8" w:space="0" w:color="auto"/>
            </w:tcBorders>
          </w:tcPr>
          <w:p w14:paraId="13F055BA" w14:textId="75A5E92F" w:rsidR="00D24533" w:rsidRPr="008D3FC4" w:rsidRDefault="007F6BE7" w:rsidP="00D24533">
            <w:pPr>
              <w:jc w:val="right"/>
              <w:rPr>
                <w:rFonts w:cs="Arial"/>
                <w:sz w:val="20"/>
              </w:rPr>
            </w:pPr>
            <w:r w:rsidRPr="008D3FC4">
              <w:rPr>
                <w:rFonts w:cs="Arial"/>
                <w:sz w:val="20"/>
              </w:rPr>
              <w:t>-</w:t>
            </w:r>
          </w:p>
        </w:tc>
        <w:tc>
          <w:tcPr>
            <w:tcW w:w="1219" w:type="dxa"/>
            <w:tcBorders>
              <w:bottom w:val="single" w:sz="8" w:space="0" w:color="auto"/>
            </w:tcBorders>
          </w:tcPr>
          <w:p w14:paraId="06157A0B" w14:textId="78EFAEDA" w:rsidR="00D24533" w:rsidRPr="008D3FC4" w:rsidRDefault="007F6BE7" w:rsidP="00D24533">
            <w:pPr>
              <w:jc w:val="right"/>
              <w:rPr>
                <w:rFonts w:cs="Arial"/>
                <w:sz w:val="20"/>
              </w:rPr>
            </w:pPr>
            <w:r w:rsidRPr="008D3FC4">
              <w:rPr>
                <w:rFonts w:cs="Arial"/>
                <w:sz w:val="20"/>
              </w:rPr>
              <w:t>-</w:t>
            </w:r>
          </w:p>
        </w:tc>
        <w:tc>
          <w:tcPr>
            <w:tcW w:w="1218" w:type="dxa"/>
            <w:tcBorders>
              <w:bottom w:val="single" w:sz="8" w:space="0" w:color="auto"/>
            </w:tcBorders>
          </w:tcPr>
          <w:p w14:paraId="00F7B7B0" w14:textId="54711101" w:rsidR="00D24533" w:rsidRPr="008D3FC4" w:rsidRDefault="007F6BE7" w:rsidP="00D24533">
            <w:pPr>
              <w:jc w:val="right"/>
              <w:rPr>
                <w:rFonts w:cs="Arial"/>
                <w:b/>
                <w:sz w:val="20"/>
              </w:rPr>
            </w:pPr>
            <w:r w:rsidRPr="008D3FC4">
              <w:rPr>
                <w:rFonts w:cs="Arial"/>
                <w:b/>
                <w:sz w:val="20"/>
              </w:rPr>
              <w:t>-</w:t>
            </w:r>
          </w:p>
        </w:tc>
        <w:tc>
          <w:tcPr>
            <w:tcW w:w="1218" w:type="dxa"/>
            <w:tcBorders>
              <w:bottom w:val="single" w:sz="8" w:space="0" w:color="auto"/>
            </w:tcBorders>
          </w:tcPr>
          <w:p w14:paraId="3A4E9D8D" w14:textId="0D7BEB0D" w:rsidR="00D24533" w:rsidRPr="008D3FC4" w:rsidRDefault="008D3FC4" w:rsidP="00412381">
            <w:pPr>
              <w:jc w:val="right"/>
              <w:rPr>
                <w:rFonts w:cs="Arial"/>
                <w:sz w:val="20"/>
              </w:rPr>
            </w:pPr>
            <w:r w:rsidRPr="008D3FC4">
              <w:rPr>
                <w:rFonts w:cs="Arial"/>
                <w:sz w:val="20"/>
              </w:rPr>
              <w:t>11,</w:t>
            </w:r>
            <w:r w:rsidR="006C0749">
              <w:rPr>
                <w:rFonts w:cs="Arial"/>
                <w:sz w:val="20"/>
              </w:rPr>
              <w:t>704</w:t>
            </w:r>
          </w:p>
        </w:tc>
        <w:tc>
          <w:tcPr>
            <w:tcW w:w="1218" w:type="dxa"/>
            <w:tcBorders>
              <w:bottom w:val="single" w:sz="8" w:space="0" w:color="auto"/>
            </w:tcBorders>
            <w:shd w:val="clear" w:color="auto" w:fill="C5E0B3" w:themeFill="accent6" w:themeFillTint="66"/>
          </w:tcPr>
          <w:p w14:paraId="74FEF00E" w14:textId="6E3B2D5C" w:rsidR="00D24533" w:rsidRPr="008D3FC4" w:rsidRDefault="008D3FC4" w:rsidP="00D24533">
            <w:pPr>
              <w:jc w:val="right"/>
              <w:rPr>
                <w:rFonts w:cs="Arial"/>
                <w:b/>
                <w:sz w:val="20"/>
              </w:rPr>
            </w:pPr>
            <w:r w:rsidRPr="008D3FC4">
              <w:rPr>
                <w:rFonts w:cs="Arial"/>
                <w:b/>
                <w:sz w:val="20"/>
              </w:rPr>
              <w:t>11,</w:t>
            </w:r>
            <w:r w:rsidR="006C0749">
              <w:rPr>
                <w:rFonts w:cs="Arial"/>
                <w:b/>
                <w:sz w:val="20"/>
              </w:rPr>
              <w:t>704</w:t>
            </w:r>
          </w:p>
        </w:tc>
      </w:tr>
      <w:tr w:rsidR="00D24533" w:rsidRPr="000127EF" w14:paraId="2B42B83C" w14:textId="77777777" w:rsidTr="004304C1">
        <w:tc>
          <w:tcPr>
            <w:tcW w:w="5783" w:type="dxa"/>
          </w:tcPr>
          <w:p w14:paraId="4E45E8D8" w14:textId="77777777" w:rsidR="00D24533" w:rsidRPr="008D3FC4" w:rsidRDefault="00D24533" w:rsidP="00D24533">
            <w:pPr>
              <w:rPr>
                <w:rFonts w:cs="Arial"/>
                <w:b/>
                <w:sz w:val="20"/>
              </w:rPr>
            </w:pPr>
            <w:r w:rsidRPr="008D3FC4">
              <w:rPr>
                <w:rFonts w:cs="Arial"/>
                <w:b/>
                <w:sz w:val="20"/>
              </w:rPr>
              <w:t>Total Comprehensive Income &amp; Expenditure</w:t>
            </w:r>
          </w:p>
        </w:tc>
        <w:tc>
          <w:tcPr>
            <w:tcW w:w="1217" w:type="dxa"/>
          </w:tcPr>
          <w:p w14:paraId="6B02731E" w14:textId="59B350C8" w:rsidR="00D24533" w:rsidRPr="008D3FC4" w:rsidRDefault="008D3FC4" w:rsidP="003D0306">
            <w:pPr>
              <w:jc w:val="right"/>
              <w:rPr>
                <w:rFonts w:cs="Arial"/>
                <w:b/>
                <w:sz w:val="20"/>
              </w:rPr>
            </w:pPr>
            <w:r w:rsidRPr="008D3FC4">
              <w:rPr>
                <w:rFonts w:cs="Arial"/>
                <w:b/>
                <w:sz w:val="20"/>
              </w:rPr>
              <w:t>143</w:t>
            </w:r>
          </w:p>
        </w:tc>
        <w:tc>
          <w:tcPr>
            <w:tcW w:w="1250" w:type="dxa"/>
          </w:tcPr>
          <w:p w14:paraId="58073F22" w14:textId="4F2EF1EE" w:rsidR="00D24533" w:rsidRPr="008D3FC4" w:rsidRDefault="008D3FC4" w:rsidP="00D24533">
            <w:pPr>
              <w:jc w:val="right"/>
              <w:rPr>
                <w:rFonts w:cs="Arial"/>
                <w:b/>
                <w:sz w:val="20"/>
              </w:rPr>
            </w:pPr>
            <w:r w:rsidRPr="008D3FC4">
              <w:rPr>
                <w:rFonts w:cs="Arial"/>
                <w:b/>
                <w:sz w:val="20"/>
              </w:rPr>
              <w:t>-</w:t>
            </w:r>
          </w:p>
        </w:tc>
        <w:tc>
          <w:tcPr>
            <w:tcW w:w="1218" w:type="dxa"/>
          </w:tcPr>
          <w:p w14:paraId="290DD14C" w14:textId="5704192B" w:rsidR="00D24533" w:rsidRPr="008D3FC4" w:rsidRDefault="008D3FC4" w:rsidP="00D24533">
            <w:pPr>
              <w:jc w:val="right"/>
              <w:rPr>
                <w:rFonts w:cs="Arial"/>
                <w:b/>
                <w:sz w:val="20"/>
              </w:rPr>
            </w:pPr>
            <w:r w:rsidRPr="008D3FC4">
              <w:rPr>
                <w:rFonts w:cs="Arial"/>
                <w:b/>
                <w:sz w:val="20"/>
              </w:rPr>
              <w:t>-</w:t>
            </w:r>
          </w:p>
        </w:tc>
        <w:tc>
          <w:tcPr>
            <w:tcW w:w="1219" w:type="dxa"/>
          </w:tcPr>
          <w:p w14:paraId="12231133" w14:textId="53465B10" w:rsidR="00D24533" w:rsidRPr="008D3FC4" w:rsidRDefault="008D3FC4" w:rsidP="00D24533">
            <w:pPr>
              <w:jc w:val="right"/>
              <w:rPr>
                <w:rFonts w:cs="Arial"/>
                <w:b/>
                <w:sz w:val="20"/>
              </w:rPr>
            </w:pPr>
            <w:r w:rsidRPr="008D3FC4">
              <w:rPr>
                <w:rFonts w:cs="Arial"/>
                <w:b/>
                <w:sz w:val="20"/>
              </w:rPr>
              <w:t>-</w:t>
            </w:r>
          </w:p>
        </w:tc>
        <w:tc>
          <w:tcPr>
            <w:tcW w:w="1218" w:type="dxa"/>
          </w:tcPr>
          <w:p w14:paraId="66579B08" w14:textId="0DB4BF4F" w:rsidR="00D24533" w:rsidRPr="008D3FC4" w:rsidRDefault="008D3FC4" w:rsidP="003D0306">
            <w:pPr>
              <w:jc w:val="right"/>
              <w:rPr>
                <w:rFonts w:cs="Arial"/>
                <w:b/>
                <w:sz w:val="20"/>
              </w:rPr>
            </w:pPr>
            <w:r w:rsidRPr="008D3FC4">
              <w:rPr>
                <w:rFonts w:cs="Arial"/>
                <w:b/>
                <w:sz w:val="20"/>
              </w:rPr>
              <w:t>143</w:t>
            </w:r>
          </w:p>
        </w:tc>
        <w:tc>
          <w:tcPr>
            <w:tcW w:w="1218" w:type="dxa"/>
          </w:tcPr>
          <w:p w14:paraId="49E36303" w14:textId="590C7EDB" w:rsidR="00D24533" w:rsidRPr="008D3FC4" w:rsidRDefault="008D3FC4" w:rsidP="00D24533">
            <w:pPr>
              <w:jc w:val="right"/>
              <w:rPr>
                <w:rFonts w:cs="Arial"/>
                <w:b/>
                <w:sz w:val="20"/>
              </w:rPr>
            </w:pPr>
            <w:r w:rsidRPr="008D3FC4">
              <w:rPr>
                <w:rFonts w:cs="Arial"/>
                <w:b/>
                <w:sz w:val="20"/>
              </w:rPr>
              <w:t>11,</w:t>
            </w:r>
            <w:r w:rsidR="006C0749">
              <w:rPr>
                <w:rFonts w:cs="Arial"/>
                <w:b/>
                <w:sz w:val="20"/>
              </w:rPr>
              <w:t>704</w:t>
            </w:r>
          </w:p>
        </w:tc>
        <w:tc>
          <w:tcPr>
            <w:tcW w:w="1218" w:type="dxa"/>
            <w:shd w:val="clear" w:color="auto" w:fill="C5E0B3" w:themeFill="accent6" w:themeFillTint="66"/>
          </w:tcPr>
          <w:p w14:paraId="335A5384" w14:textId="50542CA4" w:rsidR="00D24533" w:rsidRPr="008D3FC4" w:rsidRDefault="008D3FC4" w:rsidP="003D0306">
            <w:pPr>
              <w:jc w:val="right"/>
              <w:rPr>
                <w:rFonts w:cs="Arial"/>
                <w:b/>
                <w:sz w:val="20"/>
              </w:rPr>
            </w:pPr>
            <w:r w:rsidRPr="008D3FC4">
              <w:rPr>
                <w:rFonts w:cs="Arial"/>
                <w:b/>
                <w:sz w:val="20"/>
              </w:rPr>
              <w:t>11,</w:t>
            </w:r>
            <w:r w:rsidR="006C0749">
              <w:rPr>
                <w:rFonts w:cs="Arial"/>
                <w:b/>
                <w:sz w:val="20"/>
              </w:rPr>
              <w:t>847</w:t>
            </w:r>
          </w:p>
        </w:tc>
      </w:tr>
      <w:tr w:rsidR="00D24533" w:rsidRPr="000127EF" w14:paraId="6C2F4299" w14:textId="77777777" w:rsidTr="004304C1">
        <w:trPr>
          <w:trHeight w:val="405"/>
        </w:trPr>
        <w:tc>
          <w:tcPr>
            <w:tcW w:w="5783" w:type="dxa"/>
          </w:tcPr>
          <w:p w14:paraId="39A2A200" w14:textId="77777777" w:rsidR="00D24533" w:rsidRPr="008D3FC4" w:rsidRDefault="00D24533" w:rsidP="00D24533">
            <w:pPr>
              <w:ind w:left="624"/>
              <w:rPr>
                <w:rFonts w:cs="Arial"/>
                <w:sz w:val="20"/>
              </w:rPr>
            </w:pPr>
            <w:r w:rsidRPr="008D3FC4">
              <w:rPr>
                <w:rFonts w:cs="Arial"/>
                <w:sz w:val="20"/>
              </w:rPr>
              <w:t>Adjustments between accounting basis and funding basis under regulations (Note 13)</w:t>
            </w:r>
          </w:p>
        </w:tc>
        <w:tc>
          <w:tcPr>
            <w:tcW w:w="1217" w:type="dxa"/>
            <w:tcBorders>
              <w:bottom w:val="single" w:sz="8" w:space="0" w:color="auto"/>
            </w:tcBorders>
            <w:vAlign w:val="center"/>
          </w:tcPr>
          <w:p w14:paraId="2F2DA96D" w14:textId="23FB5766" w:rsidR="00D24533" w:rsidRPr="008D3FC4" w:rsidRDefault="007F6BE7" w:rsidP="0058483E">
            <w:pPr>
              <w:jc w:val="right"/>
              <w:rPr>
                <w:rFonts w:cs="Arial"/>
                <w:sz w:val="20"/>
              </w:rPr>
            </w:pPr>
            <w:r w:rsidRPr="008D3FC4">
              <w:rPr>
                <w:rFonts w:cs="Arial"/>
                <w:sz w:val="20"/>
              </w:rPr>
              <w:t>854</w:t>
            </w:r>
          </w:p>
        </w:tc>
        <w:tc>
          <w:tcPr>
            <w:tcW w:w="1250" w:type="dxa"/>
            <w:tcBorders>
              <w:bottom w:val="single" w:sz="8" w:space="0" w:color="auto"/>
            </w:tcBorders>
            <w:vAlign w:val="center"/>
          </w:tcPr>
          <w:p w14:paraId="05C982C2" w14:textId="013338D3" w:rsidR="00D24533" w:rsidRPr="008D3FC4" w:rsidRDefault="007F6BE7" w:rsidP="00D24533">
            <w:pPr>
              <w:jc w:val="right"/>
              <w:rPr>
                <w:rFonts w:cs="Arial"/>
                <w:sz w:val="20"/>
              </w:rPr>
            </w:pPr>
            <w:r w:rsidRPr="008D3FC4">
              <w:rPr>
                <w:rFonts w:cs="Arial"/>
                <w:sz w:val="20"/>
              </w:rPr>
              <w:t>1,230</w:t>
            </w:r>
          </w:p>
        </w:tc>
        <w:tc>
          <w:tcPr>
            <w:tcW w:w="1218" w:type="dxa"/>
            <w:tcBorders>
              <w:bottom w:val="single" w:sz="8" w:space="0" w:color="auto"/>
            </w:tcBorders>
            <w:vAlign w:val="center"/>
          </w:tcPr>
          <w:p w14:paraId="1EA9FCE2" w14:textId="54A4E9CF" w:rsidR="00D24533" w:rsidRPr="008D3FC4" w:rsidRDefault="007F6BE7" w:rsidP="00D24533">
            <w:pPr>
              <w:jc w:val="right"/>
              <w:rPr>
                <w:rFonts w:cs="Arial"/>
                <w:sz w:val="20"/>
              </w:rPr>
            </w:pPr>
            <w:r w:rsidRPr="008D3FC4">
              <w:rPr>
                <w:rFonts w:cs="Arial"/>
                <w:sz w:val="20"/>
              </w:rPr>
              <w:t>75</w:t>
            </w:r>
          </w:p>
        </w:tc>
        <w:tc>
          <w:tcPr>
            <w:tcW w:w="1219" w:type="dxa"/>
            <w:tcBorders>
              <w:bottom w:val="single" w:sz="8" w:space="0" w:color="auto"/>
            </w:tcBorders>
            <w:vAlign w:val="center"/>
          </w:tcPr>
          <w:p w14:paraId="7A572A9D" w14:textId="55AA951F" w:rsidR="00D24533" w:rsidRPr="008D3FC4" w:rsidRDefault="007F6BE7" w:rsidP="00D24533">
            <w:pPr>
              <w:jc w:val="right"/>
              <w:rPr>
                <w:rFonts w:cs="Arial"/>
                <w:sz w:val="20"/>
              </w:rPr>
            </w:pPr>
            <w:r w:rsidRPr="008D3FC4">
              <w:rPr>
                <w:rFonts w:cs="Arial"/>
                <w:sz w:val="20"/>
              </w:rPr>
              <w:t>(165)</w:t>
            </w:r>
          </w:p>
        </w:tc>
        <w:tc>
          <w:tcPr>
            <w:tcW w:w="1218" w:type="dxa"/>
            <w:tcBorders>
              <w:bottom w:val="single" w:sz="8" w:space="0" w:color="auto"/>
            </w:tcBorders>
            <w:vAlign w:val="center"/>
          </w:tcPr>
          <w:p w14:paraId="7D0AB1EE" w14:textId="0929F0FF" w:rsidR="00D24533" w:rsidRPr="008D3FC4" w:rsidRDefault="007F6BE7" w:rsidP="001226BC">
            <w:pPr>
              <w:jc w:val="right"/>
              <w:rPr>
                <w:rFonts w:cs="Arial"/>
                <w:sz w:val="20"/>
              </w:rPr>
            </w:pPr>
            <w:r w:rsidRPr="008D3FC4">
              <w:rPr>
                <w:rFonts w:cs="Arial"/>
                <w:sz w:val="20"/>
              </w:rPr>
              <w:fldChar w:fldCharType="begin"/>
            </w:r>
            <w:r w:rsidRPr="008D3FC4">
              <w:rPr>
                <w:rFonts w:cs="Arial"/>
                <w:sz w:val="20"/>
              </w:rPr>
              <w:instrText xml:space="preserve"> =SUM(Left) </w:instrText>
            </w:r>
            <w:r w:rsidRPr="008D3FC4">
              <w:rPr>
                <w:rFonts w:cs="Arial"/>
                <w:sz w:val="20"/>
              </w:rPr>
              <w:fldChar w:fldCharType="separate"/>
            </w:r>
            <w:r w:rsidRPr="008D3FC4">
              <w:rPr>
                <w:rFonts w:cs="Arial"/>
                <w:noProof/>
                <w:sz w:val="20"/>
              </w:rPr>
              <w:t>1,994</w:t>
            </w:r>
            <w:r w:rsidRPr="008D3FC4">
              <w:rPr>
                <w:rFonts w:cs="Arial"/>
                <w:sz w:val="20"/>
              </w:rPr>
              <w:fldChar w:fldCharType="end"/>
            </w:r>
          </w:p>
        </w:tc>
        <w:tc>
          <w:tcPr>
            <w:tcW w:w="1218" w:type="dxa"/>
            <w:tcBorders>
              <w:bottom w:val="single" w:sz="8" w:space="0" w:color="auto"/>
            </w:tcBorders>
            <w:vAlign w:val="center"/>
          </w:tcPr>
          <w:p w14:paraId="1E59030E" w14:textId="76F9D48B" w:rsidR="00D24533" w:rsidRPr="008D3FC4" w:rsidRDefault="007F6BE7" w:rsidP="0058483E">
            <w:pPr>
              <w:jc w:val="right"/>
              <w:rPr>
                <w:rFonts w:cs="Arial"/>
                <w:sz w:val="20"/>
              </w:rPr>
            </w:pPr>
            <w:r w:rsidRPr="008D3FC4">
              <w:rPr>
                <w:rFonts w:cs="Arial"/>
                <w:sz w:val="20"/>
              </w:rPr>
              <w:t>(1</w:t>
            </w:r>
            <w:r w:rsidR="008D3FC4" w:rsidRPr="008D3FC4">
              <w:rPr>
                <w:rFonts w:cs="Arial"/>
                <w:sz w:val="20"/>
              </w:rPr>
              <w:t>,</w:t>
            </w:r>
            <w:r w:rsidRPr="008D3FC4">
              <w:rPr>
                <w:rFonts w:cs="Arial"/>
                <w:sz w:val="20"/>
              </w:rPr>
              <w:t>995)</w:t>
            </w:r>
          </w:p>
        </w:tc>
        <w:tc>
          <w:tcPr>
            <w:tcW w:w="1218" w:type="dxa"/>
            <w:tcBorders>
              <w:bottom w:val="single" w:sz="8" w:space="0" w:color="auto"/>
            </w:tcBorders>
            <w:shd w:val="clear" w:color="auto" w:fill="C5E0B3" w:themeFill="accent6" w:themeFillTint="66"/>
            <w:vAlign w:val="center"/>
          </w:tcPr>
          <w:p w14:paraId="57D6F2D9" w14:textId="18FA7940" w:rsidR="00D24533" w:rsidRPr="008D3FC4" w:rsidRDefault="007F6BE7" w:rsidP="00D24533">
            <w:pPr>
              <w:tabs>
                <w:tab w:val="center" w:pos="706"/>
                <w:tab w:val="right" w:pos="1412"/>
              </w:tabs>
              <w:jc w:val="right"/>
              <w:rPr>
                <w:rFonts w:cs="Arial"/>
                <w:b/>
                <w:sz w:val="20"/>
              </w:rPr>
            </w:pPr>
            <w:r w:rsidRPr="008D3FC4">
              <w:rPr>
                <w:rFonts w:cs="Arial"/>
                <w:b/>
                <w:sz w:val="20"/>
              </w:rPr>
              <w:t>-</w:t>
            </w:r>
          </w:p>
        </w:tc>
      </w:tr>
      <w:tr w:rsidR="00D24533" w:rsidRPr="000127EF" w14:paraId="6E57AB3A" w14:textId="77777777" w:rsidTr="004304C1">
        <w:tc>
          <w:tcPr>
            <w:tcW w:w="5783" w:type="dxa"/>
          </w:tcPr>
          <w:p w14:paraId="6C1AEAA1" w14:textId="6CF85942" w:rsidR="00D24533" w:rsidRPr="008D3FC4" w:rsidRDefault="00D24533" w:rsidP="00D24533">
            <w:pPr>
              <w:rPr>
                <w:rFonts w:cs="Arial"/>
                <w:b/>
                <w:sz w:val="20"/>
              </w:rPr>
            </w:pPr>
            <w:r w:rsidRPr="008D3FC4">
              <w:rPr>
                <w:rFonts w:cs="Arial"/>
                <w:b/>
                <w:sz w:val="20"/>
              </w:rPr>
              <w:t>Net Increase/(Decrease)  before transfers to or from Earmarked Reserves</w:t>
            </w:r>
          </w:p>
        </w:tc>
        <w:tc>
          <w:tcPr>
            <w:tcW w:w="1217" w:type="dxa"/>
          </w:tcPr>
          <w:p w14:paraId="5FA816DA" w14:textId="695BD852" w:rsidR="00D24533" w:rsidRPr="008D3FC4" w:rsidRDefault="008D3FC4" w:rsidP="0058483E">
            <w:pPr>
              <w:jc w:val="right"/>
              <w:rPr>
                <w:rFonts w:cs="Arial"/>
                <w:sz w:val="20"/>
              </w:rPr>
            </w:pPr>
            <w:r w:rsidRPr="008D3FC4">
              <w:rPr>
                <w:rFonts w:cs="Arial"/>
                <w:sz w:val="20"/>
              </w:rPr>
              <w:t>997</w:t>
            </w:r>
          </w:p>
        </w:tc>
        <w:tc>
          <w:tcPr>
            <w:tcW w:w="1250" w:type="dxa"/>
          </w:tcPr>
          <w:p w14:paraId="4E81867B" w14:textId="0386BD80" w:rsidR="00D24533" w:rsidRPr="008D3FC4" w:rsidRDefault="008D3FC4" w:rsidP="00220F45">
            <w:pPr>
              <w:jc w:val="right"/>
              <w:rPr>
                <w:rFonts w:cs="Arial"/>
                <w:sz w:val="20"/>
              </w:rPr>
            </w:pPr>
            <w:r w:rsidRPr="008D3FC4">
              <w:rPr>
                <w:rFonts w:cs="Arial"/>
                <w:sz w:val="20"/>
              </w:rPr>
              <w:t>1,230</w:t>
            </w:r>
          </w:p>
        </w:tc>
        <w:tc>
          <w:tcPr>
            <w:tcW w:w="1218" w:type="dxa"/>
          </w:tcPr>
          <w:p w14:paraId="5A10FBFE" w14:textId="632086B4" w:rsidR="00D24533" w:rsidRPr="008D3FC4" w:rsidRDefault="008D3FC4" w:rsidP="00B6580E">
            <w:pPr>
              <w:jc w:val="right"/>
              <w:rPr>
                <w:rFonts w:cs="Arial"/>
                <w:sz w:val="20"/>
              </w:rPr>
            </w:pPr>
            <w:r w:rsidRPr="008D3FC4">
              <w:rPr>
                <w:rFonts w:cs="Arial"/>
                <w:sz w:val="20"/>
              </w:rPr>
              <w:t>75</w:t>
            </w:r>
          </w:p>
        </w:tc>
        <w:tc>
          <w:tcPr>
            <w:tcW w:w="1219" w:type="dxa"/>
          </w:tcPr>
          <w:p w14:paraId="58A01AE9" w14:textId="71DC91DC" w:rsidR="00D24533" w:rsidRPr="008D3FC4" w:rsidRDefault="008D3FC4" w:rsidP="001226BC">
            <w:pPr>
              <w:jc w:val="right"/>
              <w:rPr>
                <w:rFonts w:cs="Arial"/>
                <w:sz w:val="20"/>
              </w:rPr>
            </w:pPr>
            <w:r w:rsidRPr="008D3FC4">
              <w:rPr>
                <w:rFonts w:cs="Arial"/>
                <w:sz w:val="20"/>
              </w:rPr>
              <w:t>(165)</w:t>
            </w:r>
          </w:p>
        </w:tc>
        <w:tc>
          <w:tcPr>
            <w:tcW w:w="1218" w:type="dxa"/>
          </w:tcPr>
          <w:p w14:paraId="11353C1B" w14:textId="35D4A965" w:rsidR="00D24533" w:rsidRPr="008D3FC4" w:rsidRDefault="008D3FC4" w:rsidP="0002767E">
            <w:pPr>
              <w:jc w:val="right"/>
              <w:rPr>
                <w:rFonts w:cs="Arial"/>
                <w:b/>
                <w:sz w:val="20"/>
              </w:rPr>
            </w:pPr>
            <w:r w:rsidRPr="008D3FC4">
              <w:rPr>
                <w:rFonts w:cs="Arial"/>
                <w:b/>
                <w:sz w:val="20"/>
              </w:rPr>
              <w:t>2,137</w:t>
            </w:r>
          </w:p>
        </w:tc>
        <w:tc>
          <w:tcPr>
            <w:tcW w:w="1218" w:type="dxa"/>
          </w:tcPr>
          <w:p w14:paraId="424F9B05" w14:textId="4FFB1802" w:rsidR="00D24533" w:rsidRPr="008D3FC4" w:rsidRDefault="008D3FC4" w:rsidP="0058483E">
            <w:pPr>
              <w:jc w:val="right"/>
              <w:rPr>
                <w:rFonts w:cs="Arial"/>
                <w:sz w:val="20"/>
              </w:rPr>
            </w:pPr>
            <w:r w:rsidRPr="008D3FC4">
              <w:rPr>
                <w:rFonts w:cs="Arial"/>
                <w:sz w:val="20"/>
              </w:rPr>
              <w:t>9,</w:t>
            </w:r>
            <w:r w:rsidR="006C0749">
              <w:rPr>
                <w:rFonts w:cs="Arial"/>
                <w:sz w:val="20"/>
              </w:rPr>
              <w:t>709</w:t>
            </w:r>
          </w:p>
        </w:tc>
        <w:tc>
          <w:tcPr>
            <w:tcW w:w="1218" w:type="dxa"/>
            <w:shd w:val="clear" w:color="auto" w:fill="C5E0B3" w:themeFill="accent6" w:themeFillTint="66"/>
          </w:tcPr>
          <w:p w14:paraId="02FAE609" w14:textId="173D72A7" w:rsidR="00D24533" w:rsidRPr="008D3FC4" w:rsidRDefault="008D3FC4" w:rsidP="003D0306">
            <w:pPr>
              <w:jc w:val="right"/>
              <w:rPr>
                <w:rFonts w:cs="Arial"/>
                <w:b/>
                <w:sz w:val="20"/>
              </w:rPr>
            </w:pPr>
            <w:r w:rsidRPr="008D3FC4">
              <w:rPr>
                <w:rFonts w:cs="Arial"/>
                <w:b/>
                <w:sz w:val="20"/>
              </w:rPr>
              <w:t>11,</w:t>
            </w:r>
            <w:r w:rsidR="006C0749">
              <w:rPr>
                <w:rFonts w:cs="Arial"/>
                <w:b/>
                <w:sz w:val="20"/>
              </w:rPr>
              <w:t>847</w:t>
            </w:r>
          </w:p>
        </w:tc>
      </w:tr>
      <w:tr w:rsidR="00D24533" w:rsidRPr="000127EF" w14:paraId="1A90A0C6" w14:textId="77777777" w:rsidTr="004304C1">
        <w:tc>
          <w:tcPr>
            <w:tcW w:w="5783" w:type="dxa"/>
            <w:vMerge w:val="restart"/>
          </w:tcPr>
          <w:p w14:paraId="3450C69C" w14:textId="05E0B033" w:rsidR="00D24533" w:rsidRPr="008D3FC4" w:rsidRDefault="00D24533" w:rsidP="00D24533">
            <w:pPr>
              <w:ind w:left="624"/>
              <w:rPr>
                <w:rFonts w:cs="Arial"/>
                <w:sz w:val="20"/>
              </w:rPr>
            </w:pPr>
            <w:r w:rsidRPr="008D3FC4">
              <w:rPr>
                <w:rFonts w:cs="Arial"/>
                <w:sz w:val="20"/>
              </w:rPr>
              <w:t>Transfers to / (from) Reserves</w:t>
            </w:r>
          </w:p>
          <w:p w14:paraId="19E026DD" w14:textId="195A94F7" w:rsidR="00D24533" w:rsidRPr="008D3FC4" w:rsidRDefault="00D24533" w:rsidP="00747B03">
            <w:pPr>
              <w:rPr>
                <w:rFonts w:cs="Arial"/>
                <w:sz w:val="20"/>
              </w:rPr>
            </w:pPr>
            <w:r w:rsidRPr="008D3FC4">
              <w:rPr>
                <w:rFonts w:cs="Arial"/>
                <w:b/>
                <w:sz w:val="20"/>
              </w:rPr>
              <w:t>Increase/(Decrease) in 201</w:t>
            </w:r>
            <w:r w:rsidR="00B23AA1" w:rsidRPr="008D3FC4">
              <w:rPr>
                <w:rFonts w:cs="Arial"/>
                <w:b/>
                <w:sz w:val="20"/>
              </w:rPr>
              <w:t>9/20</w:t>
            </w:r>
          </w:p>
        </w:tc>
        <w:tc>
          <w:tcPr>
            <w:tcW w:w="1217" w:type="dxa"/>
            <w:tcBorders>
              <w:bottom w:val="single" w:sz="8" w:space="0" w:color="auto"/>
            </w:tcBorders>
          </w:tcPr>
          <w:p w14:paraId="473FBE1B" w14:textId="5C0A3ECA" w:rsidR="00D24533" w:rsidRPr="008D3FC4" w:rsidRDefault="007F6BE7" w:rsidP="00690FE8">
            <w:pPr>
              <w:jc w:val="right"/>
              <w:rPr>
                <w:rFonts w:cs="Arial"/>
                <w:sz w:val="20"/>
              </w:rPr>
            </w:pPr>
            <w:r w:rsidRPr="008D3FC4">
              <w:rPr>
                <w:rFonts w:cs="Arial"/>
                <w:sz w:val="20"/>
              </w:rPr>
              <w:t>(680)</w:t>
            </w:r>
          </w:p>
        </w:tc>
        <w:tc>
          <w:tcPr>
            <w:tcW w:w="1250" w:type="dxa"/>
            <w:tcBorders>
              <w:bottom w:val="single" w:sz="8" w:space="0" w:color="auto"/>
            </w:tcBorders>
          </w:tcPr>
          <w:p w14:paraId="736CF922" w14:textId="1017A5DD" w:rsidR="00D24533" w:rsidRPr="008D3FC4" w:rsidRDefault="007F6BE7" w:rsidP="00690FE8">
            <w:pPr>
              <w:jc w:val="right"/>
              <w:rPr>
                <w:rFonts w:cs="Arial"/>
                <w:sz w:val="20"/>
              </w:rPr>
            </w:pPr>
            <w:r w:rsidRPr="008D3FC4">
              <w:rPr>
                <w:rFonts w:cs="Arial"/>
                <w:sz w:val="20"/>
              </w:rPr>
              <w:t>680</w:t>
            </w:r>
          </w:p>
        </w:tc>
        <w:tc>
          <w:tcPr>
            <w:tcW w:w="1218" w:type="dxa"/>
            <w:tcBorders>
              <w:bottom w:val="single" w:sz="8" w:space="0" w:color="auto"/>
            </w:tcBorders>
          </w:tcPr>
          <w:p w14:paraId="369E79B3" w14:textId="7642BC3D" w:rsidR="00D24533" w:rsidRPr="008D3FC4" w:rsidRDefault="007F6BE7" w:rsidP="00D24533">
            <w:pPr>
              <w:jc w:val="right"/>
              <w:rPr>
                <w:rFonts w:cs="Arial"/>
                <w:sz w:val="20"/>
              </w:rPr>
            </w:pPr>
            <w:r w:rsidRPr="008D3FC4">
              <w:rPr>
                <w:rFonts w:cs="Arial"/>
                <w:sz w:val="20"/>
              </w:rPr>
              <w:t>-</w:t>
            </w:r>
          </w:p>
        </w:tc>
        <w:tc>
          <w:tcPr>
            <w:tcW w:w="1219" w:type="dxa"/>
            <w:tcBorders>
              <w:bottom w:val="single" w:sz="8" w:space="0" w:color="auto"/>
            </w:tcBorders>
          </w:tcPr>
          <w:p w14:paraId="78AF94AD" w14:textId="793C6FC3" w:rsidR="00D24533" w:rsidRPr="008D3FC4" w:rsidRDefault="007F6BE7" w:rsidP="00D24533">
            <w:pPr>
              <w:jc w:val="right"/>
              <w:rPr>
                <w:rFonts w:cs="Arial"/>
                <w:sz w:val="20"/>
              </w:rPr>
            </w:pPr>
            <w:r w:rsidRPr="008D3FC4">
              <w:rPr>
                <w:rFonts w:cs="Arial"/>
                <w:sz w:val="20"/>
              </w:rPr>
              <w:t>-</w:t>
            </w:r>
          </w:p>
        </w:tc>
        <w:tc>
          <w:tcPr>
            <w:tcW w:w="1218" w:type="dxa"/>
            <w:tcBorders>
              <w:bottom w:val="single" w:sz="8" w:space="0" w:color="auto"/>
            </w:tcBorders>
          </w:tcPr>
          <w:p w14:paraId="02E7AA16" w14:textId="1E987292" w:rsidR="00D24533" w:rsidRPr="008D3FC4" w:rsidRDefault="007F6BE7" w:rsidP="00D24533">
            <w:pPr>
              <w:jc w:val="right"/>
              <w:rPr>
                <w:rFonts w:cs="Arial"/>
                <w:b/>
                <w:sz w:val="20"/>
              </w:rPr>
            </w:pPr>
            <w:r w:rsidRPr="008D3FC4">
              <w:rPr>
                <w:rFonts w:cs="Arial"/>
                <w:b/>
                <w:sz w:val="20"/>
              </w:rPr>
              <w:t>-</w:t>
            </w:r>
          </w:p>
        </w:tc>
        <w:tc>
          <w:tcPr>
            <w:tcW w:w="1218" w:type="dxa"/>
            <w:tcBorders>
              <w:bottom w:val="single" w:sz="8" w:space="0" w:color="auto"/>
            </w:tcBorders>
          </w:tcPr>
          <w:p w14:paraId="0C74BD93" w14:textId="596FFFB6" w:rsidR="00D24533" w:rsidRPr="008D3FC4" w:rsidRDefault="007F6BE7" w:rsidP="00D24533">
            <w:pPr>
              <w:jc w:val="right"/>
              <w:rPr>
                <w:rFonts w:cs="Arial"/>
                <w:sz w:val="20"/>
              </w:rPr>
            </w:pPr>
            <w:r w:rsidRPr="008D3FC4">
              <w:rPr>
                <w:rFonts w:cs="Arial"/>
                <w:sz w:val="20"/>
              </w:rPr>
              <w:t>-</w:t>
            </w:r>
          </w:p>
        </w:tc>
        <w:tc>
          <w:tcPr>
            <w:tcW w:w="1218" w:type="dxa"/>
            <w:tcBorders>
              <w:bottom w:val="single" w:sz="8" w:space="0" w:color="auto"/>
            </w:tcBorders>
            <w:shd w:val="clear" w:color="auto" w:fill="C5E0B3" w:themeFill="accent6" w:themeFillTint="66"/>
          </w:tcPr>
          <w:p w14:paraId="759970FD" w14:textId="38B1DD8E" w:rsidR="00D24533" w:rsidRPr="008D3FC4" w:rsidRDefault="007F6BE7" w:rsidP="00D24533">
            <w:pPr>
              <w:jc w:val="right"/>
              <w:rPr>
                <w:rFonts w:cs="Arial"/>
                <w:b/>
                <w:sz w:val="20"/>
              </w:rPr>
            </w:pPr>
            <w:r w:rsidRPr="008D3FC4">
              <w:rPr>
                <w:rFonts w:cs="Arial"/>
                <w:b/>
                <w:sz w:val="20"/>
              </w:rPr>
              <w:t>-</w:t>
            </w:r>
          </w:p>
        </w:tc>
      </w:tr>
      <w:tr w:rsidR="00D24533" w:rsidRPr="000127EF" w14:paraId="76C23EE1" w14:textId="77777777" w:rsidTr="004304C1">
        <w:tc>
          <w:tcPr>
            <w:tcW w:w="5783" w:type="dxa"/>
            <w:vMerge/>
          </w:tcPr>
          <w:p w14:paraId="397494D6" w14:textId="77777777" w:rsidR="00D24533" w:rsidRPr="008D3FC4" w:rsidRDefault="00D24533" w:rsidP="00D24533">
            <w:pPr>
              <w:rPr>
                <w:rFonts w:cs="Arial"/>
                <w:b/>
                <w:sz w:val="20"/>
              </w:rPr>
            </w:pPr>
          </w:p>
        </w:tc>
        <w:tc>
          <w:tcPr>
            <w:tcW w:w="1217" w:type="dxa"/>
            <w:tcBorders>
              <w:top w:val="single" w:sz="8" w:space="0" w:color="auto"/>
              <w:bottom w:val="single" w:sz="4" w:space="0" w:color="auto"/>
            </w:tcBorders>
          </w:tcPr>
          <w:p w14:paraId="487EA577" w14:textId="10B7AA5F" w:rsidR="00A7447D" w:rsidRPr="008D3FC4" w:rsidRDefault="008D3FC4" w:rsidP="0058483E">
            <w:pPr>
              <w:jc w:val="right"/>
              <w:rPr>
                <w:rFonts w:cs="Arial"/>
                <w:b/>
                <w:sz w:val="20"/>
              </w:rPr>
            </w:pPr>
            <w:r w:rsidRPr="008D3FC4">
              <w:rPr>
                <w:rFonts w:cs="Arial"/>
                <w:b/>
                <w:sz w:val="20"/>
              </w:rPr>
              <w:t>317</w:t>
            </w:r>
          </w:p>
        </w:tc>
        <w:tc>
          <w:tcPr>
            <w:tcW w:w="1250" w:type="dxa"/>
            <w:tcBorders>
              <w:top w:val="single" w:sz="8" w:space="0" w:color="auto"/>
              <w:bottom w:val="single" w:sz="4" w:space="0" w:color="auto"/>
            </w:tcBorders>
          </w:tcPr>
          <w:p w14:paraId="3D9EAA43" w14:textId="710FB3B5" w:rsidR="00D24533" w:rsidRPr="008D3FC4" w:rsidRDefault="008D3FC4" w:rsidP="00220F45">
            <w:pPr>
              <w:jc w:val="right"/>
              <w:rPr>
                <w:rFonts w:cs="Arial"/>
                <w:b/>
                <w:sz w:val="20"/>
              </w:rPr>
            </w:pPr>
            <w:r w:rsidRPr="008D3FC4">
              <w:rPr>
                <w:rFonts w:cs="Arial"/>
                <w:b/>
                <w:sz w:val="20"/>
              </w:rPr>
              <w:t>1,910</w:t>
            </w:r>
          </w:p>
        </w:tc>
        <w:tc>
          <w:tcPr>
            <w:tcW w:w="1218" w:type="dxa"/>
            <w:tcBorders>
              <w:top w:val="single" w:sz="8" w:space="0" w:color="auto"/>
              <w:bottom w:val="single" w:sz="4" w:space="0" w:color="auto"/>
            </w:tcBorders>
          </w:tcPr>
          <w:p w14:paraId="0AF692A0" w14:textId="026E259D" w:rsidR="00D24533" w:rsidRPr="008D3FC4" w:rsidRDefault="008D3FC4" w:rsidP="00B6580E">
            <w:pPr>
              <w:jc w:val="right"/>
              <w:rPr>
                <w:rFonts w:cs="Arial"/>
                <w:b/>
                <w:sz w:val="20"/>
              </w:rPr>
            </w:pPr>
            <w:r w:rsidRPr="008D3FC4">
              <w:rPr>
                <w:rFonts w:cs="Arial"/>
                <w:b/>
                <w:sz w:val="20"/>
              </w:rPr>
              <w:t>75</w:t>
            </w:r>
          </w:p>
        </w:tc>
        <w:tc>
          <w:tcPr>
            <w:tcW w:w="1219" w:type="dxa"/>
            <w:tcBorders>
              <w:top w:val="single" w:sz="8" w:space="0" w:color="auto"/>
              <w:bottom w:val="single" w:sz="4" w:space="0" w:color="auto"/>
            </w:tcBorders>
          </w:tcPr>
          <w:p w14:paraId="3063C623" w14:textId="56A59914" w:rsidR="00D24533" w:rsidRPr="008D3FC4" w:rsidRDefault="008D3FC4" w:rsidP="001226BC">
            <w:pPr>
              <w:jc w:val="right"/>
              <w:rPr>
                <w:rFonts w:cs="Arial"/>
                <w:b/>
                <w:sz w:val="20"/>
              </w:rPr>
            </w:pPr>
            <w:r w:rsidRPr="008D3FC4">
              <w:rPr>
                <w:rFonts w:cs="Arial"/>
                <w:b/>
                <w:sz w:val="20"/>
              </w:rPr>
              <w:t>(165)</w:t>
            </w:r>
          </w:p>
        </w:tc>
        <w:tc>
          <w:tcPr>
            <w:tcW w:w="1218" w:type="dxa"/>
            <w:tcBorders>
              <w:top w:val="single" w:sz="8" w:space="0" w:color="auto"/>
              <w:bottom w:val="single" w:sz="4" w:space="0" w:color="auto"/>
            </w:tcBorders>
          </w:tcPr>
          <w:p w14:paraId="7EB50786" w14:textId="29EE7214" w:rsidR="00D24533" w:rsidRPr="008D3FC4" w:rsidRDefault="008D3FC4" w:rsidP="00B2006A">
            <w:pPr>
              <w:jc w:val="right"/>
              <w:rPr>
                <w:rFonts w:cs="Arial"/>
                <w:b/>
                <w:sz w:val="20"/>
              </w:rPr>
            </w:pPr>
            <w:r w:rsidRPr="008D3FC4">
              <w:rPr>
                <w:rFonts w:cs="Arial"/>
                <w:b/>
                <w:sz w:val="20"/>
              </w:rPr>
              <w:t>2,137</w:t>
            </w:r>
          </w:p>
        </w:tc>
        <w:tc>
          <w:tcPr>
            <w:tcW w:w="1218" w:type="dxa"/>
            <w:tcBorders>
              <w:top w:val="single" w:sz="8" w:space="0" w:color="auto"/>
              <w:bottom w:val="single" w:sz="4" w:space="0" w:color="auto"/>
            </w:tcBorders>
          </w:tcPr>
          <w:p w14:paraId="01EEA595" w14:textId="6AF151F2" w:rsidR="00D24533" w:rsidRPr="008D3FC4" w:rsidRDefault="008D3FC4" w:rsidP="00F934F1">
            <w:pPr>
              <w:jc w:val="right"/>
              <w:rPr>
                <w:rFonts w:cs="Arial"/>
                <w:b/>
                <w:sz w:val="20"/>
              </w:rPr>
            </w:pPr>
            <w:r w:rsidRPr="008D3FC4">
              <w:rPr>
                <w:rFonts w:cs="Arial"/>
                <w:b/>
                <w:sz w:val="20"/>
              </w:rPr>
              <w:t>9,</w:t>
            </w:r>
            <w:r w:rsidR="006C0749">
              <w:rPr>
                <w:rFonts w:cs="Arial"/>
                <w:b/>
                <w:sz w:val="20"/>
              </w:rPr>
              <w:t>709</w:t>
            </w:r>
          </w:p>
        </w:tc>
        <w:tc>
          <w:tcPr>
            <w:tcW w:w="1218" w:type="dxa"/>
            <w:tcBorders>
              <w:top w:val="single" w:sz="8" w:space="0" w:color="auto"/>
              <w:bottom w:val="single" w:sz="4" w:space="0" w:color="auto"/>
            </w:tcBorders>
            <w:shd w:val="clear" w:color="auto" w:fill="C5E0B3" w:themeFill="accent6" w:themeFillTint="66"/>
          </w:tcPr>
          <w:p w14:paraId="3B52E905" w14:textId="020207F9" w:rsidR="00D24533" w:rsidRPr="008D3FC4" w:rsidRDefault="008D3FC4" w:rsidP="008F11C9">
            <w:pPr>
              <w:jc w:val="right"/>
              <w:rPr>
                <w:rFonts w:cs="Arial"/>
                <w:b/>
                <w:sz w:val="20"/>
              </w:rPr>
            </w:pPr>
            <w:r w:rsidRPr="008D3FC4">
              <w:rPr>
                <w:rFonts w:cs="Arial"/>
                <w:b/>
                <w:sz w:val="20"/>
              </w:rPr>
              <w:t>11,</w:t>
            </w:r>
            <w:r w:rsidR="006C0749">
              <w:rPr>
                <w:rFonts w:cs="Arial"/>
                <w:b/>
                <w:sz w:val="20"/>
              </w:rPr>
              <w:t>847</w:t>
            </w:r>
          </w:p>
        </w:tc>
      </w:tr>
      <w:tr w:rsidR="00D24533" w:rsidRPr="000127EF" w14:paraId="28A40FF6" w14:textId="77777777" w:rsidTr="004304C1">
        <w:trPr>
          <w:trHeight w:val="351"/>
        </w:trPr>
        <w:tc>
          <w:tcPr>
            <w:tcW w:w="5783" w:type="dxa"/>
            <w:vAlign w:val="center"/>
          </w:tcPr>
          <w:p w14:paraId="14F33B52" w14:textId="109F32B4" w:rsidR="00D24533" w:rsidRPr="008D3FC4" w:rsidRDefault="00B23AA1" w:rsidP="00D24533">
            <w:pPr>
              <w:rPr>
                <w:rFonts w:cs="Arial"/>
                <w:b/>
                <w:sz w:val="20"/>
              </w:rPr>
            </w:pPr>
            <w:r w:rsidRPr="008D3FC4">
              <w:rPr>
                <w:rFonts w:cs="Arial"/>
                <w:b/>
                <w:sz w:val="20"/>
              </w:rPr>
              <w:t>Balance 31 March 2020</w:t>
            </w:r>
          </w:p>
        </w:tc>
        <w:tc>
          <w:tcPr>
            <w:tcW w:w="1217" w:type="dxa"/>
            <w:tcBorders>
              <w:top w:val="single" w:sz="4" w:space="0" w:color="auto"/>
              <w:bottom w:val="single" w:sz="4" w:space="0" w:color="auto"/>
            </w:tcBorders>
            <w:vAlign w:val="center"/>
          </w:tcPr>
          <w:p w14:paraId="52377CC0" w14:textId="5DE832C5" w:rsidR="00D24533" w:rsidRPr="008D3FC4" w:rsidRDefault="008E2034" w:rsidP="0058483E">
            <w:pPr>
              <w:jc w:val="right"/>
              <w:rPr>
                <w:rFonts w:cs="Arial"/>
                <w:b/>
                <w:sz w:val="20"/>
              </w:rPr>
            </w:pPr>
            <w:r>
              <w:rPr>
                <w:rFonts w:cs="Arial"/>
                <w:b/>
                <w:sz w:val="20"/>
              </w:rPr>
              <w:t>9,281</w:t>
            </w:r>
          </w:p>
        </w:tc>
        <w:tc>
          <w:tcPr>
            <w:tcW w:w="1250" w:type="dxa"/>
            <w:tcBorders>
              <w:top w:val="single" w:sz="4" w:space="0" w:color="auto"/>
              <w:bottom w:val="single" w:sz="4" w:space="0" w:color="auto"/>
            </w:tcBorders>
            <w:vAlign w:val="center"/>
          </w:tcPr>
          <w:p w14:paraId="35B9A1ED" w14:textId="6BB2B4A9" w:rsidR="00D24533" w:rsidRPr="008D3FC4" w:rsidRDefault="008D3FC4" w:rsidP="00D24533">
            <w:pPr>
              <w:jc w:val="right"/>
              <w:rPr>
                <w:rFonts w:cs="Arial"/>
                <w:b/>
                <w:sz w:val="20"/>
              </w:rPr>
            </w:pPr>
            <w:r w:rsidRPr="008D3FC4">
              <w:rPr>
                <w:rFonts w:cs="Arial"/>
                <w:b/>
                <w:sz w:val="20"/>
              </w:rPr>
              <w:t>14,485</w:t>
            </w:r>
          </w:p>
        </w:tc>
        <w:tc>
          <w:tcPr>
            <w:tcW w:w="1218" w:type="dxa"/>
            <w:tcBorders>
              <w:top w:val="single" w:sz="4" w:space="0" w:color="auto"/>
              <w:bottom w:val="single" w:sz="4" w:space="0" w:color="auto"/>
            </w:tcBorders>
            <w:vAlign w:val="center"/>
          </w:tcPr>
          <w:p w14:paraId="2D85C236" w14:textId="44890EF8" w:rsidR="00D24533" w:rsidRPr="008D3FC4" w:rsidRDefault="008E2034" w:rsidP="00D24533">
            <w:pPr>
              <w:jc w:val="right"/>
              <w:rPr>
                <w:rFonts w:cs="Arial"/>
                <w:b/>
                <w:sz w:val="20"/>
              </w:rPr>
            </w:pPr>
            <w:r>
              <w:rPr>
                <w:rFonts w:cs="Arial"/>
                <w:b/>
                <w:sz w:val="20"/>
              </w:rPr>
              <w:t>1,517</w:t>
            </w:r>
          </w:p>
        </w:tc>
        <w:tc>
          <w:tcPr>
            <w:tcW w:w="1219" w:type="dxa"/>
            <w:tcBorders>
              <w:top w:val="single" w:sz="4" w:space="0" w:color="auto"/>
              <w:bottom w:val="single" w:sz="4" w:space="0" w:color="auto"/>
            </w:tcBorders>
            <w:vAlign w:val="center"/>
          </w:tcPr>
          <w:p w14:paraId="7F786589" w14:textId="71A984EE" w:rsidR="00D24533" w:rsidRPr="008D3FC4" w:rsidRDefault="008D3FC4" w:rsidP="00B82C5C">
            <w:pPr>
              <w:jc w:val="right"/>
              <w:rPr>
                <w:rFonts w:cs="Arial"/>
                <w:b/>
                <w:sz w:val="20"/>
              </w:rPr>
            </w:pPr>
            <w:r w:rsidRPr="008D3FC4">
              <w:rPr>
                <w:rFonts w:cs="Arial"/>
                <w:b/>
                <w:sz w:val="20"/>
              </w:rPr>
              <w:t>6,442</w:t>
            </w:r>
          </w:p>
        </w:tc>
        <w:tc>
          <w:tcPr>
            <w:tcW w:w="1218" w:type="dxa"/>
            <w:tcBorders>
              <w:top w:val="single" w:sz="4" w:space="0" w:color="auto"/>
              <w:bottom w:val="single" w:sz="4" w:space="0" w:color="auto"/>
            </w:tcBorders>
            <w:vAlign w:val="center"/>
          </w:tcPr>
          <w:p w14:paraId="48DC2364" w14:textId="617B2ADB" w:rsidR="00D24533" w:rsidRPr="008D3FC4" w:rsidRDefault="008E2034" w:rsidP="00B2006A">
            <w:pPr>
              <w:jc w:val="right"/>
              <w:rPr>
                <w:rFonts w:cs="Arial"/>
                <w:b/>
                <w:sz w:val="20"/>
              </w:rPr>
            </w:pPr>
            <w:r>
              <w:rPr>
                <w:rFonts w:cs="Arial"/>
                <w:b/>
                <w:sz w:val="20"/>
              </w:rPr>
              <w:t>31,725</w:t>
            </w:r>
          </w:p>
        </w:tc>
        <w:tc>
          <w:tcPr>
            <w:tcW w:w="1218" w:type="dxa"/>
            <w:tcBorders>
              <w:top w:val="single" w:sz="4" w:space="0" w:color="auto"/>
              <w:bottom w:val="single" w:sz="4" w:space="0" w:color="auto"/>
            </w:tcBorders>
            <w:vAlign w:val="center"/>
          </w:tcPr>
          <w:p w14:paraId="40469F73" w14:textId="1B81E3A0" w:rsidR="00D24533" w:rsidRPr="008D3FC4" w:rsidRDefault="006C0749" w:rsidP="0058483E">
            <w:pPr>
              <w:jc w:val="right"/>
              <w:rPr>
                <w:rFonts w:cs="Arial"/>
                <w:b/>
                <w:sz w:val="20"/>
              </w:rPr>
            </w:pPr>
            <w:r>
              <w:rPr>
                <w:rFonts w:cs="Arial"/>
                <w:b/>
                <w:sz w:val="20"/>
              </w:rPr>
              <w:t>12,168</w:t>
            </w:r>
          </w:p>
        </w:tc>
        <w:tc>
          <w:tcPr>
            <w:tcW w:w="1218" w:type="dxa"/>
            <w:tcBorders>
              <w:top w:val="single" w:sz="4" w:space="0" w:color="auto"/>
              <w:bottom w:val="single" w:sz="4" w:space="0" w:color="auto"/>
            </w:tcBorders>
            <w:shd w:val="clear" w:color="auto" w:fill="C5E0B3" w:themeFill="accent6" w:themeFillTint="66"/>
            <w:vAlign w:val="center"/>
          </w:tcPr>
          <w:p w14:paraId="705FDCBC" w14:textId="66ED799C" w:rsidR="00D24533" w:rsidRPr="008D3FC4" w:rsidRDefault="008E2034" w:rsidP="008F11C9">
            <w:pPr>
              <w:jc w:val="right"/>
              <w:rPr>
                <w:rFonts w:cs="Arial"/>
                <w:b/>
                <w:sz w:val="20"/>
              </w:rPr>
            </w:pPr>
            <w:r>
              <w:rPr>
                <w:rFonts w:cs="Arial"/>
                <w:b/>
                <w:sz w:val="20"/>
              </w:rPr>
              <w:t>43,</w:t>
            </w:r>
            <w:r w:rsidR="006C0749">
              <w:rPr>
                <w:rFonts w:cs="Arial"/>
                <w:b/>
                <w:sz w:val="20"/>
              </w:rPr>
              <w:t>891</w:t>
            </w:r>
          </w:p>
        </w:tc>
      </w:tr>
      <w:tr w:rsidR="00D24533" w:rsidRPr="000127EF" w14:paraId="6C94A572" w14:textId="77777777" w:rsidTr="004304C1">
        <w:tc>
          <w:tcPr>
            <w:tcW w:w="5783" w:type="dxa"/>
          </w:tcPr>
          <w:p w14:paraId="390506FE" w14:textId="77777777" w:rsidR="00D24533" w:rsidRPr="000127EF" w:rsidRDefault="00D24533" w:rsidP="00D24533">
            <w:pPr>
              <w:rPr>
                <w:sz w:val="12"/>
                <w:szCs w:val="12"/>
              </w:rPr>
            </w:pPr>
          </w:p>
        </w:tc>
        <w:tc>
          <w:tcPr>
            <w:tcW w:w="1217" w:type="dxa"/>
            <w:tcBorders>
              <w:top w:val="single" w:sz="4" w:space="0" w:color="auto"/>
            </w:tcBorders>
          </w:tcPr>
          <w:p w14:paraId="10EA01B6" w14:textId="77777777" w:rsidR="00D24533" w:rsidRPr="000127EF" w:rsidRDefault="00D24533" w:rsidP="00D24533">
            <w:pPr>
              <w:jc w:val="right"/>
              <w:rPr>
                <w:sz w:val="12"/>
                <w:szCs w:val="12"/>
              </w:rPr>
            </w:pPr>
          </w:p>
        </w:tc>
        <w:tc>
          <w:tcPr>
            <w:tcW w:w="1250" w:type="dxa"/>
            <w:tcBorders>
              <w:top w:val="single" w:sz="4" w:space="0" w:color="auto"/>
            </w:tcBorders>
          </w:tcPr>
          <w:p w14:paraId="7C5068DF" w14:textId="77777777" w:rsidR="00D24533" w:rsidRPr="000127EF" w:rsidRDefault="00D24533" w:rsidP="00D24533">
            <w:pPr>
              <w:jc w:val="right"/>
              <w:rPr>
                <w:sz w:val="12"/>
                <w:szCs w:val="12"/>
              </w:rPr>
            </w:pPr>
          </w:p>
        </w:tc>
        <w:tc>
          <w:tcPr>
            <w:tcW w:w="1218" w:type="dxa"/>
            <w:tcBorders>
              <w:top w:val="single" w:sz="4" w:space="0" w:color="auto"/>
            </w:tcBorders>
          </w:tcPr>
          <w:p w14:paraId="33D43756" w14:textId="77777777" w:rsidR="00D24533" w:rsidRPr="000127EF" w:rsidRDefault="00D24533" w:rsidP="00D24533">
            <w:pPr>
              <w:jc w:val="right"/>
              <w:rPr>
                <w:sz w:val="12"/>
                <w:szCs w:val="12"/>
              </w:rPr>
            </w:pPr>
          </w:p>
        </w:tc>
        <w:tc>
          <w:tcPr>
            <w:tcW w:w="1219" w:type="dxa"/>
            <w:tcBorders>
              <w:top w:val="single" w:sz="4" w:space="0" w:color="auto"/>
            </w:tcBorders>
          </w:tcPr>
          <w:p w14:paraId="6F5BAFB0" w14:textId="77777777" w:rsidR="00D24533" w:rsidRPr="000127EF" w:rsidRDefault="00D24533" w:rsidP="00D24533">
            <w:pPr>
              <w:jc w:val="right"/>
              <w:rPr>
                <w:sz w:val="12"/>
                <w:szCs w:val="12"/>
              </w:rPr>
            </w:pPr>
          </w:p>
        </w:tc>
        <w:tc>
          <w:tcPr>
            <w:tcW w:w="1218" w:type="dxa"/>
            <w:tcBorders>
              <w:top w:val="single" w:sz="4" w:space="0" w:color="auto"/>
            </w:tcBorders>
          </w:tcPr>
          <w:p w14:paraId="2B6FDDC9" w14:textId="77777777" w:rsidR="00D24533" w:rsidRPr="000127EF" w:rsidRDefault="00D24533" w:rsidP="00D24533">
            <w:pPr>
              <w:jc w:val="right"/>
              <w:rPr>
                <w:b/>
                <w:sz w:val="12"/>
                <w:szCs w:val="12"/>
              </w:rPr>
            </w:pPr>
          </w:p>
        </w:tc>
        <w:tc>
          <w:tcPr>
            <w:tcW w:w="1218" w:type="dxa"/>
            <w:tcBorders>
              <w:top w:val="single" w:sz="4" w:space="0" w:color="auto"/>
            </w:tcBorders>
          </w:tcPr>
          <w:p w14:paraId="7D9C42C1" w14:textId="77777777" w:rsidR="00D24533" w:rsidRPr="000127EF" w:rsidRDefault="00D24533" w:rsidP="00D24533">
            <w:pPr>
              <w:jc w:val="right"/>
              <w:rPr>
                <w:sz w:val="12"/>
                <w:szCs w:val="12"/>
              </w:rPr>
            </w:pPr>
          </w:p>
        </w:tc>
        <w:tc>
          <w:tcPr>
            <w:tcW w:w="1218" w:type="dxa"/>
            <w:tcBorders>
              <w:top w:val="single" w:sz="4" w:space="0" w:color="auto"/>
            </w:tcBorders>
          </w:tcPr>
          <w:p w14:paraId="6EB9E50A" w14:textId="77777777" w:rsidR="00D24533" w:rsidRPr="000127EF" w:rsidRDefault="00D24533" w:rsidP="00D24533">
            <w:pPr>
              <w:jc w:val="right"/>
              <w:rPr>
                <w:b/>
                <w:sz w:val="12"/>
                <w:szCs w:val="12"/>
              </w:rPr>
            </w:pPr>
          </w:p>
        </w:tc>
      </w:tr>
    </w:tbl>
    <w:p w14:paraId="1D9BE726" w14:textId="77777777" w:rsidR="002C0644" w:rsidRPr="000127EF" w:rsidRDefault="002C0644" w:rsidP="00131E8B">
      <w:pPr>
        <w:sectPr w:rsidR="002C0644" w:rsidRPr="000127EF" w:rsidSect="008C78E8">
          <w:pgSz w:w="16840" w:h="11907" w:orient="landscape" w:code="9"/>
          <w:pgMar w:top="709" w:right="1135" w:bottom="992" w:left="1440" w:header="567" w:footer="851" w:gutter="0"/>
          <w:paperSrc w:first="7" w:other="7"/>
          <w:cols w:space="720"/>
          <w:docGrid w:linePitch="299"/>
        </w:sectPr>
      </w:pPr>
    </w:p>
    <w:p w14:paraId="00FF6377" w14:textId="77777777" w:rsidR="002C0644" w:rsidRPr="000127EF" w:rsidRDefault="002C0644" w:rsidP="002C0644">
      <w:pPr>
        <w:pStyle w:val="MainSoAHeading"/>
      </w:pPr>
      <w:bookmarkStart w:id="14" w:name="_Toc54886656"/>
      <w:r w:rsidRPr="000127EF">
        <w:lastRenderedPageBreak/>
        <w:t>Balance Sheet</w:t>
      </w:r>
      <w:bookmarkEnd w:id="14"/>
    </w:p>
    <w:p w14:paraId="60978AB8" w14:textId="77777777" w:rsidR="002C0644" w:rsidRPr="000127EF" w:rsidRDefault="00661E70" w:rsidP="002C0644">
      <w:r>
        <w:pict w14:anchorId="71DC1C50">
          <v:rect id="_x0000_i1032" style="width:510.3pt;height:2pt" o:hralign="center" o:hrstd="t" o:hrnoshade="t" o:hr="t" fillcolor="#a8d08d [1945]" stroked="f"/>
        </w:pict>
      </w:r>
    </w:p>
    <w:p w14:paraId="30B1A16B" w14:textId="77777777" w:rsidR="002C0644" w:rsidRPr="000127EF" w:rsidRDefault="002C0644" w:rsidP="002C0644"/>
    <w:p w14:paraId="298A4C61" w14:textId="5D866689" w:rsidR="00131E8B" w:rsidRPr="000127EF" w:rsidRDefault="002C0644" w:rsidP="002C0644">
      <w:pPr>
        <w:spacing w:after="120"/>
        <w:jc w:val="both"/>
      </w:pPr>
      <w:r w:rsidRPr="000127EF">
        <w:t xml:space="preserve">The Balance Sheet shows the value as at the Balance Sheet date of the assets and liabilities recognised by the Council. The net assets of the Council (assets less liabilities) are matched by the reserves held by the Council.  Reserves are reported in two categories. The first category of reserve are usable reserves, </w:t>
      </w:r>
      <w:r w:rsidR="003D130F" w:rsidRPr="000127EF">
        <w:t>i.e.</w:t>
      </w:r>
      <w:r w:rsidRPr="000127EF">
        <w:t xml:space="preserve"> those reserves that the Council may use to provide services, subject to the need to maintain a prudent level of reserves and any statutory limitations on their use (for example the Capital Receipts Reserve may only be used to fund capital expenditure or repay debt). The second category of reserves is those that the Council is not able to use to provide services. This category of reserves includes the reserves that hold unrealised gains and losses (for example the Revaluation Reserve), where amounts would only become available to provide services if the assets are sold; and reserves that hold timing differences shown in the Movement in Reserves Statement, page 1</w:t>
      </w:r>
      <w:r w:rsidR="00437EAA" w:rsidRPr="000127EF">
        <w:t>7</w:t>
      </w:r>
      <w:r w:rsidRPr="000127EF">
        <w:t>, line ‘Adjustments between accounting basis and funding basis under regulations’.</w:t>
      </w:r>
    </w:p>
    <w:tbl>
      <w:tblPr>
        <w:tblStyle w:val="TableGrid"/>
        <w:tblW w:w="8506"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263"/>
        <w:gridCol w:w="4817"/>
        <w:gridCol w:w="863"/>
        <w:gridCol w:w="1563"/>
      </w:tblGrid>
      <w:tr w:rsidR="00316D3C" w:rsidRPr="000127EF" w14:paraId="3D6A8A60" w14:textId="77777777" w:rsidTr="00A22BF2">
        <w:trPr>
          <w:jc w:val="center"/>
        </w:trPr>
        <w:tc>
          <w:tcPr>
            <w:tcW w:w="1263" w:type="dxa"/>
            <w:tcBorders>
              <w:top w:val="single" w:sz="18" w:space="0" w:color="A8D08D" w:themeColor="accent6" w:themeTint="99"/>
            </w:tcBorders>
          </w:tcPr>
          <w:p w14:paraId="39A0FC28" w14:textId="16CD51C2" w:rsidR="00316D3C" w:rsidRPr="000127EF" w:rsidRDefault="00864BA5" w:rsidP="00190C88">
            <w:pPr>
              <w:jc w:val="center"/>
              <w:rPr>
                <w:b/>
                <w:i/>
              </w:rPr>
            </w:pPr>
            <w:r>
              <w:rPr>
                <w:b/>
                <w:i/>
              </w:rPr>
              <w:t>31 March 2019</w:t>
            </w:r>
          </w:p>
        </w:tc>
        <w:tc>
          <w:tcPr>
            <w:tcW w:w="4817" w:type="dxa"/>
            <w:tcBorders>
              <w:top w:val="single" w:sz="18" w:space="0" w:color="A8D08D" w:themeColor="accent6" w:themeTint="99"/>
            </w:tcBorders>
            <w:vAlign w:val="center"/>
          </w:tcPr>
          <w:p w14:paraId="6FF658FB" w14:textId="77777777" w:rsidR="00316D3C" w:rsidRPr="000127EF" w:rsidRDefault="00316D3C" w:rsidP="00601C81">
            <w:pPr>
              <w:jc w:val="center"/>
              <w:rPr>
                <w:b/>
              </w:rPr>
            </w:pPr>
            <w:r w:rsidRPr="000127EF">
              <w:rPr>
                <w:b/>
              </w:rPr>
              <w:t>Balance Sheet</w:t>
            </w:r>
          </w:p>
        </w:tc>
        <w:tc>
          <w:tcPr>
            <w:tcW w:w="863" w:type="dxa"/>
            <w:tcBorders>
              <w:top w:val="single" w:sz="18" w:space="0" w:color="A8D08D" w:themeColor="accent6" w:themeTint="99"/>
            </w:tcBorders>
            <w:vAlign w:val="center"/>
          </w:tcPr>
          <w:p w14:paraId="58C075D7" w14:textId="77777777" w:rsidR="00316D3C" w:rsidRPr="000127EF" w:rsidRDefault="00316D3C" w:rsidP="00601C81">
            <w:pPr>
              <w:jc w:val="center"/>
              <w:rPr>
                <w:b/>
              </w:rPr>
            </w:pPr>
            <w:r w:rsidRPr="000127EF">
              <w:rPr>
                <w:b/>
              </w:rPr>
              <w:t>Notes</w:t>
            </w:r>
          </w:p>
        </w:tc>
        <w:tc>
          <w:tcPr>
            <w:tcW w:w="1563" w:type="dxa"/>
            <w:tcBorders>
              <w:top w:val="single" w:sz="18" w:space="0" w:color="A8D08D" w:themeColor="accent6" w:themeTint="99"/>
            </w:tcBorders>
          </w:tcPr>
          <w:p w14:paraId="6A759F3B" w14:textId="16A097B2" w:rsidR="00316D3C" w:rsidRPr="006826B4" w:rsidRDefault="00864BA5" w:rsidP="002C0644">
            <w:pPr>
              <w:jc w:val="center"/>
              <w:rPr>
                <w:b/>
              </w:rPr>
            </w:pPr>
            <w:r w:rsidRPr="006826B4">
              <w:rPr>
                <w:b/>
              </w:rPr>
              <w:t>31 March 2020</w:t>
            </w:r>
          </w:p>
        </w:tc>
      </w:tr>
      <w:tr w:rsidR="00316D3C" w:rsidRPr="000127EF" w14:paraId="21B81B36" w14:textId="77777777" w:rsidTr="00A22BF2">
        <w:trPr>
          <w:jc w:val="center"/>
        </w:trPr>
        <w:tc>
          <w:tcPr>
            <w:tcW w:w="1263" w:type="dxa"/>
          </w:tcPr>
          <w:p w14:paraId="3B4B6CF3" w14:textId="77777777" w:rsidR="00316D3C" w:rsidRPr="000127EF" w:rsidRDefault="00316D3C" w:rsidP="00190C88">
            <w:pPr>
              <w:jc w:val="center"/>
              <w:rPr>
                <w:b/>
                <w:i/>
              </w:rPr>
            </w:pPr>
            <w:r w:rsidRPr="000127EF">
              <w:rPr>
                <w:b/>
                <w:i/>
              </w:rPr>
              <w:t>£000</w:t>
            </w:r>
          </w:p>
        </w:tc>
        <w:tc>
          <w:tcPr>
            <w:tcW w:w="4817" w:type="dxa"/>
          </w:tcPr>
          <w:p w14:paraId="579F8B94" w14:textId="77777777" w:rsidR="00316D3C" w:rsidRPr="000127EF" w:rsidRDefault="00316D3C" w:rsidP="002C0644">
            <w:pPr>
              <w:jc w:val="center"/>
              <w:rPr>
                <w:b/>
              </w:rPr>
            </w:pPr>
          </w:p>
        </w:tc>
        <w:tc>
          <w:tcPr>
            <w:tcW w:w="863" w:type="dxa"/>
          </w:tcPr>
          <w:p w14:paraId="1EBA9CC9" w14:textId="77777777" w:rsidR="00316D3C" w:rsidRPr="000127EF" w:rsidRDefault="00316D3C" w:rsidP="002C0644">
            <w:pPr>
              <w:jc w:val="center"/>
              <w:rPr>
                <w:b/>
              </w:rPr>
            </w:pPr>
          </w:p>
        </w:tc>
        <w:tc>
          <w:tcPr>
            <w:tcW w:w="1563" w:type="dxa"/>
            <w:shd w:val="clear" w:color="auto" w:fill="C5E0B3" w:themeFill="accent6" w:themeFillTint="66"/>
          </w:tcPr>
          <w:p w14:paraId="781D93B2" w14:textId="77777777" w:rsidR="00316D3C" w:rsidRPr="006826B4" w:rsidRDefault="00316D3C" w:rsidP="002C0644">
            <w:pPr>
              <w:jc w:val="center"/>
              <w:rPr>
                <w:b/>
              </w:rPr>
            </w:pPr>
            <w:r w:rsidRPr="006826B4">
              <w:rPr>
                <w:b/>
              </w:rPr>
              <w:t>£000</w:t>
            </w:r>
          </w:p>
        </w:tc>
      </w:tr>
      <w:tr w:rsidR="00864BA5" w:rsidRPr="000127EF" w14:paraId="6007D5BA" w14:textId="77777777" w:rsidTr="00A22BF2">
        <w:trPr>
          <w:jc w:val="center"/>
        </w:trPr>
        <w:tc>
          <w:tcPr>
            <w:tcW w:w="1263" w:type="dxa"/>
          </w:tcPr>
          <w:p w14:paraId="2EF8B0B9" w14:textId="7CD8F046" w:rsidR="00864BA5" w:rsidRPr="000127EF" w:rsidRDefault="00864BA5" w:rsidP="00864BA5">
            <w:pPr>
              <w:jc w:val="right"/>
              <w:rPr>
                <w:i/>
              </w:rPr>
            </w:pPr>
            <w:r w:rsidRPr="000127EF">
              <w:t>69,694</w:t>
            </w:r>
          </w:p>
        </w:tc>
        <w:tc>
          <w:tcPr>
            <w:tcW w:w="4817" w:type="dxa"/>
          </w:tcPr>
          <w:p w14:paraId="15A07556" w14:textId="77777777" w:rsidR="00864BA5" w:rsidRPr="000127EF" w:rsidRDefault="00864BA5" w:rsidP="00864BA5">
            <w:pPr>
              <w:jc w:val="both"/>
            </w:pPr>
            <w:r w:rsidRPr="000127EF">
              <w:t>Property, Plant &amp; Equipment</w:t>
            </w:r>
          </w:p>
        </w:tc>
        <w:tc>
          <w:tcPr>
            <w:tcW w:w="863" w:type="dxa"/>
            <w:vAlign w:val="center"/>
          </w:tcPr>
          <w:p w14:paraId="47C22CB3" w14:textId="5E26CF1A" w:rsidR="00864BA5" w:rsidRPr="000127EF" w:rsidRDefault="00C45144" w:rsidP="00864BA5">
            <w:pPr>
              <w:jc w:val="right"/>
            </w:pPr>
            <w:r>
              <w:t>17</w:t>
            </w:r>
          </w:p>
        </w:tc>
        <w:tc>
          <w:tcPr>
            <w:tcW w:w="1563" w:type="dxa"/>
            <w:shd w:val="clear" w:color="auto" w:fill="C5E0B3" w:themeFill="accent6" w:themeFillTint="66"/>
          </w:tcPr>
          <w:p w14:paraId="7F399B4D" w14:textId="7DC992A7" w:rsidR="00864BA5" w:rsidRPr="006826B4" w:rsidRDefault="006826B4" w:rsidP="00864BA5">
            <w:pPr>
              <w:jc w:val="right"/>
            </w:pPr>
            <w:r w:rsidRPr="006826B4">
              <w:t>71,814</w:t>
            </w:r>
          </w:p>
        </w:tc>
      </w:tr>
      <w:tr w:rsidR="00864BA5" w:rsidRPr="000127EF" w14:paraId="15F3E157" w14:textId="77777777" w:rsidTr="00A22BF2">
        <w:trPr>
          <w:jc w:val="center"/>
        </w:trPr>
        <w:tc>
          <w:tcPr>
            <w:tcW w:w="1263" w:type="dxa"/>
          </w:tcPr>
          <w:p w14:paraId="279F2B0C" w14:textId="2FB7267A" w:rsidR="00864BA5" w:rsidRPr="000127EF" w:rsidRDefault="00864BA5" w:rsidP="00864BA5">
            <w:pPr>
              <w:jc w:val="right"/>
              <w:rPr>
                <w:i/>
              </w:rPr>
            </w:pPr>
            <w:r w:rsidRPr="000127EF">
              <w:t>496</w:t>
            </w:r>
          </w:p>
        </w:tc>
        <w:tc>
          <w:tcPr>
            <w:tcW w:w="4817" w:type="dxa"/>
          </w:tcPr>
          <w:p w14:paraId="2043231C" w14:textId="77777777" w:rsidR="00864BA5" w:rsidRPr="000127EF" w:rsidRDefault="00864BA5" w:rsidP="00864BA5">
            <w:pPr>
              <w:jc w:val="both"/>
            </w:pPr>
            <w:r w:rsidRPr="000127EF">
              <w:t>Intangible Assets</w:t>
            </w:r>
          </w:p>
        </w:tc>
        <w:tc>
          <w:tcPr>
            <w:tcW w:w="863" w:type="dxa"/>
            <w:vAlign w:val="center"/>
          </w:tcPr>
          <w:p w14:paraId="4AA6A20B" w14:textId="71AA427D" w:rsidR="00864BA5" w:rsidRPr="000127EF" w:rsidRDefault="00C45144" w:rsidP="00864BA5">
            <w:pPr>
              <w:jc w:val="right"/>
            </w:pPr>
            <w:r>
              <w:t>23</w:t>
            </w:r>
          </w:p>
        </w:tc>
        <w:tc>
          <w:tcPr>
            <w:tcW w:w="1563" w:type="dxa"/>
            <w:shd w:val="clear" w:color="auto" w:fill="C5E0B3" w:themeFill="accent6" w:themeFillTint="66"/>
          </w:tcPr>
          <w:p w14:paraId="75A354AA" w14:textId="390C082E" w:rsidR="00864BA5" w:rsidRPr="006826B4" w:rsidRDefault="006826B4" w:rsidP="00864BA5">
            <w:pPr>
              <w:jc w:val="right"/>
            </w:pPr>
            <w:r w:rsidRPr="006826B4">
              <w:t>384</w:t>
            </w:r>
          </w:p>
        </w:tc>
      </w:tr>
      <w:tr w:rsidR="00864BA5" w:rsidRPr="000127EF" w14:paraId="6FFE9AB9" w14:textId="77777777" w:rsidTr="00B5206E">
        <w:trPr>
          <w:jc w:val="center"/>
        </w:trPr>
        <w:tc>
          <w:tcPr>
            <w:tcW w:w="1263" w:type="dxa"/>
            <w:tcBorders>
              <w:top w:val="nil"/>
              <w:bottom w:val="single" w:sz="8" w:space="0" w:color="auto"/>
            </w:tcBorders>
          </w:tcPr>
          <w:p w14:paraId="48188984" w14:textId="1BE48B18" w:rsidR="00864BA5" w:rsidRPr="000127EF" w:rsidRDefault="00864BA5" w:rsidP="00864BA5">
            <w:pPr>
              <w:jc w:val="right"/>
              <w:rPr>
                <w:i/>
              </w:rPr>
            </w:pPr>
            <w:r w:rsidRPr="000127EF">
              <w:t>189</w:t>
            </w:r>
          </w:p>
        </w:tc>
        <w:tc>
          <w:tcPr>
            <w:tcW w:w="4817" w:type="dxa"/>
          </w:tcPr>
          <w:p w14:paraId="70606EA8" w14:textId="77777777" w:rsidR="00864BA5" w:rsidRPr="000127EF" w:rsidRDefault="00864BA5" w:rsidP="00864BA5">
            <w:pPr>
              <w:jc w:val="both"/>
            </w:pPr>
            <w:r w:rsidRPr="000127EF">
              <w:t>Long Term Debtors</w:t>
            </w:r>
          </w:p>
        </w:tc>
        <w:tc>
          <w:tcPr>
            <w:tcW w:w="863" w:type="dxa"/>
            <w:vAlign w:val="center"/>
          </w:tcPr>
          <w:p w14:paraId="3E821DD7" w14:textId="5A707E3B" w:rsidR="00864BA5" w:rsidRPr="000127EF" w:rsidRDefault="00C45144" w:rsidP="00864BA5">
            <w:pPr>
              <w:jc w:val="right"/>
            </w:pPr>
            <w:r>
              <w:t>22</w:t>
            </w:r>
          </w:p>
        </w:tc>
        <w:tc>
          <w:tcPr>
            <w:tcW w:w="1563" w:type="dxa"/>
            <w:tcBorders>
              <w:top w:val="nil"/>
              <w:bottom w:val="single" w:sz="8" w:space="0" w:color="auto"/>
            </w:tcBorders>
            <w:shd w:val="clear" w:color="auto" w:fill="C5E0B3" w:themeFill="accent6" w:themeFillTint="66"/>
          </w:tcPr>
          <w:p w14:paraId="20BF8FDB" w14:textId="1DA29BC3" w:rsidR="00864BA5" w:rsidRPr="006826B4" w:rsidRDefault="006826B4" w:rsidP="00864BA5">
            <w:pPr>
              <w:jc w:val="right"/>
            </w:pPr>
            <w:r w:rsidRPr="006826B4">
              <w:t>149</w:t>
            </w:r>
          </w:p>
        </w:tc>
      </w:tr>
      <w:tr w:rsidR="00864BA5" w:rsidRPr="000127EF" w14:paraId="3F750339" w14:textId="77777777" w:rsidTr="00A22BF2">
        <w:trPr>
          <w:jc w:val="center"/>
        </w:trPr>
        <w:tc>
          <w:tcPr>
            <w:tcW w:w="1263" w:type="dxa"/>
            <w:tcBorders>
              <w:top w:val="single" w:sz="8" w:space="0" w:color="auto"/>
            </w:tcBorders>
          </w:tcPr>
          <w:p w14:paraId="1582A711" w14:textId="0A786867" w:rsidR="00864BA5" w:rsidRPr="000127EF" w:rsidRDefault="00CF206B" w:rsidP="00864BA5">
            <w:pPr>
              <w:jc w:val="right"/>
              <w:rPr>
                <w:b/>
                <w:i/>
              </w:rPr>
            </w:pPr>
            <w:r>
              <w:rPr>
                <w:b/>
                <w:i/>
              </w:rPr>
              <w:fldChar w:fldCharType="begin"/>
            </w:r>
            <w:r>
              <w:rPr>
                <w:b/>
                <w:i/>
              </w:rPr>
              <w:instrText xml:space="preserve"> =SUM(a2:a5) \# "#,##0" </w:instrText>
            </w:r>
            <w:r>
              <w:rPr>
                <w:b/>
                <w:i/>
              </w:rPr>
              <w:fldChar w:fldCharType="separate"/>
            </w:r>
            <w:r>
              <w:rPr>
                <w:b/>
                <w:i/>
                <w:noProof/>
              </w:rPr>
              <w:t>70,379</w:t>
            </w:r>
            <w:r>
              <w:rPr>
                <w:b/>
                <w:i/>
              </w:rPr>
              <w:fldChar w:fldCharType="end"/>
            </w:r>
          </w:p>
        </w:tc>
        <w:tc>
          <w:tcPr>
            <w:tcW w:w="4817" w:type="dxa"/>
          </w:tcPr>
          <w:p w14:paraId="504FF464" w14:textId="77777777" w:rsidR="00864BA5" w:rsidRPr="000127EF" w:rsidRDefault="00864BA5" w:rsidP="00864BA5">
            <w:pPr>
              <w:jc w:val="both"/>
              <w:rPr>
                <w:b/>
              </w:rPr>
            </w:pPr>
            <w:r w:rsidRPr="000127EF">
              <w:rPr>
                <w:b/>
              </w:rPr>
              <w:t>Long Term Assets</w:t>
            </w:r>
          </w:p>
        </w:tc>
        <w:tc>
          <w:tcPr>
            <w:tcW w:w="863" w:type="dxa"/>
            <w:vAlign w:val="center"/>
          </w:tcPr>
          <w:p w14:paraId="265F8988" w14:textId="77777777" w:rsidR="00864BA5" w:rsidRPr="000127EF" w:rsidRDefault="00864BA5" w:rsidP="00864BA5">
            <w:pPr>
              <w:jc w:val="right"/>
              <w:rPr>
                <w:b/>
              </w:rPr>
            </w:pPr>
          </w:p>
        </w:tc>
        <w:tc>
          <w:tcPr>
            <w:tcW w:w="1563" w:type="dxa"/>
            <w:tcBorders>
              <w:top w:val="single" w:sz="8" w:space="0" w:color="auto"/>
            </w:tcBorders>
            <w:shd w:val="clear" w:color="auto" w:fill="C5E0B3" w:themeFill="accent6" w:themeFillTint="66"/>
          </w:tcPr>
          <w:p w14:paraId="3A2BDAC8" w14:textId="023E5386" w:rsidR="00864BA5" w:rsidRPr="006826B4" w:rsidRDefault="006826B4" w:rsidP="00864BA5">
            <w:pPr>
              <w:jc w:val="right"/>
              <w:rPr>
                <w:b/>
              </w:rPr>
            </w:pPr>
            <w:r w:rsidRPr="006826B4">
              <w:rPr>
                <w:b/>
              </w:rPr>
              <w:t>72,347</w:t>
            </w:r>
          </w:p>
        </w:tc>
      </w:tr>
      <w:tr w:rsidR="00864BA5" w:rsidRPr="000127EF" w14:paraId="0A85F153" w14:textId="77777777" w:rsidTr="00A22BF2">
        <w:trPr>
          <w:jc w:val="center"/>
        </w:trPr>
        <w:tc>
          <w:tcPr>
            <w:tcW w:w="1263" w:type="dxa"/>
          </w:tcPr>
          <w:p w14:paraId="07097003" w14:textId="77777777" w:rsidR="00864BA5" w:rsidRPr="000127EF" w:rsidRDefault="00864BA5" w:rsidP="00864BA5">
            <w:pPr>
              <w:jc w:val="right"/>
              <w:rPr>
                <w:i/>
              </w:rPr>
            </w:pPr>
          </w:p>
        </w:tc>
        <w:tc>
          <w:tcPr>
            <w:tcW w:w="4817" w:type="dxa"/>
          </w:tcPr>
          <w:p w14:paraId="101ACF73" w14:textId="77777777" w:rsidR="00864BA5" w:rsidRPr="000127EF" w:rsidRDefault="00864BA5" w:rsidP="00864BA5">
            <w:pPr>
              <w:jc w:val="both"/>
            </w:pPr>
          </w:p>
        </w:tc>
        <w:tc>
          <w:tcPr>
            <w:tcW w:w="863" w:type="dxa"/>
            <w:vAlign w:val="center"/>
          </w:tcPr>
          <w:p w14:paraId="6F9536A2" w14:textId="77777777" w:rsidR="00864BA5" w:rsidRPr="000127EF" w:rsidRDefault="00864BA5" w:rsidP="00864BA5">
            <w:pPr>
              <w:jc w:val="right"/>
            </w:pPr>
          </w:p>
        </w:tc>
        <w:tc>
          <w:tcPr>
            <w:tcW w:w="1563" w:type="dxa"/>
            <w:shd w:val="clear" w:color="auto" w:fill="C5E0B3" w:themeFill="accent6" w:themeFillTint="66"/>
          </w:tcPr>
          <w:p w14:paraId="4A5DC61C" w14:textId="77777777" w:rsidR="00864BA5" w:rsidRPr="006826B4" w:rsidRDefault="00864BA5" w:rsidP="00864BA5">
            <w:pPr>
              <w:jc w:val="right"/>
            </w:pPr>
          </w:p>
        </w:tc>
      </w:tr>
      <w:tr w:rsidR="00864BA5" w:rsidRPr="000127EF" w14:paraId="61B24CB5" w14:textId="77777777" w:rsidTr="00A22BF2">
        <w:trPr>
          <w:jc w:val="center"/>
        </w:trPr>
        <w:tc>
          <w:tcPr>
            <w:tcW w:w="1263" w:type="dxa"/>
          </w:tcPr>
          <w:p w14:paraId="4F87A5C3" w14:textId="46EA413C" w:rsidR="00864BA5" w:rsidRPr="000127EF" w:rsidRDefault="00864BA5" w:rsidP="00864BA5">
            <w:pPr>
              <w:jc w:val="right"/>
              <w:rPr>
                <w:i/>
              </w:rPr>
            </w:pPr>
            <w:r w:rsidRPr="000127EF">
              <w:t>108</w:t>
            </w:r>
          </w:p>
        </w:tc>
        <w:tc>
          <w:tcPr>
            <w:tcW w:w="4817" w:type="dxa"/>
          </w:tcPr>
          <w:p w14:paraId="21EF14EA" w14:textId="77777777" w:rsidR="00864BA5" w:rsidRPr="000127EF" w:rsidRDefault="00864BA5" w:rsidP="00864BA5">
            <w:pPr>
              <w:jc w:val="both"/>
            </w:pPr>
            <w:r w:rsidRPr="000127EF">
              <w:t xml:space="preserve">Inventories </w:t>
            </w:r>
            <w:r w:rsidRPr="000127EF">
              <w:rPr>
                <w:i/>
                <w:sz w:val="20"/>
              </w:rPr>
              <w:t>(Salt Stocks)</w:t>
            </w:r>
          </w:p>
        </w:tc>
        <w:tc>
          <w:tcPr>
            <w:tcW w:w="863" w:type="dxa"/>
            <w:vAlign w:val="center"/>
          </w:tcPr>
          <w:p w14:paraId="6C021E23" w14:textId="77777777" w:rsidR="00864BA5" w:rsidRPr="000127EF" w:rsidRDefault="00864BA5" w:rsidP="00864BA5">
            <w:pPr>
              <w:jc w:val="right"/>
            </w:pPr>
          </w:p>
        </w:tc>
        <w:tc>
          <w:tcPr>
            <w:tcW w:w="1563" w:type="dxa"/>
            <w:shd w:val="clear" w:color="auto" w:fill="C5E0B3" w:themeFill="accent6" w:themeFillTint="66"/>
          </w:tcPr>
          <w:p w14:paraId="284B0958" w14:textId="2C16DA54" w:rsidR="00864BA5" w:rsidRPr="006826B4" w:rsidRDefault="006826B4" w:rsidP="00864BA5">
            <w:pPr>
              <w:jc w:val="right"/>
            </w:pPr>
            <w:r w:rsidRPr="006826B4">
              <w:t>107</w:t>
            </w:r>
          </w:p>
        </w:tc>
      </w:tr>
      <w:tr w:rsidR="00864BA5" w:rsidRPr="000127EF" w14:paraId="75D19D42" w14:textId="77777777" w:rsidTr="00A22BF2">
        <w:trPr>
          <w:jc w:val="center"/>
        </w:trPr>
        <w:tc>
          <w:tcPr>
            <w:tcW w:w="1263" w:type="dxa"/>
          </w:tcPr>
          <w:p w14:paraId="1035B07F" w14:textId="51A2E376" w:rsidR="00864BA5" w:rsidRPr="000127EF" w:rsidRDefault="00864BA5" w:rsidP="00864BA5">
            <w:pPr>
              <w:jc w:val="right"/>
              <w:rPr>
                <w:i/>
              </w:rPr>
            </w:pPr>
            <w:r w:rsidRPr="000127EF">
              <w:t>30,124</w:t>
            </w:r>
          </w:p>
        </w:tc>
        <w:tc>
          <w:tcPr>
            <w:tcW w:w="4817" w:type="dxa"/>
          </w:tcPr>
          <w:p w14:paraId="76C0AB76" w14:textId="77777777" w:rsidR="00864BA5" w:rsidRPr="000127EF" w:rsidRDefault="00864BA5" w:rsidP="00864BA5">
            <w:pPr>
              <w:jc w:val="both"/>
            </w:pPr>
            <w:r w:rsidRPr="000127EF">
              <w:t>Short Term Investments</w:t>
            </w:r>
          </w:p>
        </w:tc>
        <w:tc>
          <w:tcPr>
            <w:tcW w:w="863" w:type="dxa"/>
            <w:vAlign w:val="center"/>
          </w:tcPr>
          <w:p w14:paraId="587EB7F7" w14:textId="2D82EA29" w:rsidR="00864BA5" w:rsidRPr="000127EF" w:rsidRDefault="00C45144" w:rsidP="00864BA5">
            <w:pPr>
              <w:jc w:val="right"/>
            </w:pPr>
            <w:r>
              <w:t>15</w:t>
            </w:r>
          </w:p>
        </w:tc>
        <w:tc>
          <w:tcPr>
            <w:tcW w:w="1563" w:type="dxa"/>
            <w:shd w:val="clear" w:color="auto" w:fill="C5E0B3" w:themeFill="accent6" w:themeFillTint="66"/>
          </w:tcPr>
          <w:p w14:paraId="1064605E" w14:textId="5604EAF6" w:rsidR="00864BA5" w:rsidRPr="006826B4" w:rsidRDefault="004F5B6B" w:rsidP="00864BA5">
            <w:pPr>
              <w:jc w:val="right"/>
            </w:pPr>
            <w:r>
              <w:t>33,180</w:t>
            </w:r>
          </w:p>
        </w:tc>
      </w:tr>
      <w:tr w:rsidR="00864BA5" w:rsidRPr="000127EF" w14:paraId="2D2AAEC5" w14:textId="77777777" w:rsidTr="00A22BF2">
        <w:trPr>
          <w:jc w:val="center"/>
        </w:trPr>
        <w:tc>
          <w:tcPr>
            <w:tcW w:w="1263" w:type="dxa"/>
          </w:tcPr>
          <w:p w14:paraId="058AE624" w14:textId="3440FC0F" w:rsidR="00864BA5" w:rsidRPr="000127EF" w:rsidRDefault="00864BA5" w:rsidP="00864BA5">
            <w:pPr>
              <w:jc w:val="right"/>
              <w:rPr>
                <w:i/>
              </w:rPr>
            </w:pPr>
            <w:r w:rsidRPr="000127EF">
              <w:t>4,812</w:t>
            </w:r>
          </w:p>
        </w:tc>
        <w:tc>
          <w:tcPr>
            <w:tcW w:w="4817" w:type="dxa"/>
          </w:tcPr>
          <w:p w14:paraId="3CAB9B9D" w14:textId="77777777" w:rsidR="00864BA5" w:rsidRPr="000127EF" w:rsidRDefault="00864BA5" w:rsidP="00864BA5">
            <w:pPr>
              <w:jc w:val="both"/>
            </w:pPr>
            <w:r w:rsidRPr="000127EF">
              <w:t>Short Term Debtors</w:t>
            </w:r>
          </w:p>
        </w:tc>
        <w:tc>
          <w:tcPr>
            <w:tcW w:w="863" w:type="dxa"/>
            <w:vAlign w:val="center"/>
          </w:tcPr>
          <w:p w14:paraId="1E7DBA24" w14:textId="3FE47892" w:rsidR="00864BA5" w:rsidRPr="000127EF" w:rsidRDefault="00C45144" w:rsidP="00864BA5">
            <w:pPr>
              <w:jc w:val="right"/>
            </w:pPr>
            <w:r>
              <w:t>22</w:t>
            </w:r>
          </w:p>
        </w:tc>
        <w:tc>
          <w:tcPr>
            <w:tcW w:w="1563" w:type="dxa"/>
            <w:shd w:val="clear" w:color="auto" w:fill="C5E0B3" w:themeFill="accent6" w:themeFillTint="66"/>
          </w:tcPr>
          <w:p w14:paraId="585AC454" w14:textId="572F1060" w:rsidR="00864BA5" w:rsidRPr="006826B4" w:rsidRDefault="00C45144" w:rsidP="00864BA5">
            <w:pPr>
              <w:jc w:val="right"/>
            </w:pPr>
            <w:r>
              <w:t>2,956</w:t>
            </w:r>
          </w:p>
        </w:tc>
      </w:tr>
      <w:tr w:rsidR="00864BA5" w:rsidRPr="000127EF" w14:paraId="1EE94540" w14:textId="77777777" w:rsidTr="00A22BF2">
        <w:trPr>
          <w:jc w:val="center"/>
        </w:trPr>
        <w:tc>
          <w:tcPr>
            <w:tcW w:w="1263" w:type="dxa"/>
            <w:tcBorders>
              <w:bottom w:val="single" w:sz="8" w:space="0" w:color="auto"/>
            </w:tcBorders>
          </w:tcPr>
          <w:p w14:paraId="597F96C1" w14:textId="2E7F060B" w:rsidR="00864BA5" w:rsidRPr="000127EF" w:rsidRDefault="00864BA5" w:rsidP="00864BA5">
            <w:pPr>
              <w:jc w:val="right"/>
              <w:rPr>
                <w:i/>
              </w:rPr>
            </w:pPr>
            <w:r w:rsidRPr="000127EF">
              <w:t>3,649</w:t>
            </w:r>
          </w:p>
        </w:tc>
        <w:tc>
          <w:tcPr>
            <w:tcW w:w="4817" w:type="dxa"/>
          </w:tcPr>
          <w:p w14:paraId="0EC74621" w14:textId="77777777" w:rsidR="00864BA5" w:rsidRPr="000127EF" w:rsidRDefault="00864BA5" w:rsidP="00864BA5">
            <w:pPr>
              <w:jc w:val="both"/>
            </w:pPr>
            <w:r w:rsidRPr="000127EF">
              <w:t>Cash &amp; Cash Equivalents</w:t>
            </w:r>
          </w:p>
        </w:tc>
        <w:tc>
          <w:tcPr>
            <w:tcW w:w="863" w:type="dxa"/>
            <w:vAlign w:val="center"/>
          </w:tcPr>
          <w:p w14:paraId="0DDA1591" w14:textId="7C7F3DA0" w:rsidR="00864BA5" w:rsidRPr="000127EF" w:rsidRDefault="00C45144" w:rsidP="00864BA5">
            <w:pPr>
              <w:jc w:val="right"/>
            </w:pPr>
            <w:r>
              <w:t>29</w:t>
            </w:r>
          </w:p>
        </w:tc>
        <w:tc>
          <w:tcPr>
            <w:tcW w:w="1563" w:type="dxa"/>
            <w:tcBorders>
              <w:bottom w:val="single" w:sz="8" w:space="0" w:color="auto"/>
            </w:tcBorders>
            <w:shd w:val="clear" w:color="auto" w:fill="C5E0B3" w:themeFill="accent6" w:themeFillTint="66"/>
          </w:tcPr>
          <w:p w14:paraId="027A0A49" w14:textId="0A028750" w:rsidR="00864BA5" w:rsidRPr="006826B4" w:rsidRDefault="006826B4" w:rsidP="00864BA5">
            <w:pPr>
              <w:jc w:val="right"/>
            </w:pPr>
            <w:r w:rsidRPr="006826B4">
              <w:t>5,313</w:t>
            </w:r>
          </w:p>
        </w:tc>
      </w:tr>
      <w:tr w:rsidR="00864BA5" w:rsidRPr="000127EF" w14:paraId="1A1D6B0C" w14:textId="77777777" w:rsidTr="00A22BF2">
        <w:trPr>
          <w:jc w:val="center"/>
        </w:trPr>
        <w:tc>
          <w:tcPr>
            <w:tcW w:w="1263" w:type="dxa"/>
            <w:tcBorders>
              <w:top w:val="single" w:sz="8" w:space="0" w:color="auto"/>
            </w:tcBorders>
          </w:tcPr>
          <w:p w14:paraId="76125A9A" w14:textId="591E804B" w:rsidR="00864BA5" w:rsidRPr="000127EF" w:rsidRDefault="00864BA5" w:rsidP="00864BA5">
            <w:pPr>
              <w:jc w:val="right"/>
              <w:rPr>
                <w:b/>
                <w:i/>
              </w:rPr>
            </w:pPr>
            <w:r w:rsidRPr="000127EF">
              <w:rPr>
                <w:b/>
                <w:i/>
              </w:rPr>
              <w:fldChar w:fldCharType="begin"/>
            </w:r>
            <w:r w:rsidRPr="000127EF">
              <w:rPr>
                <w:b/>
                <w:i/>
              </w:rPr>
              <w:instrText xml:space="preserve"> =SUM(ABOVE) </w:instrText>
            </w:r>
            <w:r w:rsidRPr="000127EF">
              <w:rPr>
                <w:b/>
                <w:i/>
              </w:rPr>
              <w:fldChar w:fldCharType="separate"/>
            </w:r>
            <w:r w:rsidRPr="000127EF">
              <w:rPr>
                <w:b/>
                <w:i/>
                <w:noProof/>
              </w:rPr>
              <w:t>38,693</w:t>
            </w:r>
            <w:r w:rsidRPr="000127EF">
              <w:rPr>
                <w:b/>
                <w:i/>
              </w:rPr>
              <w:fldChar w:fldCharType="end"/>
            </w:r>
          </w:p>
        </w:tc>
        <w:tc>
          <w:tcPr>
            <w:tcW w:w="4817" w:type="dxa"/>
          </w:tcPr>
          <w:p w14:paraId="392AB930" w14:textId="77777777" w:rsidR="00864BA5" w:rsidRPr="000127EF" w:rsidRDefault="00864BA5" w:rsidP="00864BA5">
            <w:pPr>
              <w:jc w:val="both"/>
              <w:rPr>
                <w:b/>
              </w:rPr>
            </w:pPr>
            <w:r w:rsidRPr="000127EF">
              <w:rPr>
                <w:b/>
              </w:rPr>
              <w:t>Current Assets</w:t>
            </w:r>
          </w:p>
        </w:tc>
        <w:tc>
          <w:tcPr>
            <w:tcW w:w="863" w:type="dxa"/>
            <w:vAlign w:val="center"/>
          </w:tcPr>
          <w:p w14:paraId="370F2800" w14:textId="77777777" w:rsidR="00864BA5" w:rsidRPr="000127EF" w:rsidRDefault="00864BA5" w:rsidP="00864BA5">
            <w:pPr>
              <w:jc w:val="right"/>
              <w:rPr>
                <w:b/>
              </w:rPr>
            </w:pPr>
          </w:p>
        </w:tc>
        <w:tc>
          <w:tcPr>
            <w:tcW w:w="1563" w:type="dxa"/>
            <w:tcBorders>
              <w:top w:val="single" w:sz="8" w:space="0" w:color="auto"/>
            </w:tcBorders>
            <w:shd w:val="clear" w:color="auto" w:fill="C5E0B3" w:themeFill="accent6" w:themeFillTint="66"/>
          </w:tcPr>
          <w:p w14:paraId="5B7E5F5D" w14:textId="6ABA63C8" w:rsidR="00864BA5" w:rsidRPr="006826B4" w:rsidRDefault="006826B4" w:rsidP="00864BA5">
            <w:pPr>
              <w:jc w:val="right"/>
              <w:rPr>
                <w:b/>
              </w:rPr>
            </w:pPr>
            <w:r w:rsidRPr="006826B4">
              <w:rPr>
                <w:b/>
              </w:rPr>
              <w:t>41,</w:t>
            </w:r>
            <w:r w:rsidR="00C45144">
              <w:rPr>
                <w:b/>
              </w:rPr>
              <w:t>556</w:t>
            </w:r>
          </w:p>
        </w:tc>
      </w:tr>
      <w:tr w:rsidR="00864BA5" w:rsidRPr="000127EF" w14:paraId="03F5EB0A" w14:textId="77777777" w:rsidTr="00A22BF2">
        <w:trPr>
          <w:jc w:val="center"/>
        </w:trPr>
        <w:tc>
          <w:tcPr>
            <w:tcW w:w="1263" w:type="dxa"/>
          </w:tcPr>
          <w:p w14:paraId="75A0734A" w14:textId="77777777" w:rsidR="00864BA5" w:rsidRPr="000127EF" w:rsidRDefault="00864BA5" w:rsidP="00864BA5">
            <w:pPr>
              <w:jc w:val="right"/>
              <w:rPr>
                <w:i/>
              </w:rPr>
            </w:pPr>
          </w:p>
        </w:tc>
        <w:tc>
          <w:tcPr>
            <w:tcW w:w="4817" w:type="dxa"/>
          </w:tcPr>
          <w:p w14:paraId="2773C61C" w14:textId="77777777" w:rsidR="00864BA5" w:rsidRPr="000127EF" w:rsidRDefault="00864BA5" w:rsidP="00864BA5">
            <w:pPr>
              <w:jc w:val="both"/>
            </w:pPr>
          </w:p>
        </w:tc>
        <w:tc>
          <w:tcPr>
            <w:tcW w:w="863" w:type="dxa"/>
            <w:vAlign w:val="center"/>
          </w:tcPr>
          <w:p w14:paraId="1F83ED20" w14:textId="77777777" w:rsidR="00864BA5" w:rsidRPr="000127EF" w:rsidRDefault="00864BA5" w:rsidP="00864BA5">
            <w:pPr>
              <w:jc w:val="right"/>
            </w:pPr>
          </w:p>
        </w:tc>
        <w:tc>
          <w:tcPr>
            <w:tcW w:w="1563" w:type="dxa"/>
            <w:shd w:val="clear" w:color="auto" w:fill="C5E0B3" w:themeFill="accent6" w:themeFillTint="66"/>
          </w:tcPr>
          <w:p w14:paraId="232CAD02" w14:textId="77777777" w:rsidR="00864BA5" w:rsidRPr="006826B4" w:rsidRDefault="00864BA5" w:rsidP="00864BA5">
            <w:pPr>
              <w:jc w:val="right"/>
            </w:pPr>
          </w:p>
        </w:tc>
      </w:tr>
      <w:tr w:rsidR="00864BA5" w:rsidRPr="000127EF" w14:paraId="37E26DE2" w14:textId="77777777" w:rsidTr="00A22BF2">
        <w:trPr>
          <w:jc w:val="center"/>
        </w:trPr>
        <w:tc>
          <w:tcPr>
            <w:tcW w:w="1263" w:type="dxa"/>
            <w:tcBorders>
              <w:bottom w:val="nil"/>
            </w:tcBorders>
          </w:tcPr>
          <w:p w14:paraId="0C4692C9" w14:textId="04E36AB3" w:rsidR="00864BA5" w:rsidRPr="000127EF" w:rsidRDefault="00864BA5" w:rsidP="00864BA5">
            <w:pPr>
              <w:jc w:val="right"/>
              <w:rPr>
                <w:i/>
              </w:rPr>
            </w:pPr>
            <w:r w:rsidRPr="000127EF">
              <w:t>(6,882)</w:t>
            </w:r>
          </w:p>
        </w:tc>
        <w:tc>
          <w:tcPr>
            <w:tcW w:w="4817" w:type="dxa"/>
          </w:tcPr>
          <w:p w14:paraId="0A79ECAF" w14:textId="77777777" w:rsidR="00864BA5" w:rsidRPr="000127EF" w:rsidRDefault="00864BA5" w:rsidP="00864BA5">
            <w:pPr>
              <w:jc w:val="both"/>
            </w:pPr>
            <w:r w:rsidRPr="000127EF">
              <w:t>Short Term Creditors</w:t>
            </w:r>
          </w:p>
        </w:tc>
        <w:tc>
          <w:tcPr>
            <w:tcW w:w="863" w:type="dxa"/>
            <w:vAlign w:val="center"/>
          </w:tcPr>
          <w:p w14:paraId="0279A9E1" w14:textId="248EE221" w:rsidR="00864BA5" w:rsidRPr="000127EF" w:rsidRDefault="00C45144" w:rsidP="00864BA5">
            <w:pPr>
              <w:jc w:val="right"/>
            </w:pPr>
            <w:r>
              <w:t>24</w:t>
            </w:r>
          </w:p>
        </w:tc>
        <w:tc>
          <w:tcPr>
            <w:tcW w:w="1563" w:type="dxa"/>
            <w:tcBorders>
              <w:bottom w:val="nil"/>
            </w:tcBorders>
            <w:shd w:val="clear" w:color="auto" w:fill="C5E0B3" w:themeFill="accent6" w:themeFillTint="66"/>
          </w:tcPr>
          <w:p w14:paraId="1076C7FA" w14:textId="75A88D97" w:rsidR="00864BA5" w:rsidRPr="006826B4" w:rsidRDefault="006826B4" w:rsidP="00864BA5">
            <w:pPr>
              <w:jc w:val="right"/>
            </w:pPr>
            <w:r w:rsidRPr="006826B4">
              <w:t>(</w:t>
            </w:r>
            <w:r w:rsidR="00C45144">
              <w:t>6,757</w:t>
            </w:r>
            <w:r w:rsidRPr="006826B4">
              <w:t>)</w:t>
            </w:r>
          </w:p>
        </w:tc>
      </w:tr>
      <w:tr w:rsidR="00864BA5" w:rsidRPr="000127EF" w14:paraId="6124C2E8" w14:textId="77777777" w:rsidTr="00652466">
        <w:trPr>
          <w:jc w:val="center"/>
        </w:trPr>
        <w:tc>
          <w:tcPr>
            <w:tcW w:w="1263" w:type="dxa"/>
            <w:tcBorders>
              <w:top w:val="nil"/>
              <w:bottom w:val="single" w:sz="4" w:space="0" w:color="auto"/>
            </w:tcBorders>
          </w:tcPr>
          <w:p w14:paraId="049E3A17" w14:textId="2A694BED" w:rsidR="00864BA5" w:rsidRPr="000127EF" w:rsidRDefault="00864BA5" w:rsidP="00864BA5">
            <w:pPr>
              <w:jc w:val="right"/>
              <w:rPr>
                <w:i/>
              </w:rPr>
            </w:pPr>
            <w:r w:rsidRPr="000127EF">
              <w:t>(798)</w:t>
            </w:r>
          </w:p>
        </w:tc>
        <w:tc>
          <w:tcPr>
            <w:tcW w:w="4817" w:type="dxa"/>
          </w:tcPr>
          <w:p w14:paraId="452746AB" w14:textId="77777777" w:rsidR="00864BA5" w:rsidRPr="000127EF" w:rsidRDefault="00864BA5" w:rsidP="00864BA5">
            <w:pPr>
              <w:jc w:val="both"/>
            </w:pPr>
            <w:r w:rsidRPr="000127EF">
              <w:t>Provisions</w:t>
            </w:r>
          </w:p>
        </w:tc>
        <w:tc>
          <w:tcPr>
            <w:tcW w:w="863" w:type="dxa"/>
            <w:vAlign w:val="center"/>
          </w:tcPr>
          <w:p w14:paraId="0ECEDE73" w14:textId="5F7C197A" w:rsidR="00864BA5" w:rsidRPr="000127EF" w:rsidRDefault="00C45144" w:rsidP="00864BA5">
            <w:pPr>
              <w:jc w:val="right"/>
            </w:pPr>
            <w:r>
              <w:t>25</w:t>
            </w:r>
          </w:p>
        </w:tc>
        <w:tc>
          <w:tcPr>
            <w:tcW w:w="1563" w:type="dxa"/>
            <w:tcBorders>
              <w:top w:val="nil"/>
              <w:bottom w:val="single" w:sz="4" w:space="0" w:color="auto"/>
            </w:tcBorders>
            <w:shd w:val="clear" w:color="auto" w:fill="C5E0B3" w:themeFill="accent6" w:themeFillTint="66"/>
          </w:tcPr>
          <w:p w14:paraId="31388A77" w14:textId="06827E80" w:rsidR="00864BA5" w:rsidRPr="006826B4" w:rsidRDefault="006826B4" w:rsidP="00864BA5">
            <w:pPr>
              <w:jc w:val="right"/>
            </w:pPr>
            <w:r w:rsidRPr="006826B4">
              <w:t>(1,112)</w:t>
            </w:r>
          </w:p>
        </w:tc>
      </w:tr>
      <w:tr w:rsidR="00864BA5" w:rsidRPr="000127EF" w14:paraId="0EB7555B" w14:textId="77777777" w:rsidTr="00652466">
        <w:trPr>
          <w:jc w:val="center"/>
        </w:trPr>
        <w:tc>
          <w:tcPr>
            <w:tcW w:w="1263" w:type="dxa"/>
            <w:tcBorders>
              <w:top w:val="single" w:sz="4" w:space="0" w:color="auto"/>
              <w:bottom w:val="nil"/>
            </w:tcBorders>
          </w:tcPr>
          <w:p w14:paraId="5A5629A7" w14:textId="3944C899" w:rsidR="00864BA5" w:rsidRPr="000127EF" w:rsidRDefault="00CF206B" w:rsidP="00864BA5">
            <w:pPr>
              <w:jc w:val="right"/>
              <w:rPr>
                <w:b/>
                <w:i/>
              </w:rPr>
            </w:pPr>
            <w:r>
              <w:rPr>
                <w:b/>
                <w:i/>
              </w:rPr>
              <w:fldChar w:fldCharType="begin"/>
            </w:r>
            <w:r>
              <w:rPr>
                <w:b/>
                <w:i/>
              </w:rPr>
              <w:instrText xml:space="preserve"> =SUM(a14:a15) </w:instrText>
            </w:r>
            <w:r>
              <w:rPr>
                <w:b/>
                <w:i/>
              </w:rPr>
              <w:fldChar w:fldCharType="separate"/>
            </w:r>
            <w:r>
              <w:rPr>
                <w:b/>
                <w:i/>
                <w:noProof/>
              </w:rPr>
              <w:t>(7,680)</w:t>
            </w:r>
            <w:r>
              <w:rPr>
                <w:b/>
                <w:i/>
              </w:rPr>
              <w:fldChar w:fldCharType="end"/>
            </w:r>
          </w:p>
        </w:tc>
        <w:tc>
          <w:tcPr>
            <w:tcW w:w="4817" w:type="dxa"/>
          </w:tcPr>
          <w:p w14:paraId="3688D0AC" w14:textId="77777777" w:rsidR="00864BA5" w:rsidRPr="000127EF" w:rsidRDefault="00864BA5" w:rsidP="00864BA5">
            <w:pPr>
              <w:jc w:val="both"/>
              <w:rPr>
                <w:b/>
              </w:rPr>
            </w:pPr>
            <w:r w:rsidRPr="000127EF">
              <w:rPr>
                <w:b/>
              </w:rPr>
              <w:t>Current Liabilities</w:t>
            </w:r>
          </w:p>
        </w:tc>
        <w:tc>
          <w:tcPr>
            <w:tcW w:w="863" w:type="dxa"/>
            <w:vAlign w:val="center"/>
          </w:tcPr>
          <w:p w14:paraId="39BA2AA1" w14:textId="77777777" w:rsidR="00864BA5" w:rsidRPr="000127EF" w:rsidRDefault="00864BA5" w:rsidP="00864BA5">
            <w:pPr>
              <w:jc w:val="right"/>
            </w:pPr>
          </w:p>
        </w:tc>
        <w:tc>
          <w:tcPr>
            <w:tcW w:w="1563" w:type="dxa"/>
            <w:tcBorders>
              <w:top w:val="single" w:sz="4" w:space="0" w:color="auto"/>
              <w:bottom w:val="nil"/>
            </w:tcBorders>
            <w:shd w:val="clear" w:color="auto" w:fill="C5E0B3" w:themeFill="accent6" w:themeFillTint="66"/>
          </w:tcPr>
          <w:p w14:paraId="36023BA7" w14:textId="1DCF2A69" w:rsidR="00864BA5" w:rsidRPr="006826B4" w:rsidRDefault="006826B4" w:rsidP="00864BA5">
            <w:pPr>
              <w:jc w:val="right"/>
              <w:rPr>
                <w:b/>
              </w:rPr>
            </w:pPr>
            <w:r w:rsidRPr="006826B4">
              <w:rPr>
                <w:b/>
              </w:rPr>
              <w:t>(</w:t>
            </w:r>
            <w:r w:rsidR="00C45144">
              <w:rPr>
                <w:b/>
              </w:rPr>
              <w:t>7</w:t>
            </w:r>
            <w:r w:rsidR="003743EF">
              <w:rPr>
                <w:b/>
              </w:rPr>
              <w:t>,</w:t>
            </w:r>
            <w:r w:rsidR="00C45144">
              <w:rPr>
                <w:b/>
              </w:rPr>
              <w:t>869</w:t>
            </w:r>
            <w:r w:rsidRPr="006826B4">
              <w:rPr>
                <w:b/>
              </w:rPr>
              <w:t>)</w:t>
            </w:r>
          </w:p>
        </w:tc>
      </w:tr>
      <w:tr w:rsidR="00864BA5" w:rsidRPr="000127EF" w14:paraId="36F86B22" w14:textId="77777777" w:rsidTr="00652466">
        <w:trPr>
          <w:jc w:val="center"/>
        </w:trPr>
        <w:tc>
          <w:tcPr>
            <w:tcW w:w="1263" w:type="dxa"/>
            <w:tcBorders>
              <w:top w:val="nil"/>
              <w:bottom w:val="nil"/>
            </w:tcBorders>
          </w:tcPr>
          <w:p w14:paraId="2A5235D0" w14:textId="77777777" w:rsidR="00864BA5" w:rsidRPr="000127EF" w:rsidRDefault="00864BA5" w:rsidP="00864BA5">
            <w:pPr>
              <w:jc w:val="right"/>
              <w:rPr>
                <w:i/>
              </w:rPr>
            </w:pPr>
          </w:p>
        </w:tc>
        <w:tc>
          <w:tcPr>
            <w:tcW w:w="4817" w:type="dxa"/>
          </w:tcPr>
          <w:p w14:paraId="2EE7376B" w14:textId="77777777" w:rsidR="00864BA5" w:rsidRPr="000127EF" w:rsidRDefault="00864BA5" w:rsidP="00864BA5">
            <w:pPr>
              <w:jc w:val="both"/>
            </w:pPr>
          </w:p>
        </w:tc>
        <w:tc>
          <w:tcPr>
            <w:tcW w:w="863" w:type="dxa"/>
            <w:vAlign w:val="center"/>
          </w:tcPr>
          <w:p w14:paraId="7745C8F4" w14:textId="77777777" w:rsidR="00864BA5" w:rsidRPr="000127EF" w:rsidRDefault="00864BA5" w:rsidP="00864BA5">
            <w:pPr>
              <w:jc w:val="right"/>
            </w:pPr>
          </w:p>
        </w:tc>
        <w:tc>
          <w:tcPr>
            <w:tcW w:w="1563" w:type="dxa"/>
            <w:tcBorders>
              <w:top w:val="nil"/>
              <w:bottom w:val="nil"/>
            </w:tcBorders>
            <w:shd w:val="clear" w:color="auto" w:fill="C5E0B3" w:themeFill="accent6" w:themeFillTint="66"/>
          </w:tcPr>
          <w:p w14:paraId="4B3B249D" w14:textId="77777777" w:rsidR="00864BA5" w:rsidRPr="006826B4" w:rsidRDefault="00864BA5" w:rsidP="00864BA5">
            <w:pPr>
              <w:jc w:val="right"/>
            </w:pPr>
          </w:p>
        </w:tc>
      </w:tr>
      <w:tr w:rsidR="00864BA5" w:rsidRPr="000127EF" w14:paraId="31CD23F0" w14:textId="77777777" w:rsidTr="00652466">
        <w:trPr>
          <w:jc w:val="center"/>
        </w:trPr>
        <w:tc>
          <w:tcPr>
            <w:tcW w:w="1263" w:type="dxa"/>
            <w:tcBorders>
              <w:top w:val="nil"/>
              <w:bottom w:val="nil"/>
            </w:tcBorders>
          </w:tcPr>
          <w:p w14:paraId="7332D7DB" w14:textId="684D054A" w:rsidR="00864BA5" w:rsidRPr="000127EF" w:rsidRDefault="00864BA5" w:rsidP="00864BA5">
            <w:pPr>
              <w:jc w:val="right"/>
              <w:rPr>
                <w:i/>
              </w:rPr>
            </w:pPr>
            <w:r w:rsidRPr="000127EF">
              <w:t>(22,250)</w:t>
            </w:r>
          </w:p>
        </w:tc>
        <w:tc>
          <w:tcPr>
            <w:tcW w:w="4817" w:type="dxa"/>
          </w:tcPr>
          <w:p w14:paraId="008FEAF8" w14:textId="77777777" w:rsidR="00864BA5" w:rsidRPr="000127EF" w:rsidRDefault="00864BA5" w:rsidP="00864BA5">
            <w:pPr>
              <w:jc w:val="both"/>
            </w:pPr>
            <w:r w:rsidRPr="000127EF">
              <w:t>Long Term Borrowing</w:t>
            </w:r>
          </w:p>
        </w:tc>
        <w:tc>
          <w:tcPr>
            <w:tcW w:w="863" w:type="dxa"/>
            <w:vAlign w:val="center"/>
          </w:tcPr>
          <w:p w14:paraId="2C35C9B1" w14:textId="38B6FBD8" w:rsidR="00864BA5" w:rsidRPr="000127EF" w:rsidRDefault="00C45144" w:rsidP="00864BA5">
            <w:pPr>
              <w:jc w:val="right"/>
            </w:pPr>
            <w:r>
              <w:t>15</w:t>
            </w:r>
          </w:p>
        </w:tc>
        <w:tc>
          <w:tcPr>
            <w:tcW w:w="1563" w:type="dxa"/>
            <w:tcBorders>
              <w:top w:val="nil"/>
              <w:bottom w:val="nil"/>
            </w:tcBorders>
            <w:shd w:val="clear" w:color="auto" w:fill="C5E0B3" w:themeFill="accent6" w:themeFillTint="66"/>
          </w:tcPr>
          <w:p w14:paraId="26875B7A" w14:textId="4C35CA09" w:rsidR="00864BA5" w:rsidRPr="006826B4" w:rsidRDefault="006826B4" w:rsidP="00864BA5">
            <w:pPr>
              <w:jc w:val="right"/>
            </w:pPr>
            <w:r w:rsidRPr="006826B4">
              <w:t>(22,183)</w:t>
            </w:r>
          </w:p>
        </w:tc>
      </w:tr>
      <w:tr w:rsidR="00864BA5" w:rsidRPr="000127EF" w14:paraId="10C8030B" w14:textId="77777777" w:rsidTr="00652466">
        <w:trPr>
          <w:jc w:val="center"/>
        </w:trPr>
        <w:tc>
          <w:tcPr>
            <w:tcW w:w="1263" w:type="dxa"/>
            <w:tcBorders>
              <w:top w:val="nil"/>
              <w:left w:val="single" w:sz="18" w:space="0" w:color="A8D08D" w:themeColor="accent6" w:themeTint="99"/>
              <w:bottom w:val="nil"/>
            </w:tcBorders>
          </w:tcPr>
          <w:p w14:paraId="25E86A65" w14:textId="72A5E936" w:rsidR="00864BA5" w:rsidRPr="000127EF" w:rsidRDefault="00864BA5" w:rsidP="00CF206B">
            <w:pPr>
              <w:jc w:val="right"/>
              <w:rPr>
                <w:i/>
              </w:rPr>
            </w:pPr>
            <w:r w:rsidRPr="000127EF">
              <w:t>(4</w:t>
            </w:r>
            <w:r w:rsidR="00CF206B">
              <w:t>7,095</w:t>
            </w:r>
            <w:r w:rsidRPr="000127EF">
              <w:t>)</w:t>
            </w:r>
          </w:p>
        </w:tc>
        <w:tc>
          <w:tcPr>
            <w:tcW w:w="4817" w:type="dxa"/>
          </w:tcPr>
          <w:p w14:paraId="6046695D" w14:textId="77777777" w:rsidR="00864BA5" w:rsidRPr="000127EF" w:rsidRDefault="00864BA5" w:rsidP="00864BA5">
            <w:pPr>
              <w:jc w:val="both"/>
            </w:pPr>
            <w:r w:rsidRPr="000127EF">
              <w:t>Other Long Term Liabilities</w:t>
            </w:r>
          </w:p>
        </w:tc>
        <w:tc>
          <w:tcPr>
            <w:tcW w:w="863" w:type="dxa"/>
            <w:vAlign w:val="center"/>
          </w:tcPr>
          <w:p w14:paraId="0844ED9E" w14:textId="544FBAAD" w:rsidR="00864BA5" w:rsidRPr="000127EF" w:rsidRDefault="00C45144" w:rsidP="00864BA5">
            <w:pPr>
              <w:jc w:val="right"/>
            </w:pPr>
            <w:r>
              <w:t>31</w:t>
            </w:r>
          </w:p>
        </w:tc>
        <w:tc>
          <w:tcPr>
            <w:tcW w:w="1563" w:type="dxa"/>
            <w:tcBorders>
              <w:top w:val="nil"/>
              <w:bottom w:val="nil"/>
              <w:right w:val="single" w:sz="18" w:space="0" w:color="A8D08D" w:themeColor="accent6" w:themeTint="99"/>
            </w:tcBorders>
            <w:shd w:val="clear" w:color="auto" w:fill="C5E0B3" w:themeFill="accent6" w:themeFillTint="66"/>
          </w:tcPr>
          <w:p w14:paraId="575C7381" w14:textId="7EB78446" w:rsidR="00864BA5" w:rsidRPr="006826B4" w:rsidRDefault="006826B4" w:rsidP="00864BA5">
            <w:pPr>
              <w:jc w:val="right"/>
            </w:pPr>
            <w:r w:rsidRPr="006826B4">
              <w:t>(</w:t>
            </w:r>
            <w:r w:rsidR="00066317">
              <w:t>39,960</w:t>
            </w:r>
            <w:r w:rsidRPr="006826B4">
              <w:t>)</w:t>
            </w:r>
          </w:p>
        </w:tc>
      </w:tr>
      <w:tr w:rsidR="00864BA5" w:rsidRPr="000127EF" w14:paraId="4A5D21FE" w14:textId="77777777" w:rsidTr="00652466">
        <w:trPr>
          <w:jc w:val="center"/>
        </w:trPr>
        <w:tc>
          <w:tcPr>
            <w:tcW w:w="1263" w:type="dxa"/>
            <w:tcBorders>
              <w:top w:val="single" w:sz="4" w:space="0" w:color="auto"/>
            </w:tcBorders>
          </w:tcPr>
          <w:p w14:paraId="6429750A" w14:textId="6F3C816A" w:rsidR="00864BA5" w:rsidRPr="000127EF" w:rsidRDefault="00CF206B" w:rsidP="00864BA5">
            <w:pPr>
              <w:jc w:val="right"/>
              <w:rPr>
                <w:b/>
                <w:i/>
              </w:rPr>
            </w:pPr>
            <w:r>
              <w:rPr>
                <w:b/>
              </w:rPr>
              <w:fldChar w:fldCharType="begin"/>
            </w:r>
            <w:r>
              <w:rPr>
                <w:b/>
              </w:rPr>
              <w:instrText xml:space="preserve"> =SUM(a17:a19) </w:instrText>
            </w:r>
            <w:r>
              <w:rPr>
                <w:b/>
              </w:rPr>
              <w:fldChar w:fldCharType="separate"/>
            </w:r>
            <w:r>
              <w:rPr>
                <w:b/>
                <w:noProof/>
              </w:rPr>
              <w:t>(69,345)</w:t>
            </w:r>
            <w:r>
              <w:rPr>
                <w:b/>
              </w:rPr>
              <w:fldChar w:fldCharType="end"/>
            </w:r>
          </w:p>
        </w:tc>
        <w:tc>
          <w:tcPr>
            <w:tcW w:w="4817" w:type="dxa"/>
          </w:tcPr>
          <w:p w14:paraId="257BFBBE" w14:textId="77777777" w:rsidR="00864BA5" w:rsidRPr="000127EF" w:rsidRDefault="00864BA5" w:rsidP="00864BA5">
            <w:pPr>
              <w:jc w:val="both"/>
              <w:rPr>
                <w:b/>
              </w:rPr>
            </w:pPr>
            <w:r w:rsidRPr="000127EF">
              <w:rPr>
                <w:b/>
              </w:rPr>
              <w:t>Long Term Liabilities</w:t>
            </w:r>
          </w:p>
        </w:tc>
        <w:tc>
          <w:tcPr>
            <w:tcW w:w="863" w:type="dxa"/>
            <w:vAlign w:val="center"/>
          </w:tcPr>
          <w:p w14:paraId="20756C36" w14:textId="77777777" w:rsidR="00864BA5" w:rsidRPr="000127EF" w:rsidRDefault="00864BA5" w:rsidP="00864BA5">
            <w:pPr>
              <w:jc w:val="right"/>
            </w:pPr>
          </w:p>
        </w:tc>
        <w:tc>
          <w:tcPr>
            <w:tcW w:w="1563" w:type="dxa"/>
            <w:tcBorders>
              <w:top w:val="single" w:sz="4" w:space="0" w:color="auto"/>
            </w:tcBorders>
            <w:shd w:val="clear" w:color="auto" w:fill="C5E0B3" w:themeFill="accent6" w:themeFillTint="66"/>
          </w:tcPr>
          <w:p w14:paraId="53C51255" w14:textId="7ACFA558" w:rsidR="00864BA5" w:rsidRPr="006826B4" w:rsidRDefault="006826B4" w:rsidP="00864BA5">
            <w:pPr>
              <w:jc w:val="right"/>
              <w:rPr>
                <w:b/>
              </w:rPr>
            </w:pPr>
            <w:r w:rsidRPr="006826B4">
              <w:rPr>
                <w:b/>
              </w:rPr>
              <w:t>(62,</w:t>
            </w:r>
            <w:r w:rsidR="00066317">
              <w:rPr>
                <w:b/>
              </w:rPr>
              <w:t>143</w:t>
            </w:r>
            <w:r w:rsidRPr="006826B4">
              <w:rPr>
                <w:b/>
              </w:rPr>
              <w:t>)</w:t>
            </w:r>
          </w:p>
        </w:tc>
      </w:tr>
      <w:tr w:rsidR="00864BA5" w:rsidRPr="000127EF" w14:paraId="3A01A48A" w14:textId="77777777" w:rsidTr="00105ACF">
        <w:trPr>
          <w:trHeight w:val="318"/>
          <w:jc w:val="center"/>
        </w:trPr>
        <w:tc>
          <w:tcPr>
            <w:tcW w:w="1263" w:type="dxa"/>
            <w:tcBorders>
              <w:bottom w:val="single" w:sz="4" w:space="0" w:color="auto"/>
            </w:tcBorders>
          </w:tcPr>
          <w:p w14:paraId="71EDE250" w14:textId="77777777" w:rsidR="00864BA5" w:rsidRPr="000127EF" w:rsidRDefault="00864BA5" w:rsidP="00864BA5">
            <w:pPr>
              <w:jc w:val="right"/>
              <w:rPr>
                <w:i/>
              </w:rPr>
            </w:pPr>
          </w:p>
        </w:tc>
        <w:tc>
          <w:tcPr>
            <w:tcW w:w="4817" w:type="dxa"/>
          </w:tcPr>
          <w:p w14:paraId="4E101D7C" w14:textId="77777777" w:rsidR="00864BA5" w:rsidRPr="000127EF" w:rsidRDefault="00864BA5" w:rsidP="00864BA5">
            <w:pPr>
              <w:jc w:val="both"/>
            </w:pPr>
          </w:p>
        </w:tc>
        <w:tc>
          <w:tcPr>
            <w:tcW w:w="863" w:type="dxa"/>
            <w:vAlign w:val="center"/>
          </w:tcPr>
          <w:p w14:paraId="5B47F2CA" w14:textId="77777777" w:rsidR="00864BA5" w:rsidRPr="000127EF" w:rsidRDefault="00864BA5" w:rsidP="00864BA5">
            <w:pPr>
              <w:jc w:val="right"/>
            </w:pPr>
          </w:p>
        </w:tc>
        <w:tc>
          <w:tcPr>
            <w:tcW w:w="1563" w:type="dxa"/>
            <w:tcBorders>
              <w:bottom w:val="single" w:sz="4" w:space="0" w:color="auto"/>
            </w:tcBorders>
            <w:shd w:val="clear" w:color="auto" w:fill="C5E0B3" w:themeFill="accent6" w:themeFillTint="66"/>
          </w:tcPr>
          <w:p w14:paraId="723A19EE" w14:textId="77777777" w:rsidR="00864BA5" w:rsidRPr="006826B4" w:rsidRDefault="00864BA5" w:rsidP="00864BA5">
            <w:pPr>
              <w:jc w:val="right"/>
            </w:pPr>
          </w:p>
        </w:tc>
      </w:tr>
      <w:tr w:rsidR="00864BA5" w:rsidRPr="000127EF" w14:paraId="6F4D789F" w14:textId="77777777" w:rsidTr="00A22BF2">
        <w:trPr>
          <w:jc w:val="center"/>
        </w:trPr>
        <w:tc>
          <w:tcPr>
            <w:tcW w:w="1263" w:type="dxa"/>
            <w:tcBorders>
              <w:top w:val="single" w:sz="4" w:space="0" w:color="auto"/>
              <w:bottom w:val="single" w:sz="4" w:space="0" w:color="auto"/>
            </w:tcBorders>
          </w:tcPr>
          <w:p w14:paraId="6C121D51" w14:textId="0D13116C" w:rsidR="00864BA5" w:rsidRPr="000127EF" w:rsidRDefault="00CF206B" w:rsidP="00864BA5">
            <w:pPr>
              <w:jc w:val="right"/>
              <w:rPr>
                <w:b/>
                <w:i/>
              </w:rPr>
            </w:pPr>
            <w:r>
              <w:rPr>
                <w:b/>
                <w:i/>
              </w:rPr>
              <w:fldChar w:fldCharType="begin"/>
            </w:r>
            <w:r>
              <w:rPr>
                <w:b/>
                <w:i/>
              </w:rPr>
              <w:instrText xml:space="preserve"> =SUM(a6,a12,a16,a20) </w:instrText>
            </w:r>
            <w:r>
              <w:rPr>
                <w:b/>
                <w:i/>
              </w:rPr>
              <w:fldChar w:fldCharType="separate"/>
            </w:r>
            <w:r>
              <w:rPr>
                <w:b/>
                <w:i/>
                <w:noProof/>
              </w:rPr>
              <w:t>32,047</w:t>
            </w:r>
            <w:r>
              <w:rPr>
                <w:b/>
                <w:i/>
              </w:rPr>
              <w:fldChar w:fldCharType="end"/>
            </w:r>
          </w:p>
        </w:tc>
        <w:tc>
          <w:tcPr>
            <w:tcW w:w="4817" w:type="dxa"/>
          </w:tcPr>
          <w:p w14:paraId="0DFBAECE" w14:textId="77777777" w:rsidR="00864BA5" w:rsidRPr="000127EF" w:rsidRDefault="00864BA5" w:rsidP="00864BA5">
            <w:pPr>
              <w:jc w:val="both"/>
              <w:rPr>
                <w:b/>
              </w:rPr>
            </w:pPr>
            <w:r w:rsidRPr="000127EF">
              <w:rPr>
                <w:b/>
              </w:rPr>
              <w:t>Net Assets</w:t>
            </w:r>
          </w:p>
        </w:tc>
        <w:tc>
          <w:tcPr>
            <w:tcW w:w="863" w:type="dxa"/>
            <w:vAlign w:val="center"/>
          </w:tcPr>
          <w:p w14:paraId="0B6DCA6A" w14:textId="77777777" w:rsidR="00864BA5" w:rsidRPr="000127EF" w:rsidRDefault="00864BA5" w:rsidP="00864BA5">
            <w:pPr>
              <w:jc w:val="right"/>
            </w:pPr>
          </w:p>
        </w:tc>
        <w:tc>
          <w:tcPr>
            <w:tcW w:w="1563" w:type="dxa"/>
            <w:tcBorders>
              <w:top w:val="single" w:sz="4" w:space="0" w:color="auto"/>
              <w:bottom w:val="single" w:sz="4" w:space="0" w:color="auto"/>
            </w:tcBorders>
            <w:shd w:val="clear" w:color="auto" w:fill="C5E0B3" w:themeFill="accent6" w:themeFillTint="66"/>
          </w:tcPr>
          <w:p w14:paraId="0DFAF31E" w14:textId="0C630CF1" w:rsidR="00864BA5" w:rsidRPr="006826B4" w:rsidRDefault="006826B4" w:rsidP="00864BA5">
            <w:pPr>
              <w:jc w:val="right"/>
              <w:rPr>
                <w:b/>
              </w:rPr>
            </w:pPr>
            <w:r w:rsidRPr="006826B4">
              <w:rPr>
                <w:b/>
              </w:rPr>
              <w:t>43,</w:t>
            </w:r>
            <w:r w:rsidR="00066317">
              <w:rPr>
                <w:b/>
              </w:rPr>
              <w:t>891</w:t>
            </w:r>
          </w:p>
        </w:tc>
      </w:tr>
      <w:tr w:rsidR="00864BA5" w:rsidRPr="000127EF" w14:paraId="587935E4" w14:textId="77777777" w:rsidTr="00A22BF2">
        <w:trPr>
          <w:jc w:val="center"/>
        </w:trPr>
        <w:tc>
          <w:tcPr>
            <w:tcW w:w="1263" w:type="dxa"/>
            <w:tcBorders>
              <w:top w:val="single" w:sz="4" w:space="0" w:color="auto"/>
            </w:tcBorders>
          </w:tcPr>
          <w:p w14:paraId="0A196AD8" w14:textId="77777777" w:rsidR="00864BA5" w:rsidRPr="000127EF" w:rsidRDefault="00864BA5" w:rsidP="00864BA5">
            <w:pPr>
              <w:jc w:val="right"/>
              <w:rPr>
                <w:i/>
              </w:rPr>
            </w:pPr>
          </w:p>
        </w:tc>
        <w:tc>
          <w:tcPr>
            <w:tcW w:w="4817" w:type="dxa"/>
          </w:tcPr>
          <w:p w14:paraId="0C249658" w14:textId="77777777" w:rsidR="00864BA5" w:rsidRPr="000127EF" w:rsidRDefault="00864BA5" w:rsidP="00864BA5">
            <w:pPr>
              <w:jc w:val="both"/>
            </w:pPr>
          </w:p>
        </w:tc>
        <w:tc>
          <w:tcPr>
            <w:tcW w:w="863" w:type="dxa"/>
            <w:vAlign w:val="center"/>
          </w:tcPr>
          <w:p w14:paraId="72A87872" w14:textId="77777777" w:rsidR="00864BA5" w:rsidRPr="000127EF" w:rsidRDefault="00864BA5" w:rsidP="00864BA5">
            <w:pPr>
              <w:jc w:val="right"/>
            </w:pPr>
          </w:p>
        </w:tc>
        <w:tc>
          <w:tcPr>
            <w:tcW w:w="1563" w:type="dxa"/>
            <w:tcBorders>
              <w:top w:val="single" w:sz="4" w:space="0" w:color="auto"/>
            </w:tcBorders>
            <w:shd w:val="clear" w:color="auto" w:fill="C5E0B3" w:themeFill="accent6" w:themeFillTint="66"/>
          </w:tcPr>
          <w:p w14:paraId="44219C62" w14:textId="77777777" w:rsidR="00864BA5" w:rsidRPr="006826B4" w:rsidRDefault="00864BA5" w:rsidP="00864BA5">
            <w:pPr>
              <w:jc w:val="right"/>
            </w:pPr>
          </w:p>
        </w:tc>
      </w:tr>
      <w:tr w:rsidR="00864BA5" w:rsidRPr="000127EF" w14:paraId="7F0ABBCB" w14:textId="77777777" w:rsidTr="00A22BF2">
        <w:trPr>
          <w:jc w:val="center"/>
        </w:trPr>
        <w:tc>
          <w:tcPr>
            <w:tcW w:w="1263" w:type="dxa"/>
          </w:tcPr>
          <w:p w14:paraId="3D1540F2" w14:textId="68007459" w:rsidR="00864BA5" w:rsidRPr="000127EF" w:rsidRDefault="00864BA5" w:rsidP="00864BA5">
            <w:pPr>
              <w:jc w:val="right"/>
              <w:rPr>
                <w:i/>
              </w:rPr>
            </w:pPr>
            <w:r w:rsidRPr="000127EF">
              <w:t>(29,587)</w:t>
            </w:r>
          </w:p>
        </w:tc>
        <w:tc>
          <w:tcPr>
            <w:tcW w:w="4817" w:type="dxa"/>
          </w:tcPr>
          <w:p w14:paraId="73696AF0" w14:textId="77777777" w:rsidR="00864BA5" w:rsidRPr="000127EF" w:rsidRDefault="00864BA5" w:rsidP="00864BA5">
            <w:pPr>
              <w:jc w:val="both"/>
            </w:pPr>
            <w:r w:rsidRPr="000127EF">
              <w:t>Usable Reserves</w:t>
            </w:r>
          </w:p>
        </w:tc>
        <w:tc>
          <w:tcPr>
            <w:tcW w:w="863" w:type="dxa"/>
            <w:vAlign w:val="center"/>
          </w:tcPr>
          <w:p w14:paraId="2E387006" w14:textId="0E66CB4B" w:rsidR="00864BA5" w:rsidRPr="000127EF" w:rsidRDefault="00C45144" w:rsidP="00864BA5">
            <w:pPr>
              <w:jc w:val="right"/>
            </w:pPr>
            <w:r>
              <w:t>13</w:t>
            </w:r>
          </w:p>
        </w:tc>
        <w:tc>
          <w:tcPr>
            <w:tcW w:w="1563" w:type="dxa"/>
            <w:shd w:val="clear" w:color="auto" w:fill="C5E0B3" w:themeFill="accent6" w:themeFillTint="66"/>
          </w:tcPr>
          <w:p w14:paraId="462E7351" w14:textId="2101A365" w:rsidR="00864BA5" w:rsidRPr="006826B4" w:rsidRDefault="00CF206B" w:rsidP="00864BA5">
            <w:pPr>
              <w:jc w:val="right"/>
            </w:pPr>
            <w:r>
              <w:t>(</w:t>
            </w:r>
            <w:r w:rsidR="006826B4" w:rsidRPr="006826B4">
              <w:t>31,723</w:t>
            </w:r>
            <w:r>
              <w:t>)</w:t>
            </w:r>
          </w:p>
        </w:tc>
      </w:tr>
      <w:tr w:rsidR="00864BA5" w:rsidRPr="000127EF" w14:paraId="1AD65FBC" w14:textId="77777777" w:rsidTr="00A22BF2">
        <w:trPr>
          <w:jc w:val="center"/>
        </w:trPr>
        <w:tc>
          <w:tcPr>
            <w:tcW w:w="1263" w:type="dxa"/>
            <w:tcBorders>
              <w:bottom w:val="single" w:sz="4" w:space="0" w:color="auto"/>
            </w:tcBorders>
          </w:tcPr>
          <w:p w14:paraId="59D364FD" w14:textId="17C9A81C" w:rsidR="00864BA5" w:rsidRPr="000127EF" w:rsidRDefault="00864BA5" w:rsidP="00CF206B">
            <w:pPr>
              <w:jc w:val="right"/>
              <w:rPr>
                <w:i/>
              </w:rPr>
            </w:pPr>
            <w:r w:rsidRPr="000127EF">
              <w:t>(</w:t>
            </w:r>
            <w:r w:rsidR="00CF206B">
              <w:t>2</w:t>
            </w:r>
            <w:r w:rsidRPr="000127EF">
              <w:t>,</w:t>
            </w:r>
            <w:r w:rsidR="00CF206B">
              <w:t>460</w:t>
            </w:r>
            <w:r w:rsidRPr="000127EF">
              <w:t>)</w:t>
            </w:r>
          </w:p>
        </w:tc>
        <w:tc>
          <w:tcPr>
            <w:tcW w:w="4817" w:type="dxa"/>
          </w:tcPr>
          <w:p w14:paraId="1DD61CB2" w14:textId="77777777" w:rsidR="00864BA5" w:rsidRPr="000127EF" w:rsidRDefault="00864BA5" w:rsidP="00864BA5">
            <w:pPr>
              <w:jc w:val="both"/>
            </w:pPr>
            <w:r w:rsidRPr="000127EF">
              <w:t>Unusable Reserves</w:t>
            </w:r>
          </w:p>
        </w:tc>
        <w:tc>
          <w:tcPr>
            <w:tcW w:w="863" w:type="dxa"/>
            <w:vAlign w:val="center"/>
          </w:tcPr>
          <w:p w14:paraId="3A17A9E3" w14:textId="2A456467" w:rsidR="00864BA5" w:rsidRPr="000127EF" w:rsidRDefault="00C45144" w:rsidP="00864BA5">
            <w:pPr>
              <w:jc w:val="right"/>
            </w:pPr>
            <w:r>
              <w:t>13</w:t>
            </w:r>
          </w:p>
        </w:tc>
        <w:tc>
          <w:tcPr>
            <w:tcW w:w="1563" w:type="dxa"/>
            <w:tcBorders>
              <w:bottom w:val="single" w:sz="4" w:space="0" w:color="auto"/>
            </w:tcBorders>
            <w:shd w:val="clear" w:color="auto" w:fill="C5E0B3" w:themeFill="accent6" w:themeFillTint="66"/>
          </w:tcPr>
          <w:p w14:paraId="38DD3F69" w14:textId="488AAD03" w:rsidR="00864BA5" w:rsidRPr="006826B4" w:rsidRDefault="00CF206B" w:rsidP="00864BA5">
            <w:pPr>
              <w:jc w:val="right"/>
            </w:pPr>
            <w:r>
              <w:t>(</w:t>
            </w:r>
            <w:r w:rsidR="006826B4" w:rsidRPr="006826B4">
              <w:t>1</w:t>
            </w:r>
            <w:r w:rsidR="00066317">
              <w:t>2</w:t>
            </w:r>
            <w:r w:rsidR="006826B4" w:rsidRPr="006826B4">
              <w:t>,</w:t>
            </w:r>
            <w:r w:rsidR="00066317">
              <w:t>168</w:t>
            </w:r>
            <w:r>
              <w:t>)</w:t>
            </w:r>
          </w:p>
        </w:tc>
      </w:tr>
      <w:tr w:rsidR="00864BA5" w:rsidRPr="000127EF" w14:paraId="1F6CF2D5" w14:textId="77777777" w:rsidTr="00A22BF2">
        <w:trPr>
          <w:jc w:val="center"/>
        </w:trPr>
        <w:tc>
          <w:tcPr>
            <w:tcW w:w="1263" w:type="dxa"/>
            <w:tcBorders>
              <w:top w:val="single" w:sz="4" w:space="0" w:color="auto"/>
              <w:bottom w:val="single" w:sz="4" w:space="0" w:color="auto"/>
            </w:tcBorders>
          </w:tcPr>
          <w:p w14:paraId="2D2378CE" w14:textId="712F420C" w:rsidR="00864BA5" w:rsidRPr="000127EF" w:rsidRDefault="00CF206B" w:rsidP="00864BA5">
            <w:pPr>
              <w:jc w:val="right"/>
              <w:rPr>
                <w:b/>
                <w:i/>
              </w:rPr>
            </w:pPr>
            <w:r>
              <w:rPr>
                <w:b/>
              </w:rPr>
              <w:fldChar w:fldCharType="begin"/>
            </w:r>
            <w:r>
              <w:rPr>
                <w:b/>
              </w:rPr>
              <w:instrText xml:space="preserve"> =SUM(a23:a25) </w:instrText>
            </w:r>
            <w:r>
              <w:rPr>
                <w:b/>
              </w:rPr>
              <w:fldChar w:fldCharType="separate"/>
            </w:r>
            <w:r>
              <w:rPr>
                <w:b/>
                <w:noProof/>
              </w:rPr>
              <w:t>(32,047)</w:t>
            </w:r>
            <w:r>
              <w:rPr>
                <w:b/>
              </w:rPr>
              <w:fldChar w:fldCharType="end"/>
            </w:r>
          </w:p>
        </w:tc>
        <w:tc>
          <w:tcPr>
            <w:tcW w:w="4817" w:type="dxa"/>
          </w:tcPr>
          <w:p w14:paraId="44DE3194" w14:textId="77777777" w:rsidR="00864BA5" w:rsidRPr="000127EF" w:rsidRDefault="00864BA5" w:rsidP="00864BA5">
            <w:pPr>
              <w:jc w:val="both"/>
              <w:rPr>
                <w:b/>
              </w:rPr>
            </w:pPr>
            <w:r w:rsidRPr="000127EF">
              <w:rPr>
                <w:b/>
              </w:rPr>
              <w:t>Total Reserves</w:t>
            </w:r>
          </w:p>
        </w:tc>
        <w:tc>
          <w:tcPr>
            <w:tcW w:w="863" w:type="dxa"/>
          </w:tcPr>
          <w:p w14:paraId="1B20E431" w14:textId="77777777" w:rsidR="00864BA5" w:rsidRPr="000127EF" w:rsidRDefault="00864BA5" w:rsidP="00864BA5">
            <w:pPr>
              <w:jc w:val="both"/>
            </w:pPr>
          </w:p>
        </w:tc>
        <w:tc>
          <w:tcPr>
            <w:tcW w:w="1563" w:type="dxa"/>
            <w:tcBorders>
              <w:top w:val="single" w:sz="4" w:space="0" w:color="auto"/>
              <w:bottom w:val="single" w:sz="4" w:space="0" w:color="auto"/>
            </w:tcBorders>
            <w:shd w:val="clear" w:color="auto" w:fill="C5E0B3" w:themeFill="accent6" w:themeFillTint="66"/>
          </w:tcPr>
          <w:p w14:paraId="57DEF514" w14:textId="6982FA4D" w:rsidR="00864BA5" w:rsidRPr="006826B4" w:rsidRDefault="00CF206B" w:rsidP="00864BA5">
            <w:pPr>
              <w:jc w:val="right"/>
              <w:rPr>
                <w:b/>
              </w:rPr>
            </w:pPr>
            <w:r>
              <w:rPr>
                <w:b/>
              </w:rPr>
              <w:t>(</w:t>
            </w:r>
            <w:r w:rsidR="006826B4" w:rsidRPr="006826B4">
              <w:rPr>
                <w:b/>
              </w:rPr>
              <w:t>43,</w:t>
            </w:r>
            <w:r w:rsidR="00066317">
              <w:rPr>
                <w:b/>
              </w:rPr>
              <w:t>891</w:t>
            </w:r>
            <w:r>
              <w:rPr>
                <w:b/>
              </w:rPr>
              <w:t>)</w:t>
            </w:r>
          </w:p>
        </w:tc>
      </w:tr>
      <w:tr w:rsidR="007E28E3" w:rsidRPr="000127EF" w14:paraId="5279F320" w14:textId="77777777" w:rsidTr="00A22BF2">
        <w:trPr>
          <w:jc w:val="center"/>
        </w:trPr>
        <w:tc>
          <w:tcPr>
            <w:tcW w:w="1263" w:type="dxa"/>
            <w:tcBorders>
              <w:top w:val="single" w:sz="4" w:space="0" w:color="auto"/>
              <w:bottom w:val="single" w:sz="18" w:space="0" w:color="A8D08D" w:themeColor="accent6" w:themeTint="99"/>
            </w:tcBorders>
          </w:tcPr>
          <w:p w14:paraId="31ACA4CE" w14:textId="77777777" w:rsidR="007E28E3" w:rsidRPr="000127EF" w:rsidRDefault="007E28E3" w:rsidP="007E28E3">
            <w:pPr>
              <w:jc w:val="right"/>
              <w:rPr>
                <w:i/>
                <w:sz w:val="12"/>
                <w:szCs w:val="12"/>
              </w:rPr>
            </w:pPr>
          </w:p>
        </w:tc>
        <w:tc>
          <w:tcPr>
            <w:tcW w:w="4817" w:type="dxa"/>
            <w:tcBorders>
              <w:bottom w:val="single" w:sz="18" w:space="0" w:color="A8D08D" w:themeColor="accent6" w:themeTint="99"/>
            </w:tcBorders>
          </w:tcPr>
          <w:p w14:paraId="473B3AFE" w14:textId="77777777" w:rsidR="007E28E3" w:rsidRPr="000127EF" w:rsidRDefault="007E28E3" w:rsidP="007E28E3">
            <w:pPr>
              <w:jc w:val="both"/>
              <w:rPr>
                <w:sz w:val="12"/>
                <w:szCs w:val="12"/>
              </w:rPr>
            </w:pPr>
          </w:p>
        </w:tc>
        <w:tc>
          <w:tcPr>
            <w:tcW w:w="863" w:type="dxa"/>
            <w:tcBorders>
              <w:bottom w:val="single" w:sz="18" w:space="0" w:color="A8D08D" w:themeColor="accent6" w:themeTint="99"/>
            </w:tcBorders>
          </w:tcPr>
          <w:p w14:paraId="4652F90A" w14:textId="77777777" w:rsidR="007E28E3" w:rsidRPr="000127EF" w:rsidRDefault="007E28E3" w:rsidP="007E28E3">
            <w:pPr>
              <w:jc w:val="both"/>
              <w:rPr>
                <w:sz w:val="12"/>
                <w:szCs w:val="12"/>
              </w:rPr>
            </w:pPr>
          </w:p>
        </w:tc>
        <w:tc>
          <w:tcPr>
            <w:tcW w:w="1563" w:type="dxa"/>
            <w:tcBorders>
              <w:top w:val="single" w:sz="4" w:space="0" w:color="auto"/>
              <w:bottom w:val="single" w:sz="18" w:space="0" w:color="A8D08D" w:themeColor="accent6" w:themeTint="99"/>
            </w:tcBorders>
          </w:tcPr>
          <w:p w14:paraId="7828DB82" w14:textId="77777777" w:rsidR="007E28E3" w:rsidRPr="000127EF" w:rsidRDefault="007E28E3" w:rsidP="007E28E3">
            <w:pPr>
              <w:jc w:val="right"/>
              <w:rPr>
                <w:sz w:val="12"/>
                <w:szCs w:val="12"/>
              </w:rPr>
            </w:pPr>
          </w:p>
        </w:tc>
      </w:tr>
    </w:tbl>
    <w:p w14:paraId="2B70F7DB" w14:textId="77777777" w:rsidR="00A11A0B" w:rsidRPr="000127EF" w:rsidRDefault="00A11A0B" w:rsidP="002C0644">
      <w:pPr>
        <w:jc w:val="both"/>
        <w:sectPr w:rsidR="00A11A0B" w:rsidRPr="000127EF" w:rsidSect="008C78E8">
          <w:pgSz w:w="11907" w:h="16840" w:code="9"/>
          <w:pgMar w:top="1135" w:right="992" w:bottom="1440" w:left="709" w:header="567" w:footer="851" w:gutter="0"/>
          <w:paperSrc w:first="7" w:other="7"/>
          <w:cols w:space="720"/>
          <w:docGrid w:linePitch="299"/>
        </w:sectPr>
      </w:pPr>
    </w:p>
    <w:p w14:paraId="27E14F3F" w14:textId="77777777" w:rsidR="00A11A0B" w:rsidRPr="000127EF" w:rsidRDefault="00A11A0B" w:rsidP="00A11A0B">
      <w:pPr>
        <w:pStyle w:val="MainSoAHeading"/>
      </w:pPr>
      <w:bookmarkStart w:id="15" w:name="_Toc54886657"/>
      <w:r w:rsidRPr="000127EF">
        <w:lastRenderedPageBreak/>
        <w:t>Cash Flow Statement</w:t>
      </w:r>
      <w:bookmarkEnd w:id="15"/>
    </w:p>
    <w:p w14:paraId="09A9F0B1" w14:textId="77777777" w:rsidR="002C0644" w:rsidRPr="000127EF" w:rsidRDefault="00661E70" w:rsidP="00A11A0B">
      <w:pPr>
        <w:jc w:val="both"/>
      </w:pPr>
      <w:r>
        <w:pict w14:anchorId="24372B5D">
          <v:rect id="_x0000_i1033" style="width:510.3pt;height:2pt" o:hralign="center" o:hrstd="t" o:hrnoshade="t" o:hr="t" fillcolor="#a8d08d [1945]" stroked="f"/>
        </w:pict>
      </w:r>
    </w:p>
    <w:p w14:paraId="578370BE" w14:textId="77777777" w:rsidR="00A11A0B" w:rsidRPr="000127EF" w:rsidRDefault="00A11A0B" w:rsidP="009171A6">
      <w:pPr>
        <w:spacing w:after="120"/>
        <w:jc w:val="both"/>
      </w:pPr>
      <w:r w:rsidRPr="000127EF">
        <w:t>The Cash Flow Statement shows the changes in cash and cash equivalents of the Council during the reporting period.  The statement shows how the Council generates and uses cash and cash equivalents by classifying cash flows as operating, investing and financing activities.  Investing activities represent the extent to which cash outflows have been made for resources which are intended to contribute to the Council’s future service delivery.  Cash flows arising from financing activities are useful in predicting claims on future cash flows by providers of capital (i.e. borrowing) to the Council.</w:t>
      </w:r>
    </w:p>
    <w:tbl>
      <w:tblPr>
        <w:tblStyle w:val="TableGrid"/>
        <w:tblW w:w="8505"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280"/>
        <w:gridCol w:w="5084"/>
        <w:gridCol w:w="867"/>
        <w:gridCol w:w="1274"/>
      </w:tblGrid>
      <w:tr w:rsidR="00414167" w:rsidRPr="000127EF" w14:paraId="1D1E347B" w14:textId="77777777" w:rsidTr="007563CA">
        <w:trPr>
          <w:jc w:val="center"/>
        </w:trPr>
        <w:tc>
          <w:tcPr>
            <w:tcW w:w="1280" w:type="dxa"/>
          </w:tcPr>
          <w:p w14:paraId="68891CEF" w14:textId="7647FD38" w:rsidR="00414167" w:rsidRPr="000127EF" w:rsidRDefault="00864BA5" w:rsidP="00E335D7">
            <w:pPr>
              <w:jc w:val="center"/>
              <w:rPr>
                <w:b/>
                <w:i/>
              </w:rPr>
            </w:pPr>
            <w:r>
              <w:rPr>
                <w:b/>
                <w:i/>
              </w:rPr>
              <w:t>31 March 2019</w:t>
            </w:r>
          </w:p>
        </w:tc>
        <w:tc>
          <w:tcPr>
            <w:tcW w:w="5084" w:type="dxa"/>
            <w:vAlign w:val="center"/>
          </w:tcPr>
          <w:p w14:paraId="6F27FCF3" w14:textId="77777777" w:rsidR="00414167" w:rsidRPr="000127EF" w:rsidRDefault="00414167" w:rsidP="007563CA">
            <w:pPr>
              <w:jc w:val="center"/>
              <w:rPr>
                <w:b/>
              </w:rPr>
            </w:pPr>
            <w:r w:rsidRPr="000127EF">
              <w:rPr>
                <w:b/>
              </w:rPr>
              <w:t>Cash Flow Statement</w:t>
            </w:r>
          </w:p>
        </w:tc>
        <w:tc>
          <w:tcPr>
            <w:tcW w:w="867" w:type="dxa"/>
            <w:vAlign w:val="center"/>
          </w:tcPr>
          <w:p w14:paraId="6C1FE757" w14:textId="77777777" w:rsidR="00414167" w:rsidRPr="000127EF" w:rsidRDefault="00414167" w:rsidP="007563CA">
            <w:pPr>
              <w:jc w:val="center"/>
              <w:rPr>
                <w:b/>
              </w:rPr>
            </w:pPr>
            <w:r w:rsidRPr="000127EF">
              <w:rPr>
                <w:b/>
              </w:rPr>
              <w:t>Notes</w:t>
            </w:r>
          </w:p>
        </w:tc>
        <w:tc>
          <w:tcPr>
            <w:tcW w:w="1274" w:type="dxa"/>
          </w:tcPr>
          <w:p w14:paraId="1EFAF88E" w14:textId="62143363" w:rsidR="00414167" w:rsidRPr="00E302B4" w:rsidRDefault="00864BA5" w:rsidP="007563CA">
            <w:pPr>
              <w:jc w:val="center"/>
              <w:rPr>
                <w:b/>
              </w:rPr>
            </w:pPr>
            <w:r w:rsidRPr="00E302B4">
              <w:rPr>
                <w:b/>
              </w:rPr>
              <w:t>31 March 2020</w:t>
            </w:r>
          </w:p>
        </w:tc>
      </w:tr>
      <w:tr w:rsidR="00414167" w:rsidRPr="000127EF" w14:paraId="0F3BEB18" w14:textId="77777777" w:rsidTr="00504E82">
        <w:trPr>
          <w:jc w:val="center"/>
        </w:trPr>
        <w:tc>
          <w:tcPr>
            <w:tcW w:w="1280" w:type="dxa"/>
          </w:tcPr>
          <w:p w14:paraId="2AD024CE" w14:textId="77777777" w:rsidR="00414167" w:rsidRPr="000127EF" w:rsidRDefault="00414167" w:rsidP="00E335D7">
            <w:pPr>
              <w:jc w:val="center"/>
              <w:rPr>
                <w:b/>
                <w:i/>
              </w:rPr>
            </w:pPr>
            <w:r w:rsidRPr="000127EF">
              <w:rPr>
                <w:b/>
                <w:i/>
              </w:rPr>
              <w:t>£000</w:t>
            </w:r>
          </w:p>
        </w:tc>
        <w:tc>
          <w:tcPr>
            <w:tcW w:w="5084" w:type="dxa"/>
          </w:tcPr>
          <w:p w14:paraId="0E20CFAD" w14:textId="77777777" w:rsidR="00414167" w:rsidRPr="000127EF" w:rsidRDefault="00414167" w:rsidP="007563CA">
            <w:pPr>
              <w:jc w:val="center"/>
              <w:rPr>
                <w:b/>
              </w:rPr>
            </w:pPr>
          </w:p>
        </w:tc>
        <w:tc>
          <w:tcPr>
            <w:tcW w:w="867" w:type="dxa"/>
          </w:tcPr>
          <w:p w14:paraId="1BCBD559" w14:textId="77777777" w:rsidR="00414167" w:rsidRPr="000127EF" w:rsidRDefault="00414167" w:rsidP="007563CA">
            <w:pPr>
              <w:jc w:val="center"/>
              <w:rPr>
                <w:b/>
              </w:rPr>
            </w:pPr>
          </w:p>
        </w:tc>
        <w:tc>
          <w:tcPr>
            <w:tcW w:w="1274" w:type="dxa"/>
            <w:shd w:val="clear" w:color="auto" w:fill="C5E0B3" w:themeFill="accent6" w:themeFillTint="66"/>
          </w:tcPr>
          <w:p w14:paraId="75C48554" w14:textId="77777777" w:rsidR="00414167" w:rsidRPr="00E302B4" w:rsidRDefault="00414167" w:rsidP="007563CA">
            <w:pPr>
              <w:jc w:val="center"/>
              <w:rPr>
                <w:b/>
              </w:rPr>
            </w:pPr>
            <w:r w:rsidRPr="00E302B4">
              <w:rPr>
                <w:b/>
              </w:rPr>
              <w:t>£000</w:t>
            </w:r>
          </w:p>
        </w:tc>
      </w:tr>
      <w:tr w:rsidR="00864BA5" w:rsidRPr="000127EF" w14:paraId="67065D23" w14:textId="77777777" w:rsidTr="00D25A43">
        <w:trPr>
          <w:jc w:val="center"/>
        </w:trPr>
        <w:tc>
          <w:tcPr>
            <w:tcW w:w="1280" w:type="dxa"/>
            <w:vAlign w:val="center"/>
          </w:tcPr>
          <w:p w14:paraId="08B6A9B3" w14:textId="1F0161B2" w:rsidR="00864BA5" w:rsidRPr="000127EF" w:rsidRDefault="00864BA5" w:rsidP="00864BA5">
            <w:pPr>
              <w:jc w:val="right"/>
              <w:rPr>
                <w:i/>
              </w:rPr>
            </w:pPr>
            <w:r w:rsidRPr="000127EF">
              <w:t>3,</w:t>
            </w:r>
            <w:r>
              <w:t>872</w:t>
            </w:r>
          </w:p>
        </w:tc>
        <w:tc>
          <w:tcPr>
            <w:tcW w:w="5084" w:type="dxa"/>
          </w:tcPr>
          <w:p w14:paraId="6298F16C" w14:textId="77777777" w:rsidR="00864BA5" w:rsidRPr="000127EF" w:rsidRDefault="00864BA5" w:rsidP="00864BA5">
            <w:pPr>
              <w:jc w:val="both"/>
            </w:pPr>
            <w:r w:rsidRPr="000127EF">
              <w:t>Net (Surplus)/Deficit on the Provision of Services</w:t>
            </w:r>
          </w:p>
        </w:tc>
        <w:tc>
          <w:tcPr>
            <w:tcW w:w="867" w:type="dxa"/>
          </w:tcPr>
          <w:p w14:paraId="20729B52" w14:textId="1D804346" w:rsidR="00864BA5" w:rsidRPr="000127EF" w:rsidRDefault="00864BA5" w:rsidP="00864BA5">
            <w:pPr>
              <w:jc w:val="both"/>
            </w:pPr>
          </w:p>
        </w:tc>
        <w:tc>
          <w:tcPr>
            <w:tcW w:w="1274" w:type="dxa"/>
            <w:shd w:val="clear" w:color="auto" w:fill="C5E0B3" w:themeFill="accent6" w:themeFillTint="66"/>
            <w:vAlign w:val="center"/>
          </w:tcPr>
          <w:p w14:paraId="67BD5F85" w14:textId="1C5702B2" w:rsidR="00864BA5" w:rsidRPr="00E302B4" w:rsidRDefault="00E302B4" w:rsidP="00864BA5">
            <w:pPr>
              <w:jc w:val="right"/>
            </w:pPr>
            <w:r w:rsidRPr="00E302B4">
              <w:t>(143)</w:t>
            </w:r>
          </w:p>
        </w:tc>
      </w:tr>
      <w:tr w:rsidR="00864BA5" w:rsidRPr="000127EF" w14:paraId="68B60C78" w14:textId="77777777" w:rsidTr="0003111C">
        <w:trPr>
          <w:jc w:val="center"/>
        </w:trPr>
        <w:tc>
          <w:tcPr>
            <w:tcW w:w="1280" w:type="dxa"/>
            <w:vAlign w:val="center"/>
          </w:tcPr>
          <w:p w14:paraId="7A2FF029" w14:textId="0FA7F958" w:rsidR="00864BA5" w:rsidRPr="000127EF" w:rsidRDefault="00864BA5" w:rsidP="00864BA5">
            <w:pPr>
              <w:jc w:val="right"/>
              <w:rPr>
                <w:i/>
              </w:rPr>
            </w:pPr>
            <w:r w:rsidRPr="000127EF">
              <w:t>(</w:t>
            </w:r>
            <w:r>
              <w:t>10</w:t>
            </w:r>
            <w:r w:rsidRPr="000127EF">
              <w:t>,</w:t>
            </w:r>
            <w:r>
              <w:t>340</w:t>
            </w:r>
            <w:r w:rsidRPr="000127EF">
              <w:t>)</w:t>
            </w:r>
          </w:p>
        </w:tc>
        <w:tc>
          <w:tcPr>
            <w:tcW w:w="5084" w:type="dxa"/>
          </w:tcPr>
          <w:p w14:paraId="1C1D5D0B" w14:textId="77777777" w:rsidR="00864BA5" w:rsidRPr="000127EF" w:rsidRDefault="00864BA5" w:rsidP="00864BA5">
            <w:r w:rsidRPr="000127EF">
              <w:t>Adjustments to Net (Surplus)/Deficit on the Provision of Services for Non-Cash Movements</w:t>
            </w:r>
          </w:p>
        </w:tc>
        <w:tc>
          <w:tcPr>
            <w:tcW w:w="867" w:type="dxa"/>
            <w:vAlign w:val="center"/>
          </w:tcPr>
          <w:p w14:paraId="2D87241F" w14:textId="1F8ED992" w:rsidR="00864BA5" w:rsidRPr="000127EF" w:rsidRDefault="00374AE9" w:rsidP="00864BA5">
            <w:pPr>
              <w:jc w:val="right"/>
            </w:pPr>
            <w:r>
              <w:t>26</w:t>
            </w:r>
          </w:p>
        </w:tc>
        <w:tc>
          <w:tcPr>
            <w:tcW w:w="1274" w:type="dxa"/>
            <w:shd w:val="clear" w:color="auto" w:fill="C5E0B3" w:themeFill="accent6" w:themeFillTint="66"/>
            <w:vAlign w:val="center"/>
          </w:tcPr>
          <w:p w14:paraId="34818AC9" w14:textId="3AC92A2D" w:rsidR="00864BA5" w:rsidRPr="00E302B4" w:rsidRDefault="003743EF" w:rsidP="00864BA5">
            <w:pPr>
              <w:jc w:val="right"/>
            </w:pPr>
            <w:r>
              <w:t>(7,942)</w:t>
            </w:r>
          </w:p>
        </w:tc>
      </w:tr>
      <w:tr w:rsidR="00864BA5" w:rsidRPr="000127EF" w14:paraId="5A8234A3" w14:textId="77777777" w:rsidTr="0003111C">
        <w:trPr>
          <w:jc w:val="center"/>
        </w:trPr>
        <w:tc>
          <w:tcPr>
            <w:tcW w:w="1280" w:type="dxa"/>
            <w:tcBorders>
              <w:bottom w:val="single" w:sz="8" w:space="0" w:color="auto"/>
            </w:tcBorders>
            <w:vAlign w:val="center"/>
          </w:tcPr>
          <w:p w14:paraId="2B09546D" w14:textId="606A7986" w:rsidR="00864BA5" w:rsidRPr="000127EF" w:rsidRDefault="00864BA5" w:rsidP="00864BA5">
            <w:pPr>
              <w:jc w:val="right"/>
              <w:rPr>
                <w:i/>
              </w:rPr>
            </w:pPr>
            <w:r w:rsidRPr="000127EF">
              <w:t>5,263</w:t>
            </w:r>
          </w:p>
        </w:tc>
        <w:tc>
          <w:tcPr>
            <w:tcW w:w="5084" w:type="dxa"/>
          </w:tcPr>
          <w:p w14:paraId="1FF8A49A" w14:textId="77777777" w:rsidR="00864BA5" w:rsidRPr="000127EF" w:rsidRDefault="00864BA5" w:rsidP="00864BA5">
            <w:pPr>
              <w:jc w:val="both"/>
            </w:pPr>
            <w:r w:rsidRPr="000127EF">
              <w:t>Adjustments for items included in the net surplus or deficit on the provision of services that are investing and financing activities</w:t>
            </w:r>
          </w:p>
        </w:tc>
        <w:tc>
          <w:tcPr>
            <w:tcW w:w="867" w:type="dxa"/>
            <w:vAlign w:val="center"/>
          </w:tcPr>
          <w:p w14:paraId="20CF7AF8" w14:textId="3CA9C2C4" w:rsidR="00864BA5" w:rsidRPr="000127EF" w:rsidRDefault="00374AE9" w:rsidP="00864BA5">
            <w:pPr>
              <w:jc w:val="right"/>
            </w:pPr>
            <w:r>
              <w:t>26</w:t>
            </w:r>
          </w:p>
        </w:tc>
        <w:tc>
          <w:tcPr>
            <w:tcW w:w="1274" w:type="dxa"/>
            <w:tcBorders>
              <w:bottom w:val="single" w:sz="8" w:space="0" w:color="auto"/>
            </w:tcBorders>
            <w:shd w:val="clear" w:color="auto" w:fill="C5E0B3" w:themeFill="accent6" w:themeFillTint="66"/>
            <w:vAlign w:val="center"/>
          </w:tcPr>
          <w:p w14:paraId="52AD3976" w14:textId="1BC0A5FB" w:rsidR="00864BA5" w:rsidRPr="00E302B4" w:rsidRDefault="00E302B4" w:rsidP="00864BA5">
            <w:pPr>
              <w:jc w:val="right"/>
            </w:pPr>
            <w:r w:rsidRPr="00E302B4">
              <w:t>3,972</w:t>
            </w:r>
          </w:p>
        </w:tc>
      </w:tr>
      <w:tr w:rsidR="00864BA5" w:rsidRPr="000127EF" w14:paraId="7AF06D64" w14:textId="77777777" w:rsidTr="00D25A43">
        <w:trPr>
          <w:jc w:val="center"/>
        </w:trPr>
        <w:tc>
          <w:tcPr>
            <w:tcW w:w="1280" w:type="dxa"/>
            <w:tcBorders>
              <w:top w:val="single" w:sz="8" w:space="0" w:color="auto"/>
            </w:tcBorders>
            <w:vAlign w:val="center"/>
          </w:tcPr>
          <w:p w14:paraId="502A4A13" w14:textId="71787E8B" w:rsidR="00864BA5" w:rsidRPr="000127EF" w:rsidRDefault="00864BA5" w:rsidP="00864BA5">
            <w:pPr>
              <w:jc w:val="right"/>
              <w:rPr>
                <w:b/>
                <w:i/>
              </w:rPr>
            </w:pPr>
            <w:r w:rsidRPr="000127EF">
              <w:rPr>
                <w:b/>
              </w:rPr>
              <w:fldChar w:fldCharType="begin"/>
            </w:r>
            <w:r w:rsidRPr="000127EF">
              <w:rPr>
                <w:b/>
              </w:rPr>
              <w:instrText xml:space="preserve"> =SUM(d3:d5) </w:instrText>
            </w:r>
            <w:r w:rsidRPr="000127EF">
              <w:rPr>
                <w:b/>
              </w:rPr>
              <w:fldChar w:fldCharType="separate"/>
            </w:r>
            <w:r>
              <w:rPr>
                <w:b/>
                <w:noProof/>
              </w:rPr>
              <w:t>(1,205)</w:t>
            </w:r>
            <w:r w:rsidRPr="000127EF">
              <w:rPr>
                <w:b/>
              </w:rPr>
              <w:fldChar w:fldCharType="end"/>
            </w:r>
          </w:p>
        </w:tc>
        <w:tc>
          <w:tcPr>
            <w:tcW w:w="5084" w:type="dxa"/>
          </w:tcPr>
          <w:p w14:paraId="01689439" w14:textId="77777777" w:rsidR="00864BA5" w:rsidRPr="000127EF" w:rsidRDefault="00864BA5" w:rsidP="00864BA5">
            <w:pPr>
              <w:jc w:val="both"/>
              <w:rPr>
                <w:b/>
              </w:rPr>
            </w:pPr>
            <w:r w:rsidRPr="000127EF">
              <w:rPr>
                <w:b/>
              </w:rPr>
              <w:t xml:space="preserve">Net Cash Flow from Operating Activities </w:t>
            </w:r>
          </w:p>
        </w:tc>
        <w:tc>
          <w:tcPr>
            <w:tcW w:w="867" w:type="dxa"/>
          </w:tcPr>
          <w:p w14:paraId="240AEF9A" w14:textId="77777777" w:rsidR="00864BA5" w:rsidRPr="000127EF" w:rsidRDefault="00864BA5" w:rsidP="00864BA5">
            <w:pPr>
              <w:jc w:val="right"/>
            </w:pPr>
          </w:p>
        </w:tc>
        <w:tc>
          <w:tcPr>
            <w:tcW w:w="1274" w:type="dxa"/>
            <w:tcBorders>
              <w:top w:val="single" w:sz="8" w:space="0" w:color="auto"/>
            </w:tcBorders>
            <w:shd w:val="clear" w:color="auto" w:fill="C5E0B3" w:themeFill="accent6" w:themeFillTint="66"/>
            <w:vAlign w:val="center"/>
          </w:tcPr>
          <w:p w14:paraId="5296B6D2" w14:textId="26CA86CC" w:rsidR="00864BA5" w:rsidRPr="00E302B4" w:rsidRDefault="00864BA5" w:rsidP="00864BA5">
            <w:pPr>
              <w:jc w:val="right"/>
              <w:rPr>
                <w:b/>
              </w:rPr>
            </w:pPr>
          </w:p>
        </w:tc>
      </w:tr>
      <w:tr w:rsidR="00864BA5" w:rsidRPr="000127EF" w14:paraId="76BF2AEA" w14:textId="77777777" w:rsidTr="00D25A43">
        <w:trPr>
          <w:jc w:val="center"/>
        </w:trPr>
        <w:tc>
          <w:tcPr>
            <w:tcW w:w="1280" w:type="dxa"/>
            <w:vAlign w:val="center"/>
          </w:tcPr>
          <w:p w14:paraId="74A1886A" w14:textId="77777777" w:rsidR="00864BA5" w:rsidRPr="000127EF" w:rsidRDefault="00864BA5" w:rsidP="00864BA5">
            <w:pPr>
              <w:jc w:val="right"/>
              <w:rPr>
                <w:i/>
                <w:sz w:val="12"/>
                <w:szCs w:val="12"/>
              </w:rPr>
            </w:pPr>
          </w:p>
        </w:tc>
        <w:tc>
          <w:tcPr>
            <w:tcW w:w="5084" w:type="dxa"/>
          </w:tcPr>
          <w:p w14:paraId="73FB4AB5" w14:textId="77777777" w:rsidR="00864BA5" w:rsidRPr="000127EF" w:rsidRDefault="00864BA5" w:rsidP="00864BA5">
            <w:pPr>
              <w:jc w:val="both"/>
              <w:rPr>
                <w:sz w:val="12"/>
                <w:szCs w:val="12"/>
              </w:rPr>
            </w:pPr>
          </w:p>
        </w:tc>
        <w:tc>
          <w:tcPr>
            <w:tcW w:w="867" w:type="dxa"/>
          </w:tcPr>
          <w:p w14:paraId="0A6DF9DE" w14:textId="77777777" w:rsidR="00864BA5" w:rsidRPr="000127EF" w:rsidRDefault="00864BA5" w:rsidP="00864BA5">
            <w:pPr>
              <w:jc w:val="both"/>
              <w:rPr>
                <w:sz w:val="12"/>
                <w:szCs w:val="12"/>
              </w:rPr>
            </w:pPr>
          </w:p>
        </w:tc>
        <w:tc>
          <w:tcPr>
            <w:tcW w:w="1274" w:type="dxa"/>
            <w:shd w:val="clear" w:color="auto" w:fill="C5E0B3" w:themeFill="accent6" w:themeFillTint="66"/>
            <w:vAlign w:val="center"/>
          </w:tcPr>
          <w:p w14:paraId="381773B8" w14:textId="77777777" w:rsidR="00864BA5" w:rsidRPr="00E302B4" w:rsidRDefault="00864BA5" w:rsidP="00864BA5">
            <w:pPr>
              <w:jc w:val="right"/>
              <w:rPr>
                <w:sz w:val="12"/>
                <w:szCs w:val="12"/>
              </w:rPr>
            </w:pPr>
          </w:p>
        </w:tc>
      </w:tr>
      <w:tr w:rsidR="00864BA5" w:rsidRPr="000127EF" w14:paraId="32D50E2B" w14:textId="77777777" w:rsidTr="00D25A43">
        <w:trPr>
          <w:jc w:val="center"/>
        </w:trPr>
        <w:tc>
          <w:tcPr>
            <w:tcW w:w="1280" w:type="dxa"/>
            <w:vAlign w:val="center"/>
          </w:tcPr>
          <w:p w14:paraId="1EDE4161" w14:textId="08BEAB78" w:rsidR="00864BA5" w:rsidRPr="000127EF" w:rsidRDefault="00864BA5" w:rsidP="00864BA5">
            <w:pPr>
              <w:jc w:val="right"/>
              <w:rPr>
                <w:i/>
              </w:rPr>
            </w:pPr>
            <w:r w:rsidRPr="000127EF">
              <w:t>6,408</w:t>
            </w:r>
          </w:p>
        </w:tc>
        <w:tc>
          <w:tcPr>
            <w:tcW w:w="5084" w:type="dxa"/>
          </w:tcPr>
          <w:p w14:paraId="4F7EEF25" w14:textId="77777777" w:rsidR="00864BA5" w:rsidRPr="000127EF" w:rsidRDefault="00864BA5" w:rsidP="00864BA5">
            <w:pPr>
              <w:jc w:val="both"/>
            </w:pPr>
            <w:r w:rsidRPr="000127EF">
              <w:t>Investing Activities</w:t>
            </w:r>
          </w:p>
        </w:tc>
        <w:tc>
          <w:tcPr>
            <w:tcW w:w="867" w:type="dxa"/>
          </w:tcPr>
          <w:p w14:paraId="53A92E2A" w14:textId="3931D488" w:rsidR="00864BA5" w:rsidRPr="000127EF" w:rsidRDefault="00374AE9" w:rsidP="00864BA5">
            <w:pPr>
              <w:jc w:val="right"/>
            </w:pPr>
            <w:r>
              <w:t>27</w:t>
            </w:r>
          </w:p>
        </w:tc>
        <w:tc>
          <w:tcPr>
            <w:tcW w:w="1274" w:type="dxa"/>
            <w:shd w:val="clear" w:color="auto" w:fill="C5E0B3" w:themeFill="accent6" w:themeFillTint="66"/>
            <w:vAlign w:val="center"/>
          </w:tcPr>
          <w:p w14:paraId="1C5CE54A" w14:textId="7FE0A0DD" w:rsidR="00864BA5" w:rsidRPr="00E302B4" w:rsidRDefault="00E302B4" w:rsidP="00864BA5">
            <w:pPr>
              <w:jc w:val="right"/>
            </w:pPr>
            <w:r>
              <w:t>2,283</w:t>
            </w:r>
          </w:p>
        </w:tc>
      </w:tr>
      <w:tr w:rsidR="00864BA5" w:rsidRPr="000127EF" w14:paraId="05EEB2A5" w14:textId="77777777" w:rsidTr="00D25A43">
        <w:trPr>
          <w:jc w:val="center"/>
        </w:trPr>
        <w:tc>
          <w:tcPr>
            <w:tcW w:w="1280" w:type="dxa"/>
            <w:vAlign w:val="center"/>
          </w:tcPr>
          <w:p w14:paraId="328D49A2" w14:textId="3C30628B" w:rsidR="00864BA5" w:rsidRPr="000127EF" w:rsidRDefault="00864BA5" w:rsidP="00864BA5">
            <w:pPr>
              <w:jc w:val="right"/>
              <w:rPr>
                <w:i/>
              </w:rPr>
            </w:pPr>
            <w:r w:rsidRPr="000127EF">
              <w:t>(348)</w:t>
            </w:r>
          </w:p>
        </w:tc>
        <w:tc>
          <w:tcPr>
            <w:tcW w:w="5084" w:type="dxa"/>
          </w:tcPr>
          <w:p w14:paraId="714EA6A9" w14:textId="77777777" w:rsidR="00864BA5" w:rsidRPr="000127EF" w:rsidRDefault="00864BA5" w:rsidP="00864BA5">
            <w:pPr>
              <w:jc w:val="both"/>
            </w:pPr>
            <w:r w:rsidRPr="000127EF">
              <w:t>Financing Activities</w:t>
            </w:r>
          </w:p>
        </w:tc>
        <w:tc>
          <w:tcPr>
            <w:tcW w:w="867" w:type="dxa"/>
          </w:tcPr>
          <w:p w14:paraId="715CA74A" w14:textId="42AAE444" w:rsidR="00864BA5" w:rsidRPr="000127EF" w:rsidRDefault="00374AE9" w:rsidP="00864BA5">
            <w:pPr>
              <w:jc w:val="right"/>
            </w:pPr>
            <w:r>
              <w:t>28</w:t>
            </w:r>
          </w:p>
        </w:tc>
        <w:tc>
          <w:tcPr>
            <w:tcW w:w="1274" w:type="dxa"/>
            <w:shd w:val="clear" w:color="auto" w:fill="C5E0B3" w:themeFill="accent6" w:themeFillTint="66"/>
            <w:vAlign w:val="center"/>
          </w:tcPr>
          <w:p w14:paraId="0A8AB281" w14:textId="24C5BAF9" w:rsidR="00864BA5" w:rsidRPr="00E302B4" w:rsidRDefault="00E302B4" w:rsidP="00864BA5">
            <w:pPr>
              <w:jc w:val="right"/>
            </w:pPr>
            <w:r>
              <w:t>166</w:t>
            </w:r>
          </w:p>
        </w:tc>
      </w:tr>
      <w:tr w:rsidR="00864BA5" w:rsidRPr="000127EF" w14:paraId="1609FF2D" w14:textId="77777777" w:rsidTr="00D25A43">
        <w:trPr>
          <w:jc w:val="center"/>
        </w:trPr>
        <w:tc>
          <w:tcPr>
            <w:tcW w:w="1280" w:type="dxa"/>
            <w:tcBorders>
              <w:top w:val="single" w:sz="8" w:space="0" w:color="auto"/>
            </w:tcBorders>
            <w:vAlign w:val="center"/>
          </w:tcPr>
          <w:p w14:paraId="314804C3" w14:textId="1066A710" w:rsidR="00864BA5" w:rsidRPr="000127EF" w:rsidRDefault="00864BA5" w:rsidP="00864BA5">
            <w:pPr>
              <w:jc w:val="right"/>
              <w:rPr>
                <w:b/>
                <w:i/>
              </w:rPr>
            </w:pPr>
            <w:r>
              <w:rPr>
                <w:b/>
              </w:rPr>
              <w:fldChar w:fldCharType="begin"/>
            </w:r>
            <w:r>
              <w:rPr>
                <w:b/>
              </w:rPr>
              <w:instrText xml:space="preserve"> =SUM(d6:d9) </w:instrText>
            </w:r>
            <w:r>
              <w:rPr>
                <w:b/>
              </w:rPr>
              <w:fldChar w:fldCharType="separate"/>
            </w:r>
            <w:r>
              <w:rPr>
                <w:b/>
                <w:noProof/>
              </w:rPr>
              <w:t>4,855</w:t>
            </w:r>
            <w:r>
              <w:rPr>
                <w:b/>
              </w:rPr>
              <w:fldChar w:fldCharType="end"/>
            </w:r>
          </w:p>
        </w:tc>
        <w:tc>
          <w:tcPr>
            <w:tcW w:w="5084" w:type="dxa"/>
          </w:tcPr>
          <w:p w14:paraId="32EB75BF" w14:textId="77777777" w:rsidR="00864BA5" w:rsidRPr="000127EF" w:rsidRDefault="00864BA5" w:rsidP="00864BA5">
            <w:pPr>
              <w:jc w:val="both"/>
              <w:rPr>
                <w:b/>
              </w:rPr>
            </w:pPr>
            <w:r w:rsidRPr="000127EF">
              <w:rPr>
                <w:b/>
              </w:rPr>
              <w:t>Net (increase) or decrease in cash and cash equivalents</w:t>
            </w:r>
          </w:p>
        </w:tc>
        <w:tc>
          <w:tcPr>
            <w:tcW w:w="867" w:type="dxa"/>
          </w:tcPr>
          <w:p w14:paraId="0E10F01D" w14:textId="77777777" w:rsidR="00864BA5" w:rsidRPr="000127EF" w:rsidRDefault="00864BA5" w:rsidP="00864BA5">
            <w:pPr>
              <w:jc w:val="both"/>
              <w:rPr>
                <w:b/>
              </w:rPr>
            </w:pPr>
          </w:p>
        </w:tc>
        <w:tc>
          <w:tcPr>
            <w:tcW w:w="1274" w:type="dxa"/>
            <w:tcBorders>
              <w:top w:val="single" w:sz="8" w:space="0" w:color="auto"/>
            </w:tcBorders>
            <w:shd w:val="clear" w:color="auto" w:fill="C5E0B3" w:themeFill="accent6" w:themeFillTint="66"/>
            <w:vAlign w:val="center"/>
          </w:tcPr>
          <w:p w14:paraId="3AD84634" w14:textId="1F05AB41" w:rsidR="00864BA5" w:rsidRPr="00E302B4" w:rsidRDefault="004F5B6B" w:rsidP="00864BA5">
            <w:pPr>
              <w:jc w:val="right"/>
              <w:rPr>
                <w:b/>
              </w:rPr>
            </w:pPr>
            <w:r>
              <w:rPr>
                <w:b/>
              </w:rPr>
              <w:t>(</w:t>
            </w:r>
            <w:r w:rsidR="003743EF">
              <w:rPr>
                <w:b/>
              </w:rPr>
              <w:t>1,664</w:t>
            </w:r>
            <w:r>
              <w:rPr>
                <w:b/>
              </w:rPr>
              <w:t>)</w:t>
            </w:r>
          </w:p>
        </w:tc>
      </w:tr>
      <w:tr w:rsidR="00864BA5" w:rsidRPr="000127EF" w14:paraId="104869B3" w14:textId="77777777" w:rsidTr="00D25A43">
        <w:trPr>
          <w:jc w:val="center"/>
        </w:trPr>
        <w:tc>
          <w:tcPr>
            <w:tcW w:w="1280" w:type="dxa"/>
            <w:vAlign w:val="center"/>
          </w:tcPr>
          <w:p w14:paraId="188F235D" w14:textId="77777777" w:rsidR="00864BA5" w:rsidRPr="000127EF" w:rsidRDefault="00864BA5" w:rsidP="00864BA5">
            <w:pPr>
              <w:jc w:val="right"/>
              <w:rPr>
                <w:i/>
                <w:sz w:val="12"/>
                <w:szCs w:val="12"/>
              </w:rPr>
            </w:pPr>
          </w:p>
        </w:tc>
        <w:tc>
          <w:tcPr>
            <w:tcW w:w="5084" w:type="dxa"/>
          </w:tcPr>
          <w:p w14:paraId="464C5B3C" w14:textId="77777777" w:rsidR="00864BA5" w:rsidRPr="000127EF" w:rsidRDefault="00864BA5" w:rsidP="00864BA5">
            <w:pPr>
              <w:jc w:val="both"/>
              <w:rPr>
                <w:sz w:val="12"/>
                <w:szCs w:val="12"/>
              </w:rPr>
            </w:pPr>
          </w:p>
        </w:tc>
        <w:tc>
          <w:tcPr>
            <w:tcW w:w="867" w:type="dxa"/>
          </w:tcPr>
          <w:p w14:paraId="7A54EC54" w14:textId="77777777" w:rsidR="00864BA5" w:rsidRPr="000127EF" w:rsidRDefault="00864BA5" w:rsidP="00864BA5">
            <w:pPr>
              <w:jc w:val="both"/>
              <w:rPr>
                <w:sz w:val="12"/>
                <w:szCs w:val="12"/>
              </w:rPr>
            </w:pPr>
          </w:p>
        </w:tc>
        <w:tc>
          <w:tcPr>
            <w:tcW w:w="1274" w:type="dxa"/>
            <w:shd w:val="clear" w:color="auto" w:fill="C5E0B3" w:themeFill="accent6" w:themeFillTint="66"/>
            <w:vAlign w:val="center"/>
          </w:tcPr>
          <w:p w14:paraId="26FB430F" w14:textId="77777777" w:rsidR="00864BA5" w:rsidRPr="00E302B4" w:rsidRDefault="00864BA5" w:rsidP="00864BA5">
            <w:pPr>
              <w:jc w:val="right"/>
              <w:rPr>
                <w:sz w:val="12"/>
                <w:szCs w:val="12"/>
              </w:rPr>
            </w:pPr>
          </w:p>
        </w:tc>
      </w:tr>
      <w:tr w:rsidR="00864BA5" w:rsidRPr="000127EF" w14:paraId="5C0741BF" w14:textId="77777777" w:rsidTr="00D25A43">
        <w:trPr>
          <w:jc w:val="center"/>
        </w:trPr>
        <w:tc>
          <w:tcPr>
            <w:tcW w:w="1280" w:type="dxa"/>
            <w:vAlign w:val="center"/>
          </w:tcPr>
          <w:p w14:paraId="450BA3EF" w14:textId="6F39C78B" w:rsidR="00864BA5" w:rsidRPr="000127EF" w:rsidRDefault="00864BA5" w:rsidP="00864BA5">
            <w:pPr>
              <w:jc w:val="right"/>
              <w:rPr>
                <w:i/>
              </w:rPr>
            </w:pPr>
            <w:r w:rsidRPr="000127EF">
              <w:t>(8,504)</w:t>
            </w:r>
          </w:p>
        </w:tc>
        <w:tc>
          <w:tcPr>
            <w:tcW w:w="5084" w:type="dxa"/>
          </w:tcPr>
          <w:p w14:paraId="6A9CF298" w14:textId="77777777" w:rsidR="00864BA5" w:rsidRPr="000127EF" w:rsidRDefault="00864BA5" w:rsidP="00864BA5">
            <w:pPr>
              <w:jc w:val="both"/>
            </w:pPr>
            <w:r w:rsidRPr="000127EF">
              <w:t>Cash and cash equivalents at the beginning of the reporting period</w:t>
            </w:r>
          </w:p>
        </w:tc>
        <w:tc>
          <w:tcPr>
            <w:tcW w:w="867" w:type="dxa"/>
          </w:tcPr>
          <w:p w14:paraId="2213AB34" w14:textId="7BFED1DB" w:rsidR="00864BA5" w:rsidRPr="000127EF" w:rsidRDefault="00374AE9" w:rsidP="00864BA5">
            <w:pPr>
              <w:jc w:val="right"/>
            </w:pPr>
            <w:r>
              <w:t>29</w:t>
            </w:r>
          </w:p>
        </w:tc>
        <w:tc>
          <w:tcPr>
            <w:tcW w:w="1274" w:type="dxa"/>
            <w:shd w:val="clear" w:color="auto" w:fill="C5E0B3" w:themeFill="accent6" w:themeFillTint="66"/>
            <w:vAlign w:val="center"/>
          </w:tcPr>
          <w:p w14:paraId="679BB8A3" w14:textId="5C043DF0" w:rsidR="00864BA5" w:rsidRPr="00E302B4" w:rsidRDefault="00E53447" w:rsidP="00864BA5">
            <w:pPr>
              <w:jc w:val="right"/>
            </w:pPr>
            <w:r>
              <w:t>(</w:t>
            </w:r>
            <w:r w:rsidR="003743EF">
              <w:t>3,649</w:t>
            </w:r>
            <w:r>
              <w:t>)</w:t>
            </w:r>
          </w:p>
        </w:tc>
      </w:tr>
      <w:tr w:rsidR="00864BA5" w:rsidRPr="000127EF" w14:paraId="6538FEA5" w14:textId="77777777" w:rsidTr="00D25A43">
        <w:trPr>
          <w:jc w:val="center"/>
        </w:trPr>
        <w:tc>
          <w:tcPr>
            <w:tcW w:w="1280" w:type="dxa"/>
            <w:tcBorders>
              <w:top w:val="single" w:sz="4" w:space="0" w:color="auto"/>
            </w:tcBorders>
            <w:vAlign w:val="center"/>
          </w:tcPr>
          <w:p w14:paraId="1D7211E2" w14:textId="71E13FCF" w:rsidR="00864BA5" w:rsidRPr="000127EF" w:rsidRDefault="00864BA5" w:rsidP="00864BA5">
            <w:pPr>
              <w:jc w:val="right"/>
              <w:rPr>
                <w:b/>
                <w:i/>
              </w:rPr>
            </w:pPr>
            <w:r w:rsidRPr="000127EF">
              <w:rPr>
                <w:b/>
              </w:rPr>
              <w:fldChar w:fldCharType="begin"/>
            </w:r>
            <w:r w:rsidRPr="000127EF">
              <w:rPr>
                <w:b/>
              </w:rPr>
              <w:instrText xml:space="preserve"> =SUM(d10:d12) </w:instrText>
            </w:r>
            <w:r w:rsidRPr="000127EF">
              <w:rPr>
                <w:b/>
              </w:rPr>
              <w:fldChar w:fldCharType="separate"/>
            </w:r>
            <w:r w:rsidRPr="000127EF">
              <w:rPr>
                <w:b/>
                <w:noProof/>
              </w:rPr>
              <w:t>(3,649)</w:t>
            </w:r>
            <w:r w:rsidRPr="000127EF">
              <w:rPr>
                <w:b/>
              </w:rPr>
              <w:fldChar w:fldCharType="end"/>
            </w:r>
          </w:p>
        </w:tc>
        <w:tc>
          <w:tcPr>
            <w:tcW w:w="5084" w:type="dxa"/>
          </w:tcPr>
          <w:p w14:paraId="3C24C83E" w14:textId="77777777" w:rsidR="00864BA5" w:rsidRPr="000127EF" w:rsidRDefault="00864BA5" w:rsidP="00864BA5">
            <w:pPr>
              <w:jc w:val="both"/>
              <w:rPr>
                <w:b/>
              </w:rPr>
            </w:pPr>
            <w:r w:rsidRPr="000127EF">
              <w:rPr>
                <w:b/>
              </w:rPr>
              <w:t>Cash and cash equivalents at the end of the reporting period</w:t>
            </w:r>
          </w:p>
        </w:tc>
        <w:tc>
          <w:tcPr>
            <w:tcW w:w="867" w:type="dxa"/>
          </w:tcPr>
          <w:p w14:paraId="6A22D4C1" w14:textId="30906378" w:rsidR="00864BA5" w:rsidRPr="000127EF" w:rsidRDefault="00374AE9" w:rsidP="00864BA5">
            <w:pPr>
              <w:jc w:val="right"/>
            </w:pPr>
            <w:r>
              <w:t>29</w:t>
            </w:r>
          </w:p>
        </w:tc>
        <w:tc>
          <w:tcPr>
            <w:tcW w:w="1274" w:type="dxa"/>
            <w:tcBorders>
              <w:top w:val="single" w:sz="4" w:space="0" w:color="auto"/>
            </w:tcBorders>
            <w:shd w:val="clear" w:color="auto" w:fill="C5E0B3" w:themeFill="accent6" w:themeFillTint="66"/>
            <w:vAlign w:val="center"/>
          </w:tcPr>
          <w:p w14:paraId="5548CEF9" w14:textId="2131ED6E" w:rsidR="00864BA5" w:rsidRPr="00E302B4" w:rsidRDefault="00E53447" w:rsidP="00864BA5">
            <w:pPr>
              <w:jc w:val="right"/>
              <w:rPr>
                <w:b/>
              </w:rPr>
            </w:pPr>
            <w:r>
              <w:rPr>
                <w:b/>
              </w:rPr>
              <w:t>(</w:t>
            </w:r>
            <w:r w:rsidR="003743EF">
              <w:rPr>
                <w:b/>
              </w:rPr>
              <w:t>5,313</w:t>
            </w:r>
            <w:r>
              <w:rPr>
                <w:b/>
              </w:rPr>
              <w:t>)</w:t>
            </w:r>
          </w:p>
        </w:tc>
      </w:tr>
      <w:tr w:rsidR="007E28E3" w:rsidRPr="000127EF" w14:paraId="36374B6C" w14:textId="77777777" w:rsidTr="007563CA">
        <w:trPr>
          <w:jc w:val="center"/>
        </w:trPr>
        <w:tc>
          <w:tcPr>
            <w:tcW w:w="1280" w:type="dxa"/>
            <w:tcBorders>
              <w:top w:val="single" w:sz="4" w:space="0" w:color="auto"/>
            </w:tcBorders>
          </w:tcPr>
          <w:p w14:paraId="568DF820" w14:textId="77777777" w:rsidR="007E28E3" w:rsidRPr="000127EF" w:rsidRDefault="007E28E3" w:rsidP="007E28E3">
            <w:pPr>
              <w:jc w:val="right"/>
              <w:rPr>
                <w:i/>
                <w:sz w:val="12"/>
                <w:szCs w:val="12"/>
              </w:rPr>
            </w:pPr>
          </w:p>
        </w:tc>
        <w:tc>
          <w:tcPr>
            <w:tcW w:w="5084" w:type="dxa"/>
          </w:tcPr>
          <w:p w14:paraId="1F74CAF4" w14:textId="77777777" w:rsidR="007E28E3" w:rsidRPr="000127EF" w:rsidRDefault="007E28E3" w:rsidP="007E28E3">
            <w:pPr>
              <w:jc w:val="both"/>
              <w:rPr>
                <w:sz w:val="12"/>
                <w:szCs w:val="12"/>
              </w:rPr>
            </w:pPr>
          </w:p>
        </w:tc>
        <w:tc>
          <w:tcPr>
            <w:tcW w:w="867" w:type="dxa"/>
          </w:tcPr>
          <w:p w14:paraId="5E9AB89F" w14:textId="77777777" w:rsidR="007E28E3" w:rsidRPr="000127EF" w:rsidRDefault="007E28E3" w:rsidP="007E28E3">
            <w:pPr>
              <w:jc w:val="both"/>
              <w:rPr>
                <w:sz w:val="12"/>
                <w:szCs w:val="12"/>
              </w:rPr>
            </w:pPr>
          </w:p>
        </w:tc>
        <w:tc>
          <w:tcPr>
            <w:tcW w:w="1274" w:type="dxa"/>
            <w:tcBorders>
              <w:top w:val="single" w:sz="4" w:space="0" w:color="auto"/>
            </w:tcBorders>
          </w:tcPr>
          <w:p w14:paraId="70A99EA0" w14:textId="77777777" w:rsidR="007E28E3" w:rsidRPr="000127EF" w:rsidRDefault="007E28E3" w:rsidP="007E28E3">
            <w:pPr>
              <w:jc w:val="right"/>
              <w:rPr>
                <w:sz w:val="12"/>
                <w:szCs w:val="12"/>
              </w:rPr>
            </w:pPr>
          </w:p>
        </w:tc>
      </w:tr>
    </w:tbl>
    <w:p w14:paraId="02554C46" w14:textId="77777777" w:rsidR="00547226" w:rsidRPr="000127EF" w:rsidRDefault="00547226" w:rsidP="00A11A0B">
      <w:pPr>
        <w:jc w:val="both"/>
        <w:sectPr w:rsidR="00547226" w:rsidRPr="000127EF" w:rsidSect="008C78E8">
          <w:pgSz w:w="11907" w:h="16840" w:code="9"/>
          <w:pgMar w:top="1135" w:right="992" w:bottom="1440" w:left="709" w:header="567" w:footer="851" w:gutter="0"/>
          <w:paperSrc w:first="7" w:other="7"/>
          <w:cols w:space="720"/>
          <w:docGrid w:linePitch="299"/>
        </w:sectPr>
      </w:pPr>
    </w:p>
    <w:p w14:paraId="1D5BCB56" w14:textId="77777777" w:rsidR="00547226" w:rsidRPr="000127EF" w:rsidRDefault="00547226" w:rsidP="00547226">
      <w:pPr>
        <w:pStyle w:val="MainSoAHeading"/>
      </w:pPr>
      <w:bookmarkStart w:id="16" w:name="_Toc54886658"/>
      <w:r w:rsidRPr="000127EF">
        <w:lastRenderedPageBreak/>
        <w:t>Notes to the Accounts</w:t>
      </w:r>
      <w:bookmarkEnd w:id="16"/>
    </w:p>
    <w:p w14:paraId="659454AB" w14:textId="77777777" w:rsidR="00547226" w:rsidRPr="000127EF" w:rsidRDefault="00661E70" w:rsidP="00547226">
      <w:pPr>
        <w:jc w:val="both"/>
      </w:pPr>
      <w:r>
        <w:pict w14:anchorId="738763D3">
          <v:rect id="_x0000_i1034" style="width:510.3pt;height:2pt" o:hralign="center" o:hrstd="t" o:hrnoshade="t" o:hr="t" fillcolor="#a8d08d [1945]" stroked="f"/>
        </w:pict>
      </w:r>
    </w:p>
    <w:p w14:paraId="06811E55" w14:textId="77777777" w:rsidR="00A11A0B" w:rsidRPr="000127EF" w:rsidRDefault="00B14BC6" w:rsidP="00504E82">
      <w:pPr>
        <w:pStyle w:val="Heading1"/>
        <w:numPr>
          <w:ilvl w:val="0"/>
          <w:numId w:val="8"/>
        </w:numPr>
        <w:ind w:left="426"/>
        <w:rPr>
          <w:sz w:val="22"/>
          <w:szCs w:val="22"/>
        </w:rPr>
      </w:pPr>
      <w:r w:rsidRPr="000127EF">
        <w:rPr>
          <w:sz w:val="22"/>
          <w:szCs w:val="22"/>
        </w:rPr>
        <w:t>Expenditure and Funding Analysis</w:t>
      </w:r>
    </w:p>
    <w:p w14:paraId="2275602C" w14:textId="77777777" w:rsidR="00547226" w:rsidRPr="000127EF" w:rsidRDefault="00B14BC6" w:rsidP="00EF4F91">
      <w:pPr>
        <w:spacing w:before="120" w:after="120"/>
        <w:ind w:left="142"/>
        <w:jc w:val="both"/>
      </w:pPr>
      <w:r w:rsidRPr="000127EF">
        <w:t xml:space="preserve">The Expenditure and Funding Analysis shows how </w:t>
      </w:r>
      <w:r w:rsidR="001A3CBA" w:rsidRPr="000127EF">
        <w:t>a</w:t>
      </w:r>
      <w:r w:rsidRPr="000127EF">
        <w:t xml:space="preserve">nnual </w:t>
      </w:r>
      <w:r w:rsidR="001A3CBA" w:rsidRPr="000127EF">
        <w:t>e</w:t>
      </w:r>
      <w:r w:rsidRPr="000127EF">
        <w:t>xpenditure is used and funded from resources (government grants, re</w:t>
      </w:r>
      <w:r w:rsidR="001A3CBA" w:rsidRPr="000127EF">
        <w:t>n</w:t>
      </w:r>
      <w:r w:rsidRPr="000127EF">
        <w:t xml:space="preserve">ts, council tax, and business rates) in comparison with those resources consumed or earned in accordance with generally accepted accounting practices. It also shows how this expenditure is allocated for decision making purposes between the councils directorates. Income and </w:t>
      </w:r>
      <w:r w:rsidR="001A3CBA" w:rsidRPr="000127EF">
        <w:t>e</w:t>
      </w:r>
      <w:r w:rsidRPr="000127EF">
        <w:t>xpenditure accounted for under generally accepted accounting practices is presented more fully in the Comprehensive Income and Expenditure Status</w:t>
      </w:r>
    </w:p>
    <w:tbl>
      <w:tblPr>
        <w:tblStyle w:val="TableGrid"/>
        <w:tblpPr w:leftFromText="180" w:rightFromText="180" w:vertAnchor="text" w:horzAnchor="margin" w:tblpX="-494" w:tblpY="117"/>
        <w:tblW w:w="16268"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ayout w:type="fixed"/>
        <w:tblLook w:val="04A0" w:firstRow="1" w:lastRow="0" w:firstColumn="1" w:lastColumn="0" w:noHBand="0" w:noVBand="1"/>
      </w:tblPr>
      <w:tblGrid>
        <w:gridCol w:w="1951"/>
        <w:gridCol w:w="2409"/>
        <w:gridCol w:w="1560"/>
        <w:gridCol w:w="3843"/>
        <w:gridCol w:w="2111"/>
        <w:gridCol w:w="2409"/>
        <w:gridCol w:w="1985"/>
      </w:tblGrid>
      <w:tr w:rsidR="004E20AD" w:rsidRPr="000127EF" w14:paraId="5D0CA154" w14:textId="77777777" w:rsidTr="004E20AD">
        <w:tc>
          <w:tcPr>
            <w:tcW w:w="5920" w:type="dxa"/>
            <w:gridSpan w:val="3"/>
            <w:tcBorders>
              <w:top w:val="single" w:sz="18" w:space="0" w:color="A8D08D" w:themeColor="accent6" w:themeTint="99"/>
            </w:tcBorders>
          </w:tcPr>
          <w:p w14:paraId="0BF741CB" w14:textId="04BE3126" w:rsidR="004E20AD" w:rsidRPr="000127EF" w:rsidRDefault="007E28E3" w:rsidP="004E20AD">
            <w:pPr>
              <w:jc w:val="center"/>
              <w:rPr>
                <w:b/>
                <w:i/>
              </w:rPr>
            </w:pPr>
            <w:r w:rsidRPr="000127EF">
              <w:rPr>
                <w:b/>
                <w:i/>
              </w:rPr>
              <w:t>20</w:t>
            </w:r>
            <w:r w:rsidR="00864BA5">
              <w:rPr>
                <w:b/>
                <w:i/>
              </w:rPr>
              <w:t>18/19</w:t>
            </w:r>
          </w:p>
        </w:tc>
        <w:tc>
          <w:tcPr>
            <w:tcW w:w="3843" w:type="dxa"/>
            <w:tcBorders>
              <w:top w:val="single" w:sz="18" w:space="0" w:color="A8D08D" w:themeColor="accent6" w:themeTint="99"/>
            </w:tcBorders>
          </w:tcPr>
          <w:p w14:paraId="27A3B900" w14:textId="77777777" w:rsidR="004E20AD" w:rsidRPr="000127EF" w:rsidRDefault="004E20AD" w:rsidP="004E20AD"/>
        </w:tc>
        <w:tc>
          <w:tcPr>
            <w:tcW w:w="6505" w:type="dxa"/>
            <w:gridSpan w:val="3"/>
            <w:tcBorders>
              <w:top w:val="single" w:sz="18" w:space="0" w:color="A8D08D" w:themeColor="accent6" w:themeTint="99"/>
            </w:tcBorders>
          </w:tcPr>
          <w:p w14:paraId="4EFD0DF0" w14:textId="60314FB6" w:rsidR="004E20AD" w:rsidRPr="00AA4B8B" w:rsidRDefault="00864BA5" w:rsidP="004E20AD">
            <w:pPr>
              <w:jc w:val="center"/>
              <w:rPr>
                <w:b/>
              </w:rPr>
            </w:pPr>
            <w:r w:rsidRPr="00AA4B8B">
              <w:rPr>
                <w:b/>
              </w:rPr>
              <w:t>2019/20</w:t>
            </w:r>
          </w:p>
        </w:tc>
      </w:tr>
      <w:tr w:rsidR="004E20AD" w:rsidRPr="000127EF" w14:paraId="0255ADB2" w14:textId="77777777" w:rsidTr="004E20AD">
        <w:tc>
          <w:tcPr>
            <w:tcW w:w="1951" w:type="dxa"/>
          </w:tcPr>
          <w:p w14:paraId="4895F7FF" w14:textId="77777777" w:rsidR="004E20AD" w:rsidRPr="000127EF" w:rsidRDefault="004E20AD" w:rsidP="004E20AD">
            <w:pPr>
              <w:jc w:val="center"/>
              <w:rPr>
                <w:b/>
                <w:i/>
              </w:rPr>
            </w:pPr>
            <w:r w:rsidRPr="000127EF">
              <w:rPr>
                <w:b/>
                <w:i/>
              </w:rPr>
              <w:t xml:space="preserve">Net Expenditure Chargeable to the General Fund </w:t>
            </w:r>
          </w:p>
        </w:tc>
        <w:tc>
          <w:tcPr>
            <w:tcW w:w="2409" w:type="dxa"/>
          </w:tcPr>
          <w:p w14:paraId="3C57BB5E" w14:textId="77777777" w:rsidR="004E20AD" w:rsidRPr="000127EF" w:rsidRDefault="004E20AD" w:rsidP="004E20AD">
            <w:pPr>
              <w:jc w:val="center"/>
              <w:rPr>
                <w:b/>
                <w:i/>
              </w:rPr>
            </w:pPr>
            <w:r w:rsidRPr="000127EF">
              <w:rPr>
                <w:b/>
                <w:i/>
              </w:rPr>
              <w:t xml:space="preserve">Adjustments between Funding Basis and </w:t>
            </w:r>
          </w:p>
          <w:p w14:paraId="0CBBD4CD" w14:textId="77777777" w:rsidR="004E20AD" w:rsidRPr="000127EF" w:rsidRDefault="004E20AD" w:rsidP="004E20AD">
            <w:pPr>
              <w:jc w:val="center"/>
              <w:rPr>
                <w:b/>
                <w:i/>
              </w:rPr>
            </w:pPr>
            <w:r w:rsidRPr="000127EF">
              <w:rPr>
                <w:b/>
                <w:i/>
              </w:rPr>
              <w:t xml:space="preserve">Accounting Basis  </w:t>
            </w:r>
          </w:p>
        </w:tc>
        <w:tc>
          <w:tcPr>
            <w:tcW w:w="1560" w:type="dxa"/>
          </w:tcPr>
          <w:p w14:paraId="1CDF732C" w14:textId="77777777" w:rsidR="004E20AD" w:rsidRPr="000127EF" w:rsidRDefault="004E20AD" w:rsidP="004E20AD">
            <w:pPr>
              <w:jc w:val="center"/>
              <w:rPr>
                <w:b/>
                <w:i/>
              </w:rPr>
            </w:pPr>
            <w:r w:rsidRPr="000127EF">
              <w:rPr>
                <w:b/>
                <w:i/>
              </w:rPr>
              <w:t>Net Expenditure in the CIES</w:t>
            </w:r>
          </w:p>
        </w:tc>
        <w:tc>
          <w:tcPr>
            <w:tcW w:w="3843" w:type="dxa"/>
            <w:vAlign w:val="center"/>
          </w:tcPr>
          <w:p w14:paraId="43522963" w14:textId="77777777" w:rsidR="004E20AD" w:rsidRPr="000127EF" w:rsidRDefault="004E20AD" w:rsidP="004E20AD">
            <w:pPr>
              <w:jc w:val="center"/>
              <w:rPr>
                <w:b/>
              </w:rPr>
            </w:pPr>
            <w:r w:rsidRPr="000127EF">
              <w:rPr>
                <w:b/>
              </w:rPr>
              <w:t>Expenditure and Funding Analysis</w:t>
            </w:r>
          </w:p>
        </w:tc>
        <w:tc>
          <w:tcPr>
            <w:tcW w:w="2111" w:type="dxa"/>
          </w:tcPr>
          <w:p w14:paraId="420AA2F7" w14:textId="77777777" w:rsidR="004E20AD" w:rsidRPr="00AA4B8B" w:rsidRDefault="004E20AD" w:rsidP="004E20AD">
            <w:pPr>
              <w:jc w:val="center"/>
              <w:rPr>
                <w:b/>
              </w:rPr>
            </w:pPr>
            <w:r w:rsidRPr="00AA4B8B">
              <w:rPr>
                <w:b/>
              </w:rPr>
              <w:t xml:space="preserve">Net Expenditure Chargeable to the General Fund </w:t>
            </w:r>
          </w:p>
        </w:tc>
        <w:tc>
          <w:tcPr>
            <w:tcW w:w="2409" w:type="dxa"/>
          </w:tcPr>
          <w:p w14:paraId="2D1ABC11" w14:textId="77777777" w:rsidR="004E20AD" w:rsidRPr="00AA4B8B" w:rsidRDefault="004E20AD" w:rsidP="004E20AD">
            <w:pPr>
              <w:jc w:val="center"/>
              <w:rPr>
                <w:b/>
              </w:rPr>
            </w:pPr>
            <w:r w:rsidRPr="00AA4B8B">
              <w:rPr>
                <w:b/>
              </w:rPr>
              <w:t xml:space="preserve">Adjustments between Funding basis and Accounting Basis </w:t>
            </w:r>
          </w:p>
        </w:tc>
        <w:tc>
          <w:tcPr>
            <w:tcW w:w="1985" w:type="dxa"/>
          </w:tcPr>
          <w:p w14:paraId="75ADA5F3" w14:textId="77777777" w:rsidR="004E20AD" w:rsidRPr="00AA4B8B" w:rsidRDefault="004E20AD" w:rsidP="004E20AD">
            <w:pPr>
              <w:jc w:val="center"/>
              <w:rPr>
                <w:b/>
              </w:rPr>
            </w:pPr>
            <w:r w:rsidRPr="00AA4B8B">
              <w:rPr>
                <w:b/>
              </w:rPr>
              <w:t>Net Expenditure</w:t>
            </w:r>
          </w:p>
          <w:p w14:paraId="21C449F3" w14:textId="77777777" w:rsidR="004E20AD" w:rsidRPr="00AA4B8B" w:rsidRDefault="004E20AD" w:rsidP="004E20AD">
            <w:pPr>
              <w:jc w:val="center"/>
              <w:rPr>
                <w:b/>
              </w:rPr>
            </w:pPr>
            <w:r w:rsidRPr="00AA4B8B">
              <w:rPr>
                <w:b/>
              </w:rPr>
              <w:t xml:space="preserve">in the CIES </w:t>
            </w:r>
          </w:p>
        </w:tc>
      </w:tr>
      <w:tr w:rsidR="008D5C33" w:rsidRPr="000127EF" w14:paraId="599019EE" w14:textId="77777777" w:rsidTr="00403EEE">
        <w:tc>
          <w:tcPr>
            <w:tcW w:w="1951" w:type="dxa"/>
          </w:tcPr>
          <w:p w14:paraId="2BF544E8" w14:textId="77777777" w:rsidR="008D5C33" w:rsidRPr="000127EF" w:rsidRDefault="008D5C33" w:rsidP="008D5C33">
            <w:pPr>
              <w:jc w:val="center"/>
              <w:rPr>
                <w:b/>
                <w:i/>
              </w:rPr>
            </w:pPr>
            <w:r w:rsidRPr="000127EF">
              <w:rPr>
                <w:b/>
                <w:i/>
              </w:rPr>
              <w:t>£000</w:t>
            </w:r>
          </w:p>
        </w:tc>
        <w:tc>
          <w:tcPr>
            <w:tcW w:w="2409" w:type="dxa"/>
          </w:tcPr>
          <w:p w14:paraId="7B613772" w14:textId="77777777" w:rsidR="008D5C33" w:rsidRPr="000127EF" w:rsidRDefault="008D5C33" w:rsidP="008D5C33">
            <w:pPr>
              <w:jc w:val="center"/>
              <w:rPr>
                <w:b/>
                <w:i/>
              </w:rPr>
            </w:pPr>
            <w:r w:rsidRPr="000127EF">
              <w:rPr>
                <w:b/>
                <w:i/>
              </w:rPr>
              <w:t>£000</w:t>
            </w:r>
          </w:p>
        </w:tc>
        <w:tc>
          <w:tcPr>
            <w:tcW w:w="1560" w:type="dxa"/>
            <w:shd w:val="clear" w:color="auto" w:fill="auto"/>
          </w:tcPr>
          <w:p w14:paraId="5B9905FA" w14:textId="77777777" w:rsidR="008D5C33" w:rsidRPr="000127EF" w:rsidRDefault="008D5C33" w:rsidP="008D5C33">
            <w:pPr>
              <w:jc w:val="center"/>
              <w:rPr>
                <w:b/>
                <w:i/>
              </w:rPr>
            </w:pPr>
            <w:r w:rsidRPr="000127EF">
              <w:rPr>
                <w:b/>
                <w:i/>
              </w:rPr>
              <w:t>£000</w:t>
            </w:r>
          </w:p>
        </w:tc>
        <w:tc>
          <w:tcPr>
            <w:tcW w:w="3843" w:type="dxa"/>
          </w:tcPr>
          <w:p w14:paraId="18872183" w14:textId="77777777" w:rsidR="008D5C33" w:rsidRPr="000127EF" w:rsidRDefault="008D5C33" w:rsidP="008D5C33"/>
        </w:tc>
        <w:tc>
          <w:tcPr>
            <w:tcW w:w="2111" w:type="dxa"/>
            <w:shd w:val="clear" w:color="auto" w:fill="C5E0B3" w:themeFill="accent6" w:themeFillTint="66"/>
          </w:tcPr>
          <w:p w14:paraId="131D6254" w14:textId="77777777" w:rsidR="008D5C33" w:rsidRPr="00AA4B8B" w:rsidRDefault="008D5C33" w:rsidP="008D5C33">
            <w:pPr>
              <w:jc w:val="center"/>
              <w:rPr>
                <w:b/>
              </w:rPr>
            </w:pPr>
            <w:r w:rsidRPr="00AA4B8B">
              <w:rPr>
                <w:b/>
              </w:rPr>
              <w:t>£000</w:t>
            </w:r>
          </w:p>
        </w:tc>
        <w:tc>
          <w:tcPr>
            <w:tcW w:w="2409" w:type="dxa"/>
            <w:shd w:val="clear" w:color="auto" w:fill="C5E0B3" w:themeFill="accent6" w:themeFillTint="66"/>
          </w:tcPr>
          <w:p w14:paraId="6951EBC8" w14:textId="77777777" w:rsidR="008D5C33" w:rsidRPr="00AA4B8B" w:rsidRDefault="008D5C33" w:rsidP="008D5C33">
            <w:pPr>
              <w:jc w:val="center"/>
              <w:rPr>
                <w:b/>
              </w:rPr>
            </w:pPr>
            <w:r w:rsidRPr="00AA4B8B">
              <w:rPr>
                <w:b/>
              </w:rPr>
              <w:t>£000</w:t>
            </w:r>
          </w:p>
        </w:tc>
        <w:tc>
          <w:tcPr>
            <w:tcW w:w="1985" w:type="dxa"/>
            <w:shd w:val="clear" w:color="auto" w:fill="C5E0B3" w:themeFill="accent6" w:themeFillTint="66"/>
          </w:tcPr>
          <w:p w14:paraId="06CF4B80" w14:textId="77777777" w:rsidR="008D5C33" w:rsidRPr="00AA4B8B" w:rsidRDefault="008D5C33" w:rsidP="008D5C33">
            <w:pPr>
              <w:jc w:val="center"/>
              <w:rPr>
                <w:b/>
              </w:rPr>
            </w:pPr>
            <w:r w:rsidRPr="00AA4B8B">
              <w:rPr>
                <w:b/>
              </w:rPr>
              <w:t>£000</w:t>
            </w:r>
          </w:p>
        </w:tc>
      </w:tr>
      <w:tr w:rsidR="00864BA5" w:rsidRPr="000127EF" w14:paraId="2852F087" w14:textId="77777777" w:rsidTr="00403EEE">
        <w:trPr>
          <w:trHeight w:val="238"/>
        </w:trPr>
        <w:tc>
          <w:tcPr>
            <w:tcW w:w="1951" w:type="dxa"/>
            <w:vAlign w:val="bottom"/>
          </w:tcPr>
          <w:p w14:paraId="083FB4A7" w14:textId="51D9F07E" w:rsidR="00864BA5" w:rsidRPr="000127EF" w:rsidRDefault="00864BA5" w:rsidP="00864BA5">
            <w:pPr>
              <w:tabs>
                <w:tab w:val="left" w:pos="1452"/>
              </w:tabs>
              <w:ind w:right="92"/>
              <w:jc w:val="right"/>
              <w:rPr>
                <w:i/>
              </w:rPr>
            </w:pPr>
            <w:r w:rsidRPr="000127EF">
              <w:t>17,667</w:t>
            </w:r>
          </w:p>
        </w:tc>
        <w:tc>
          <w:tcPr>
            <w:tcW w:w="2409" w:type="dxa"/>
            <w:vAlign w:val="bottom"/>
          </w:tcPr>
          <w:p w14:paraId="0F022172" w14:textId="67C3004C" w:rsidR="00864BA5" w:rsidRPr="000127EF" w:rsidRDefault="00864BA5" w:rsidP="00864BA5">
            <w:pPr>
              <w:jc w:val="right"/>
              <w:rPr>
                <w:i/>
              </w:rPr>
            </w:pPr>
            <w:r w:rsidRPr="000127EF">
              <w:t>1,043</w:t>
            </w:r>
          </w:p>
        </w:tc>
        <w:tc>
          <w:tcPr>
            <w:tcW w:w="1560" w:type="dxa"/>
            <w:shd w:val="clear" w:color="auto" w:fill="auto"/>
            <w:vAlign w:val="bottom"/>
          </w:tcPr>
          <w:p w14:paraId="5FC9BD6C" w14:textId="7E37325D" w:rsidR="00864BA5" w:rsidRPr="000127EF" w:rsidRDefault="00864BA5" w:rsidP="00864BA5">
            <w:pPr>
              <w:ind w:right="92"/>
              <w:jc w:val="right"/>
              <w:rPr>
                <w:i/>
              </w:rPr>
            </w:pPr>
            <w:r w:rsidRPr="000127EF">
              <w:fldChar w:fldCharType="begin"/>
            </w:r>
            <w:r w:rsidRPr="000127EF">
              <w:instrText xml:space="preserve"> =SUM(left) </w:instrText>
            </w:r>
            <w:r w:rsidRPr="000127EF">
              <w:fldChar w:fldCharType="separate"/>
            </w:r>
            <w:r w:rsidRPr="000127EF">
              <w:rPr>
                <w:noProof/>
              </w:rPr>
              <w:t>18,710</w:t>
            </w:r>
            <w:r w:rsidRPr="000127EF">
              <w:fldChar w:fldCharType="end"/>
            </w:r>
          </w:p>
        </w:tc>
        <w:tc>
          <w:tcPr>
            <w:tcW w:w="3843" w:type="dxa"/>
          </w:tcPr>
          <w:p w14:paraId="5974BC1D" w14:textId="77777777" w:rsidR="00864BA5" w:rsidRPr="000127EF" w:rsidRDefault="00864BA5" w:rsidP="00864BA5">
            <w:r w:rsidRPr="000127EF">
              <w:t>People</w:t>
            </w:r>
          </w:p>
        </w:tc>
        <w:tc>
          <w:tcPr>
            <w:tcW w:w="2111" w:type="dxa"/>
            <w:shd w:val="clear" w:color="auto" w:fill="C5E0B3" w:themeFill="accent6" w:themeFillTint="66"/>
            <w:vAlign w:val="bottom"/>
          </w:tcPr>
          <w:p w14:paraId="6E61833E" w14:textId="355BF365" w:rsidR="00864BA5" w:rsidRPr="00AA4B8B" w:rsidRDefault="00AA4B8B" w:rsidP="00864BA5">
            <w:pPr>
              <w:tabs>
                <w:tab w:val="left" w:pos="1452"/>
              </w:tabs>
              <w:ind w:right="92"/>
              <w:jc w:val="right"/>
            </w:pPr>
            <w:r w:rsidRPr="00AA4B8B">
              <w:t>18,259</w:t>
            </w:r>
          </w:p>
        </w:tc>
        <w:tc>
          <w:tcPr>
            <w:tcW w:w="2409" w:type="dxa"/>
            <w:shd w:val="clear" w:color="auto" w:fill="C5E0B3" w:themeFill="accent6" w:themeFillTint="66"/>
            <w:vAlign w:val="bottom"/>
          </w:tcPr>
          <w:p w14:paraId="2DF4D224" w14:textId="3157DE0D" w:rsidR="00864BA5" w:rsidRPr="00AA4B8B" w:rsidRDefault="00AA4B8B" w:rsidP="00864BA5">
            <w:pPr>
              <w:jc w:val="right"/>
            </w:pPr>
            <w:r w:rsidRPr="00AA4B8B">
              <w:t>1,160</w:t>
            </w:r>
          </w:p>
        </w:tc>
        <w:tc>
          <w:tcPr>
            <w:tcW w:w="1985" w:type="dxa"/>
            <w:shd w:val="clear" w:color="auto" w:fill="C5E0B3" w:themeFill="accent6" w:themeFillTint="66"/>
            <w:vAlign w:val="bottom"/>
          </w:tcPr>
          <w:p w14:paraId="242E8938" w14:textId="12EE727D" w:rsidR="00864BA5" w:rsidRPr="00AA4B8B" w:rsidRDefault="00AA4B8B" w:rsidP="00864BA5">
            <w:pPr>
              <w:ind w:right="92"/>
              <w:jc w:val="right"/>
            </w:pPr>
            <w:r w:rsidRPr="00AA4B8B">
              <w:t>19,419</w:t>
            </w:r>
          </w:p>
        </w:tc>
      </w:tr>
      <w:tr w:rsidR="00864BA5" w:rsidRPr="000127EF" w14:paraId="6EEAE965" w14:textId="77777777" w:rsidTr="00403EEE">
        <w:trPr>
          <w:trHeight w:val="238"/>
        </w:trPr>
        <w:tc>
          <w:tcPr>
            <w:tcW w:w="1951" w:type="dxa"/>
            <w:vAlign w:val="bottom"/>
          </w:tcPr>
          <w:p w14:paraId="10E233F4" w14:textId="1ACFAF6C" w:rsidR="00864BA5" w:rsidRPr="000127EF" w:rsidRDefault="00864BA5" w:rsidP="00864BA5">
            <w:pPr>
              <w:tabs>
                <w:tab w:val="left" w:pos="1452"/>
              </w:tabs>
              <w:ind w:right="92"/>
              <w:jc w:val="right"/>
              <w:rPr>
                <w:i/>
              </w:rPr>
            </w:pPr>
            <w:r w:rsidRPr="000127EF">
              <w:t>12,166</w:t>
            </w:r>
          </w:p>
        </w:tc>
        <w:tc>
          <w:tcPr>
            <w:tcW w:w="2409" w:type="dxa"/>
            <w:vAlign w:val="bottom"/>
          </w:tcPr>
          <w:p w14:paraId="50EFC100" w14:textId="3095375E" w:rsidR="00864BA5" w:rsidRPr="000127EF" w:rsidRDefault="00864BA5" w:rsidP="00864BA5">
            <w:pPr>
              <w:jc w:val="right"/>
              <w:rPr>
                <w:i/>
              </w:rPr>
            </w:pPr>
            <w:r w:rsidRPr="000127EF">
              <w:t>(100)</w:t>
            </w:r>
          </w:p>
        </w:tc>
        <w:tc>
          <w:tcPr>
            <w:tcW w:w="1560" w:type="dxa"/>
            <w:shd w:val="clear" w:color="auto" w:fill="auto"/>
            <w:vAlign w:val="bottom"/>
          </w:tcPr>
          <w:p w14:paraId="18CC0108" w14:textId="4A1C2A63" w:rsidR="00864BA5" w:rsidRPr="000127EF" w:rsidRDefault="00864BA5" w:rsidP="00864BA5">
            <w:pPr>
              <w:ind w:right="92"/>
              <w:jc w:val="right"/>
              <w:rPr>
                <w:i/>
              </w:rPr>
            </w:pPr>
            <w:r w:rsidRPr="000127EF">
              <w:fldChar w:fldCharType="begin"/>
            </w:r>
            <w:r w:rsidRPr="000127EF">
              <w:instrText xml:space="preserve"> =SUM(left) </w:instrText>
            </w:r>
            <w:r w:rsidRPr="000127EF">
              <w:fldChar w:fldCharType="separate"/>
            </w:r>
            <w:r w:rsidRPr="000127EF">
              <w:rPr>
                <w:noProof/>
              </w:rPr>
              <w:t>12,066</w:t>
            </w:r>
            <w:r w:rsidRPr="000127EF">
              <w:fldChar w:fldCharType="end"/>
            </w:r>
          </w:p>
        </w:tc>
        <w:tc>
          <w:tcPr>
            <w:tcW w:w="3843" w:type="dxa"/>
          </w:tcPr>
          <w:p w14:paraId="65505630" w14:textId="77777777" w:rsidR="00864BA5" w:rsidRPr="000127EF" w:rsidRDefault="00864BA5" w:rsidP="00864BA5">
            <w:r w:rsidRPr="000127EF">
              <w:t>Places</w:t>
            </w:r>
          </w:p>
        </w:tc>
        <w:tc>
          <w:tcPr>
            <w:tcW w:w="2111" w:type="dxa"/>
            <w:shd w:val="clear" w:color="auto" w:fill="C5E0B3" w:themeFill="accent6" w:themeFillTint="66"/>
            <w:vAlign w:val="bottom"/>
          </w:tcPr>
          <w:p w14:paraId="560757D0" w14:textId="60AAF01D" w:rsidR="00864BA5" w:rsidRPr="00AA4B8B" w:rsidRDefault="00AA4B8B" w:rsidP="00864BA5">
            <w:pPr>
              <w:tabs>
                <w:tab w:val="left" w:pos="1452"/>
              </w:tabs>
              <w:ind w:right="92"/>
              <w:jc w:val="right"/>
            </w:pPr>
            <w:r w:rsidRPr="00AA4B8B">
              <w:t>12,660</w:t>
            </w:r>
          </w:p>
        </w:tc>
        <w:tc>
          <w:tcPr>
            <w:tcW w:w="2409" w:type="dxa"/>
            <w:shd w:val="clear" w:color="auto" w:fill="C5E0B3" w:themeFill="accent6" w:themeFillTint="66"/>
            <w:vAlign w:val="bottom"/>
          </w:tcPr>
          <w:p w14:paraId="72C0A15F" w14:textId="18CA660C" w:rsidR="00864BA5" w:rsidRPr="00AA4B8B" w:rsidRDefault="00AA4B8B" w:rsidP="00864BA5">
            <w:pPr>
              <w:jc w:val="right"/>
            </w:pPr>
            <w:r w:rsidRPr="00AA4B8B">
              <w:t>720</w:t>
            </w:r>
          </w:p>
        </w:tc>
        <w:tc>
          <w:tcPr>
            <w:tcW w:w="1985" w:type="dxa"/>
            <w:shd w:val="clear" w:color="auto" w:fill="C5E0B3" w:themeFill="accent6" w:themeFillTint="66"/>
            <w:vAlign w:val="bottom"/>
          </w:tcPr>
          <w:p w14:paraId="62FBBF68" w14:textId="27B9A836" w:rsidR="00864BA5" w:rsidRPr="00AA4B8B" w:rsidRDefault="00AA4B8B" w:rsidP="00864BA5">
            <w:pPr>
              <w:ind w:right="92"/>
              <w:jc w:val="right"/>
            </w:pPr>
            <w:r w:rsidRPr="00AA4B8B">
              <w:t>13,380</w:t>
            </w:r>
          </w:p>
        </w:tc>
      </w:tr>
      <w:tr w:rsidR="00864BA5" w:rsidRPr="000127EF" w14:paraId="2F052E40" w14:textId="77777777" w:rsidTr="00403EEE">
        <w:trPr>
          <w:trHeight w:val="240"/>
        </w:trPr>
        <w:tc>
          <w:tcPr>
            <w:tcW w:w="1951" w:type="dxa"/>
            <w:vAlign w:val="bottom"/>
          </w:tcPr>
          <w:p w14:paraId="4508C81E" w14:textId="5F287677" w:rsidR="00864BA5" w:rsidRPr="000127EF" w:rsidRDefault="00864BA5" w:rsidP="00864BA5">
            <w:pPr>
              <w:tabs>
                <w:tab w:val="left" w:pos="1452"/>
              </w:tabs>
              <w:ind w:right="92"/>
              <w:jc w:val="right"/>
              <w:rPr>
                <w:i/>
              </w:rPr>
            </w:pPr>
            <w:r w:rsidRPr="000127EF">
              <w:t>6,011</w:t>
            </w:r>
          </w:p>
        </w:tc>
        <w:tc>
          <w:tcPr>
            <w:tcW w:w="2409" w:type="dxa"/>
            <w:vAlign w:val="bottom"/>
          </w:tcPr>
          <w:p w14:paraId="7CF20D9F" w14:textId="27366D7E" w:rsidR="00864BA5" w:rsidRPr="000127EF" w:rsidRDefault="00864BA5" w:rsidP="00864BA5">
            <w:pPr>
              <w:jc w:val="right"/>
              <w:rPr>
                <w:i/>
              </w:rPr>
            </w:pPr>
            <w:r w:rsidRPr="000127EF">
              <w:t>229</w:t>
            </w:r>
          </w:p>
        </w:tc>
        <w:tc>
          <w:tcPr>
            <w:tcW w:w="1560" w:type="dxa"/>
            <w:shd w:val="clear" w:color="auto" w:fill="auto"/>
            <w:vAlign w:val="bottom"/>
          </w:tcPr>
          <w:p w14:paraId="6D018E16" w14:textId="72E4A7C5" w:rsidR="00864BA5" w:rsidRPr="000127EF" w:rsidRDefault="00864BA5" w:rsidP="00864BA5">
            <w:pPr>
              <w:ind w:right="92"/>
              <w:jc w:val="right"/>
              <w:rPr>
                <w:i/>
              </w:rPr>
            </w:pPr>
            <w:r w:rsidRPr="000127EF">
              <w:fldChar w:fldCharType="begin"/>
            </w:r>
            <w:r w:rsidRPr="000127EF">
              <w:instrText xml:space="preserve"> =SUM(left) </w:instrText>
            </w:r>
            <w:r w:rsidRPr="000127EF">
              <w:fldChar w:fldCharType="separate"/>
            </w:r>
            <w:r w:rsidRPr="000127EF">
              <w:rPr>
                <w:noProof/>
              </w:rPr>
              <w:t>6,240</w:t>
            </w:r>
            <w:r w:rsidRPr="000127EF">
              <w:fldChar w:fldCharType="end"/>
            </w:r>
          </w:p>
        </w:tc>
        <w:tc>
          <w:tcPr>
            <w:tcW w:w="3843" w:type="dxa"/>
          </w:tcPr>
          <w:p w14:paraId="6FB4CF9C" w14:textId="77777777" w:rsidR="00864BA5" w:rsidRPr="000127EF" w:rsidRDefault="00864BA5" w:rsidP="00864BA5">
            <w:r w:rsidRPr="000127EF">
              <w:t>Resources</w:t>
            </w:r>
          </w:p>
        </w:tc>
        <w:tc>
          <w:tcPr>
            <w:tcW w:w="2111" w:type="dxa"/>
            <w:shd w:val="clear" w:color="auto" w:fill="C5E0B3" w:themeFill="accent6" w:themeFillTint="66"/>
            <w:vAlign w:val="bottom"/>
          </w:tcPr>
          <w:p w14:paraId="068D89FD" w14:textId="1876EEE5" w:rsidR="00864BA5" w:rsidRPr="00AA4B8B" w:rsidRDefault="00AA4B8B" w:rsidP="00864BA5">
            <w:pPr>
              <w:tabs>
                <w:tab w:val="left" w:pos="1452"/>
              </w:tabs>
              <w:ind w:right="92"/>
              <w:jc w:val="right"/>
            </w:pPr>
            <w:r w:rsidRPr="00AA4B8B">
              <w:t>6,430</w:t>
            </w:r>
          </w:p>
        </w:tc>
        <w:tc>
          <w:tcPr>
            <w:tcW w:w="2409" w:type="dxa"/>
            <w:shd w:val="clear" w:color="auto" w:fill="C5E0B3" w:themeFill="accent6" w:themeFillTint="66"/>
            <w:vAlign w:val="bottom"/>
          </w:tcPr>
          <w:p w14:paraId="7EF35B30" w14:textId="25B7816A" w:rsidR="00864BA5" w:rsidRPr="00AA4B8B" w:rsidRDefault="00AA4B8B" w:rsidP="00864BA5">
            <w:pPr>
              <w:jc w:val="right"/>
            </w:pPr>
            <w:r w:rsidRPr="00AA4B8B">
              <w:t>365</w:t>
            </w:r>
          </w:p>
        </w:tc>
        <w:tc>
          <w:tcPr>
            <w:tcW w:w="1985" w:type="dxa"/>
            <w:shd w:val="clear" w:color="auto" w:fill="C5E0B3" w:themeFill="accent6" w:themeFillTint="66"/>
            <w:vAlign w:val="bottom"/>
          </w:tcPr>
          <w:p w14:paraId="58FE4E0D" w14:textId="0BEC7828" w:rsidR="00864BA5" w:rsidRPr="00AA4B8B" w:rsidRDefault="00AA4B8B" w:rsidP="00864BA5">
            <w:pPr>
              <w:ind w:right="92"/>
              <w:jc w:val="right"/>
            </w:pPr>
            <w:r w:rsidRPr="00AA4B8B">
              <w:t>6,795</w:t>
            </w:r>
          </w:p>
        </w:tc>
      </w:tr>
      <w:tr w:rsidR="00864BA5" w:rsidRPr="000127EF" w14:paraId="7D5B0F4E" w14:textId="77777777" w:rsidTr="00403EEE">
        <w:trPr>
          <w:trHeight w:val="238"/>
        </w:trPr>
        <w:tc>
          <w:tcPr>
            <w:tcW w:w="1951" w:type="dxa"/>
            <w:tcBorders>
              <w:bottom w:val="single" w:sz="8" w:space="0" w:color="auto"/>
            </w:tcBorders>
            <w:vAlign w:val="bottom"/>
          </w:tcPr>
          <w:p w14:paraId="74CC2BCE" w14:textId="77777777" w:rsidR="00864BA5" w:rsidRPr="000127EF" w:rsidRDefault="00864BA5" w:rsidP="00864BA5">
            <w:pPr>
              <w:tabs>
                <w:tab w:val="left" w:pos="1452"/>
              </w:tabs>
              <w:ind w:right="92"/>
              <w:jc w:val="right"/>
              <w:rPr>
                <w:i/>
              </w:rPr>
            </w:pPr>
          </w:p>
        </w:tc>
        <w:tc>
          <w:tcPr>
            <w:tcW w:w="2409" w:type="dxa"/>
            <w:tcBorders>
              <w:bottom w:val="single" w:sz="8" w:space="0" w:color="auto"/>
            </w:tcBorders>
            <w:vAlign w:val="bottom"/>
          </w:tcPr>
          <w:p w14:paraId="57B986E1" w14:textId="77777777" w:rsidR="00864BA5" w:rsidRPr="000127EF" w:rsidRDefault="00864BA5" w:rsidP="00864BA5">
            <w:pPr>
              <w:jc w:val="right"/>
              <w:rPr>
                <w:i/>
              </w:rPr>
            </w:pPr>
          </w:p>
        </w:tc>
        <w:tc>
          <w:tcPr>
            <w:tcW w:w="1560" w:type="dxa"/>
            <w:tcBorders>
              <w:bottom w:val="single" w:sz="8" w:space="0" w:color="auto"/>
            </w:tcBorders>
            <w:shd w:val="clear" w:color="auto" w:fill="auto"/>
            <w:vAlign w:val="bottom"/>
          </w:tcPr>
          <w:p w14:paraId="03784820" w14:textId="77777777" w:rsidR="00864BA5" w:rsidRPr="000127EF" w:rsidRDefault="00864BA5" w:rsidP="00864BA5">
            <w:pPr>
              <w:ind w:right="92"/>
              <w:jc w:val="right"/>
              <w:rPr>
                <w:i/>
              </w:rPr>
            </w:pPr>
          </w:p>
        </w:tc>
        <w:tc>
          <w:tcPr>
            <w:tcW w:w="3843" w:type="dxa"/>
            <w:vMerge w:val="restart"/>
          </w:tcPr>
          <w:p w14:paraId="387393B2" w14:textId="77777777" w:rsidR="00864BA5" w:rsidRPr="000127EF" w:rsidRDefault="00864BA5" w:rsidP="00864BA5"/>
          <w:p w14:paraId="44F5E39D" w14:textId="77777777" w:rsidR="00864BA5" w:rsidRPr="000127EF" w:rsidRDefault="00864BA5" w:rsidP="00864BA5">
            <w:r w:rsidRPr="000127EF">
              <w:rPr>
                <w:b/>
              </w:rPr>
              <w:t>Cost of Services</w:t>
            </w:r>
          </w:p>
        </w:tc>
        <w:tc>
          <w:tcPr>
            <w:tcW w:w="2111" w:type="dxa"/>
            <w:tcBorders>
              <w:bottom w:val="single" w:sz="8" w:space="0" w:color="auto"/>
            </w:tcBorders>
            <w:shd w:val="clear" w:color="auto" w:fill="C5E0B3" w:themeFill="accent6" w:themeFillTint="66"/>
            <w:vAlign w:val="bottom"/>
          </w:tcPr>
          <w:p w14:paraId="2829D09C" w14:textId="77777777" w:rsidR="00864BA5" w:rsidRPr="00AA4B8B" w:rsidRDefault="00864BA5" w:rsidP="00864BA5">
            <w:pPr>
              <w:tabs>
                <w:tab w:val="left" w:pos="1452"/>
              </w:tabs>
              <w:ind w:right="92"/>
              <w:jc w:val="right"/>
            </w:pPr>
          </w:p>
        </w:tc>
        <w:tc>
          <w:tcPr>
            <w:tcW w:w="2409" w:type="dxa"/>
            <w:tcBorders>
              <w:bottom w:val="single" w:sz="8" w:space="0" w:color="auto"/>
            </w:tcBorders>
            <w:shd w:val="clear" w:color="auto" w:fill="C5E0B3" w:themeFill="accent6" w:themeFillTint="66"/>
            <w:vAlign w:val="bottom"/>
          </w:tcPr>
          <w:p w14:paraId="6734AA97" w14:textId="77777777" w:rsidR="00864BA5" w:rsidRPr="00AA4B8B" w:rsidRDefault="00864BA5" w:rsidP="00864BA5">
            <w:pPr>
              <w:jc w:val="right"/>
            </w:pPr>
          </w:p>
        </w:tc>
        <w:tc>
          <w:tcPr>
            <w:tcW w:w="1985" w:type="dxa"/>
            <w:tcBorders>
              <w:bottom w:val="single" w:sz="8" w:space="0" w:color="auto"/>
            </w:tcBorders>
            <w:shd w:val="clear" w:color="auto" w:fill="C5E0B3" w:themeFill="accent6" w:themeFillTint="66"/>
            <w:vAlign w:val="bottom"/>
          </w:tcPr>
          <w:p w14:paraId="6A814C5A" w14:textId="77777777" w:rsidR="00864BA5" w:rsidRPr="00AA4B8B" w:rsidRDefault="00864BA5" w:rsidP="00864BA5">
            <w:pPr>
              <w:ind w:right="92"/>
              <w:jc w:val="right"/>
            </w:pPr>
          </w:p>
        </w:tc>
      </w:tr>
      <w:tr w:rsidR="00864BA5" w:rsidRPr="000127EF" w14:paraId="7848A5DD" w14:textId="77777777" w:rsidTr="00403EEE">
        <w:trPr>
          <w:trHeight w:val="238"/>
        </w:trPr>
        <w:tc>
          <w:tcPr>
            <w:tcW w:w="1951" w:type="dxa"/>
            <w:tcBorders>
              <w:top w:val="single" w:sz="8" w:space="0" w:color="auto"/>
            </w:tcBorders>
          </w:tcPr>
          <w:p w14:paraId="296711C8" w14:textId="65CE1717" w:rsidR="00864BA5" w:rsidRPr="000127EF" w:rsidRDefault="00864BA5" w:rsidP="00864BA5">
            <w:pPr>
              <w:tabs>
                <w:tab w:val="left" w:pos="1452"/>
              </w:tabs>
              <w:ind w:right="92"/>
              <w:jc w:val="right"/>
              <w:rPr>
                <w:b/>
                <w:i/>
              </w:rPr>
            </w:pPr>
            <w:r w:rsidRPr="000127EF">
              <w:rPr>
                <w:b/>
              </w:rPr>
              <w:fldChar w:fldCharType="begin"/>
            </w:r>
            <w:r w:rsidRPr="000127EF">
              <w:rPr>
                <w:b/>
              </w:rPr>
              <w:instrText xml:space="preserve"> =SUM(e3:e6) \# "#,##0;(#,##0)" </w:instrText>
            </w:r>
            <w:r w:rsidRPr="000127EF">
              <w:rPr>
                <w:b/>
              </w:rPr>
              <w:fldChar w:fldCharType="separate"/>
            </w:r>
            <w:r w:rsidRPr="000127EF">
              <w:rPr>
                <w:b/>
                <w:noProof/>
              </w:rPr>
              <w:t>35,844</w:t>
            </w:r>
            <w:r w:rsidRPr="000127EF">
              <w:rPr>
                <w:b/>
              </w:rPr>
              <w:fldChar w:fldCharType="end"/>
            </w:r>
          </w:p>
        </w:tc>
        <w:tc>
          <w:tcPr>
            <w:tcW w:w="2409" w:type="dxa"/>
            <w:tcBorders>
              <w:top w:val="single" w:sz="8" w:space="0" w:color="auto"/>
            </w:tcBorders>
          </w:tcPr>
          <w:p w14:paraId="7221F59A" w14:textId="1BA8489A" w:rsidR="00864BA5" w:rsidRPr="000127EF" w:rsidRDefault="00864BA5" w:rsidP="00864BA5">
            <w:pPr>
              <w:jc w:val="right"/>
              <w:rPr>
                <w:b/>
                <w:i/>
              </w:rPr>
            </w:pPr>
            <w:r w:rsidRPr="000127EF">
              <w:rPr>
                <w:b/>
              </w:rPr>
              <w:fldChar w:fldCharType="begin"/>
            </w:r>
            <w:r w:rsidRPr="000127EF">
              <w:rPr>
                <w:b/>
              </w:rPr>
              <w:instrText xml:space="preserve"> =SUM(f3:f6) \# "#,##0;(#,##0)" </w:instrText>
            </w:r>
            <w:r w:rsidRPr="000127EF">
              <w:rPr>
                <w:b/>
              </w:rPr>
              <w:fldChar w:fldCharType="separate"/>
            </w:r>
            <w:r w:rsidRPr="000127EF">
              <w:rPr>
                <w:b/>
                <w:noProof/>
              </w:rPr>
              <w:t>1,172</w:t>
            </w:r>
            <w:r w:rsidRPr="000127EF">
              <w:rPr>
                <w:b/>
              </w:rPr>
              <w:fldChar w:fldCharType="end"/>
            </w:r>
          </w:p>
        </w:tc>
        <w:tc>
          <w:tcPr>
            <w:tcW w:w="1560" w:type="dxa"/>
            <w:tcBorders>
              <w:top w:val="single" w:sz="8" w:space="0" w:color="auto"/>
            </w:tcBorders>
            <w:shd w:val="clear" w:color="auto" w:fill="auto"/>
          </w:tcPr>
          <w:p w14:paraId="1BD80DE2" w14:textId="77C5BC2A" w:rsidR="00864BA5" w:rsidRPr="000127EF" w:rsidRDefault="00864BA5" w:rsidP="00864BA5">
            <w:pPr>
              <w:ind w:right="92"/>
              <w:jc w:val="right"/>
              <w:rPr>
                <w:b/>
                <w:i/>
              </w:rPr>
            </w:pPr>
            <w:r w:rsidRPr="000127EF">
              <w:rPr>
                <w:b/>
              </w:rPr>
              <w:fldChar w:fldCharType="begin"/>
            </w:r>
            <w:r w:rsidRPr="000127EF">
              <w:rPr>
                <w:b/>
              </w:rPr>
              <w:instrText xml:space="preserve"> =SUM(g4:g6) </w:instrText>
            </w:r>
            <w:r w:rsidRPr="000127EF">
              <w:rPr>
                <w:b/>
              </w:rPr>
              <w:fldChar w:fldCharType="separate"/>
            </w:r>
            <w:r w:rsidRPr="000127EF">
              <w:rPr>
                <w:b/>
                <w:noProof/>
              </w:rPr>
              <w:t>37,016</w:t>
            </w:r>
            <w:r w:rsidRPr="000127EF">
              <w:rPr>
                <w:b/>
              </w:rPr>
              <w:fldChar w:fldCharType="end"/>
            </w:r>
          </w:p>
        </w:tc>
        <w:tc>
          <w:tcPr>
            <w:tcW w:w="3843" w:type="dxa"/>
            <w:vMerge/>
          </w:tcPr>
          <w:p w14:paraId="4A99512C" w14:textId="77777777" w:rsidR="00864BA5" w:rsidRPr="000127EF" w:rsidRDefault="00864BA5" w:rsidP="00864BA5">
            <w:pPr>
              <w:rPr>
                <w:b/>
              </w:rPr>
            </w:pPr>
          </w:p>
        </w:tc>
        <w:tc>
          <w:tcPr>
            <w:tcW w:w="2111" w:type="dxa"/>
            <w:tcBorders>
              <w:top w:val="single" w:sz="8" w:space="0" w:color="auto"/>
            </w:tcBorders>
            <w:shd w:val="clear" w:color="auto" w:fill="C5E0B3" w:themeFill="accent6" w:themeFillTint="66"/>
          </w:tcPr>
          <w:p w14:paraId="76CBD60E" w14:textId="09CA564D" w:rsidR="00864BA5" w:rsidRPr="00AA4B8B" w:rsidRDefault="00AA4B8B" w:rsidP="00864BA5">
            <w:pPr>
              <w:tabs>
                <w:tab w:val="left" w:pos="1452"/>
              </w:tabs>
              <w:ind w:right="92"/>
              <w:jc w:val="right"/>
              <w:rPr>
                <w:b/>
              </w:rPr>
            </w:pPr>
            <w:r w:rsidRPr="00AA4B8B">
              <w:rPr>
                <w:b/>
              </w:rPr>
              <w:t>37,349</w:t>
            </w:r>
          </w:p>
        </w:tc>
        <w:tc>
          <w:tcPr>
            <w:tcW w:w="2409" w:type="dxa"/>
            <w:tcBorders>
              <w:top w:val="single" w:sz="8" w:space="0" w:color="auto"/>
            </w:tcBorders>
            <w:shd w:val="clear" w:color="auto" w:fill="C5E0B3" w:themeFill="accent6" w:themeFillTint="66"/>
          </w:tcPr>
          <w:p w14:paraId="04DFC576" w14:textId="325D6B31" w:rsidR="00864BA5" w:rsidRPr="00AA4B8B" w:rsidRDefault="00AA4B8B" w:rsidP="00864BA5">
            <w:pPr>
              <w:jc w:val="right"/>
              <w:rPr>
                <w:b/>
              </w:rPr>
            </w:pPr>
            <w:r w:rsidRPr="00AA4B8B">
              <w:rPr>
                <w:b/>
              </w:rPr>
              <w:t>2,245</w:t>
            </w:r>
          </w:p>
        </w:tc>
        <w:tc>
          <w:tcPr>
            <w:tcW w:w="1985" w:type="dxa"/>
            <w:tcBorders>
              <w:top w:val="single" w:sz="8" w:space="0" w:color="auto"/>
            </w:tcBorders>
            <w:shd w:val="clear" w:color="auto" w:fill="C5E0B3" w:themeFill="accent6" w:themeFillTint="66"/>
          </w:tcPr>
          <w:p w14:paraId="17A6E269" w14:textId="44E5F883" w:rsidR="00864BA5" w:rsidRPr="00AA4B8B" w:rsidRDefault="00AA4B8B" w:rsidP="00864BA5">
            <w:pPr>
              <w:ind w:right="92"/>
              <w:jc w:val="right"/>
              <w:rPr>
                <w:b/>
              </w:rPr>
            </w:pPr>
            <w:r w:rsidRPr="00AA4B8B">
              <w:rPr>
                <w:b/>
              </w:rPr>
              <w:t>39,594</w:t>
            </w:r>
          </w:p>
        </w:tc>
      </w:tr>
      <w:tr w:rsidR="00864BA5" w:rsidRPr="000127EF" w14:paraId="3175D19B" w14:textId="77777777" w:rsidTr="00403EEE">
        <w:trPr>
          <w:trHeight w:val="181"/>
        </w:trPr>
        <w:tc>
          <w:tcPr>
            <w:tcW w:w="1951" w:type="dxa"/>
          </w:tcPr>
          <w:p w14:paraId="161019AE" w14:textId="77777777" w:rsidR="00864BA5" w:rsidRPr="000127EF" w:rsidRDefault="00864BA5" w:rsidP="00864BA5">
            <w:pPr>
              <w:rPr>
                <w:i/>
                <w:sz w:val="10"/>
                <w:szCs w:val="10"/>
              </w:rPr>
            </w:pPr>
          </w:p>
        </w:tc>
        <w:tc>
          <w:tcPr>
            <w:tcW w:w="2409" w:type="dxa"/>
          </w:tcPr>
          <w:p w14:paraId="02B5EE93" w14:textId="77777777" w:rsidR="00864BA5" w:rsidRPr="000127EF" w:rsidRDefault="00864BA5" w:rsidP="00864BA5">
            <w:pPr>
              <w:rPr>
                <w:i/>
                <w:sz w:val="10"/>
                <w:szCs w:val="10"/>
              </w:rPr>
            </w:pPr>
          </w:p>
        </w:tc>
        <w:tc>
          <w:tcPr>
            <w:tcW w:w="1560" w:type="dxa"/>
            <w:shd w:val="clear" w:color="auto" w:fill="auto"/>
          </w:tcPr>
          <w:p w14:paraId="188E2006" w14:textId="77777777" w:rsidR="00864BA5" w:rsidRPr="000127EF" w:rsidRDefault="00864BA5" w:rsidP="00864BA5">
            <w:pPr>
              <w:rPr>
                <w:i/>
                <w:sz w:val="10"/>
                <w:szCs w:val="10"/>
              </w:rPr>
            </w:pPr>
          </w:p>
        </w:tc>
        <w:tc>
          <w:tcPr>
            <w:tcW w:w="3843" w:type="dxa"/>
          </w:tcPr>
          <w:p w14:paraId="1F6F3683" w14:textId="77777777" w:rsidR="00864BA5" w:rsidRPr="000127EF" w:rsidRDefault="00864BA5" w:rsidP="00864BA5">
            <w:pPr>
              <w:rPr>
                <w:sz w:val="10"/>
                <w:szCs w:val="10"/>
              </w:rPr>
            </w:pPr>
          </w:p>
        </w:tc>
        <w:tc>
          <w:tcPr>
            <w:tcW w:w="2111" w:type="dxa"/>
            <w:shd w:val="clear" w:color="auto" w:fill="C5E0B3" w:themeFill="accent6" w:themeFillTint="66"/>
          </w:tcPr>
          <w:p w14:paraId="088B1024" w14:textId="77777777" w:rsidR="00864BA5" w:rsidRPr="00AA4B8B" w:rsidRDefault="00864BA5" w:rsidP="00864BA5">
            <w:pPr>
              <w:rPr>
                <w:sz w:val="10"/>
                <w:szCs w:val="10"/>
              </w:rPr>
            </w:pPr>
          </w:p>
        </w:tc>
        <w:tc>
          <w:tcPr>
            <w:tcW w:w="2409" w:type="dxa"/>
            <w:shd w:val="clear" w:color="auto" w:fill="C5E0B3" w:themeFill="accent6" w:themeFillTint="66"/>
          </w:tcPr>
          <w:p w14:paraId="59F6F2AB" w14:textId="77777777" w:rsidR="00864BA5" w:rsidRPr="00AA4B8B" w:rsidRDefault="00864BA5" w:rsidP="00864BA5">
            <w:pPr>
              <w:rPr>
                <w:sz w:val="10"/>
                <w:szCs w:val="10"/>
              </w:rPr>
            </w:pPr>
          </w:p>
        </w:tc>
        <w:tc>
          <w:tcPr>
            <w:tcW w:w="1985" w:type="dxa"/>
            <w:shd w:val="clear" w:color="auto" w:fill="C5E0B3" w:themeFill="accent6" w:themeFillTint="66"/>
          </w:tcPr>
          <w:p w14:paraId="71C86FCC" w14:textId="77777777" w:rsidR="00864BA5" w:rsidRPr="00AA4B8B" w:rsidRDefault="00864BA5" w:rsidP="00864BA5">
            <w:pPr>
              <w:rPr>
                <w:sz w:val="10"/>
                <w:szCs w:val="10"/>
              </w:rPr>
            </w:pPr>
          </w:p>
        </w:tc>
      </w:tr>
      <w:tr w:rsidR="00864BA5" w:rsidRPr="000127EF" w14:paraId="5251D0CC" w14:textId="77777777" w:rsidTr="00403EEE">
        <w:tc>
          <w:tcPr>
            <w:tcW w:w="1951" w:type="dxa"/>
            <w:vAlign w:val="center"/>
          </w:tcPr>
          <w:p w14:paraId="0FF701C0" w14:textId="1686501B" w:rsidR="00864BA5" w:rsidRPr="000127EF" w:rsidRDefault="00864BA5" w:rsidP="00864BA5">
            <w:pPr>
              <w:ind w:right="92"/>
              <w:jc w:val="right"/>
              <w:rPr>
                <w:i/>
              </w:rPr>
            </w:pPr>
            <w:r w:rsidRPr="000127EF">
              <w:t>-</w:t>
            </w:r>
          </w:p>
        </w:tc>
        <w:tc>
          <w:tcPr>
            <w:tcW w:w="2409" w:type="dxa"/>
            <w:vAlign w:val="center"/>
          </w:tcPr>
          <w:p w14:paraId="120ADF72" w14:textId="75737088" w:rsidR="00864BA5" w:rsidRPr="000127EF" w:rsidRDefault="00864BA5" w:rsidP="00864BA5">
            <w:pPr>
              <w:jc w:val="right"/>
              <w:rPr>
                <w:i/>
              </w:rPr>
            </w:pPr>
            <w:r w:rsidRPr="000127EF">
              <w:t>5,842</w:t>
            </w:r>
          </w:p>
        </w:tc>
        <w:tc>
          <w:tcPr>
            <w:tcW w:w="1560" w:type="dxa"/>
            <w:shd w:val="clear" w:color="auto" w:fill="auto"/>
            <w:vAlign w:val="center"/>
          </w:tcPr>
          <w:p w14:paraId="462AD0D6" w14:textId="6CAF9766" w:rsidR="00864BA5" w:rsidRPr="000127EF" w:rsidRDefault="00864BA5" w:rsidP="00864BA5">
            <w:pPr>
              <w:ind w:right="92"/>
              <w:jc w:val="right"/>
              <w:rPr>
                <w:i/>
              </w:rPr>
            </w:pPr>
            <w:r w:rsidRPr="000127EF">
              <w:fldChar w:fldCharType="begin"/>
            </w:r>
            <w:r w:rsidRPr="000127EF">
              <w:instrText xml:space="preserve"> =SUM(LEFT) </w:instrText>
            </w:r>
            <w:r w:rsidRPr="000127EF">
              <w:fldChar w:fldCharType="separate"/>
            </w:r>
            <w:r w:rsidRPr="000127EF">
              <w:rPr>
                <w:noProof/>
              </w:rPr>
              <w:t>5,842</w:t>
            </w:r>
            <w:r w:rsidRPr="000127EF">
              <w:fldChar w:fldCharType="end"/>
            </w:r>
          </w:p>
        </w:tc>
        <w:tc>
          <w:tcPr>
            <w:tcW w:w="3843" w:type="dxa"/>
          </w:tcPr>
          <w:p w14:paraId="739A72F6" w14:textId="77777777" w:rsidR="00864BA5" w:rsidRPr="000127EF" w:rsidRDefault="00864BA5" w:rsidP="00864BA5">
            <w:r w:rsidRPr="000127EF">
              <w:t>Other Operating Expenditure</w:t>
            </w:r>
          </w:p>
        </w:tc>
        <w:tc>
          <w:tcPr>
            <w:tcW w:w="2111" w:type="dxa"/>
            <w:shd w:val="clear" w:color="auto" w:fill="C5E0B3" w:themeFill="accent6" w:themeFillTint="66"/>
            <w:vAlign w:val="center"/>
          </w:tcPr>
          <w:p w14:paraId="073943AD" w14:textId="610AFBC5" w:rsidR="00864BA5" w:rsidRPr="00AA4B8B" w:rsidRDefault="00AA4B8B" w:rsidP="00864BA5">
            <w:pPr>
              <w:ind w:right="92"/>
              <w:jc w:val="right"/>
            </w:pPr>
            <w:r w:rsidRPr="00AA4B8B">
              <w:t>-</w:t>
            </w:r>
          </w:p>
        </w:tc>
        <w:tc>
          <w:tcPr>
            <w:tcW w:w="2409" w:type="dxa"/>
            <w:shd w:val="clear" w:color="auto" w:fill="C5E0B3" w:themeFill="accent6" w:themeFillTint="66"/>
            <w:vAlign w:val="center"/>
          </w:tcPr>
          <w:p w14:paraId="3AE60483" w14:textId="328B80D9" w:rsidR="00864BA5" w:rsidRPr="00AA4B8B" w:rsidRDefault="00AA4B8B" w:rsidP="00864BA5">
            <w:pPr>
              <w:jc w:val="right"/>
            </w:pPr>
            <w:r w:rsidRPr="00AA4B8B">
              <w:t>1,082</w:t>
            </w:r>
          </w:p>
        </w:tc>
        <w:tc>
          <w:tcPr>
            <w:tcW w:w="1985" w:type="dxa"/>
            <w:shd w:val="clear" w:color="auto" w:fill="C5E0B3" w:themeFill="accent6" w:themeFillTint="66"/>
            <w:vAlign w:val="center"/>
          </w:tcPr>
          <w:p w14:paraId="2547E611" w14:textId="7D69A4F5" w:rsidR="00864BA5" w:rsidRPr="00AA4B8B" w:rsidRDefault="00AA4B8B" w:rsidP="00864BA5">
            <w:pPr>
              <w:ind w:right="92"/>
              <w:jc w:val="right"/>
            </w:pPr>
            <w:r w:rsidRPr="00AA4B8B">
              <w:t>1,082</w:t>
            </w:r>
          </w:p>
        </w:tc>
      </w:tr>
      <w:tr w:rsidR="00864BA5" w:rsidRPr="000127EF" w14:paraId="704EB5F5" w14:textId="77777777" w:rsidTr="00403EEE">
        <w:tc>
          <w:tcPr>
            <w:tcW w:w="1951" w:type="dxa"/>
            <w:vAlign w:val="center"/>
          </w:tcPr>
          <w:p w14:paraId="27C40BE9" w14:textId="45BA4A1C" w:rsidR="00864BA5" w:rsidRPr="000127EF" w:rsidRDefault="00864BA5" w:rsidP="00864BA5">
            <w:pPr>
              <w:ind w:right="92"/>
              <w:jc w:val="right"/>
              <w:rPr>
                <w:i/>
              </w:rPr>
            </w:pPr>
            <w:r w:rsidRPr="000127EF">
              <w:t>1,332</w:t>
            </w:r>
          </w:p>
        </w:tc>
        <w:tc>
          <w:tcPr>
            <w:tcW w:w="2409" w:type="dxa"/>
            <w:vAlign w:val="center"/>
          </w:tcPr>
          <w:p w14:paraId="2709AF68" w14:textId="5251C7F4" w:rsidR="00864BA5" w:rsidRPr="000127EF" w:rsidRDefault="00EF4149" w:rsidP="00864BA5">
            <w:pPr>
              <w:jc w:val="right"/>
              <w:rPr>
                <w:i/>
              </w:rPr>
            </w:pPr>
            <w:r>
              <w:t>1,146</w:t>
            </w:r>
          </w:p>
        </w:tc>
        <w:tc>
          <w:tcPr>
            <w:tcW w:w="1560" w:type="dxa"/>
            <w:shd w:val="clear" w:color="auto" w:fill="auto"/>
            <w:vAlign w:val="center"/>
          </w:tcPr>
          <w:p w14:paraId="399AE061" w14:textId="07C66498" w:rsidR="00864BA5" w:rsidRPr="000127EF" w:rsidRDefault="00864BA5" w:rsidP="00864BA5">
            <w:pPr>
              <w:ind w:right="92"/>
              <w:jc w:val="right"/>
              <w:rPr>
                <w:i/>
              </w:rPr>
            </w:pPr>
            <w:r w:rsidRPr="000127EF">
              <w:fldChar w:fldCharType="begin"/>
            </w:r>
            <w:r w:rsidRPr="000127EF">
              <w:instrText xml:space="preserve"> =SUM(LEFT) </w:instrText>
            </w:r>
            <w:r w:rsidRPr="000127EF">
              <w:fldChar w:fldCharType="separate"/>
            </w:r>
            <w:r w:rsidR="00EF4149">
              <w:rPr>
                <w:noProof/>
              </w:rPr>
              <w:t>2,478</w:t>
            </w:r>
            <w:r w:rsidRPr="000127EF">
              <w:fldChar w:fldCharType="end"/>
            </w:r>
          </w:p>
        </w:tc>
        <w:tc>
          <w:tcPr>
            <w:tcW w:w="3843" w:type="dxa"/>
          </w:tcPr>
          <w:p w14:paraId="059EBA8A" w14:textId="77777777" w:rsidR="00864BA5" w:rsidRPr="000127EF" w:rsidRDefault="00864BA5" w:rsidP="00864BA5">
            <w:r w:rsidRPr="000127EF">
              <w:t>Financing &amp; Investment Income &amp; Expenditure</w:t>
            </w:r>
          </w:p>
        </w:tc>
        <w:tc>
          <w:tcPr>
            <w:tcW w:w="2111" w:type="dxa"/>
            <w:shd w:val="clear" w:color="auto" w:fill="C5E0B3" w:themeFill="accent6" w:themeFillTint="66"/>
            <w:vAlign w:val="center"/>
          </w:tcPr>
          <w:p w14:paraId="3566F6AE" w14:textId="58EA3686" w:rsidR="00864BA5" w:rsidRPr="00AA4B8B" w:rsidRDefault="00AA4B8B" w:rsidP="00864BA5">
            <w:pPr>
              <w:ind w:right="92"/>
              <w:jc w:val="right"/>
            </w:pPr>
            <w:r w:rsidRPr="00AA4B8B">
              <w:t>1,250</w:t>
            </w:r>
          </w:p>
        </w:tc>
        <w:tc>
          <w:tcPr>
            <w:tcW w:w="2409" w:type="dxa"/>
            <w:shd w:val="clear" w:color="auto" w:fill="C5E0B3" w:themeFill="accent6" w:themeFillTint="66"/>
            <w:vAlign w:val="center"/>
          </w:tcPr>
          <w:p w14:paraId="4A12540B" w14:textId="2C3AA5B2" w:rsidR="00864BA5" w:rsidRPr="00AA4B8B" w:rsidRDefault="00AA4B8B" w:rsidP="00864BA5">
            <w:pPr>
              <w:jc w:val="right"/>
            </w:pPr>
            <w:r w:rsidRPr="00AA4B8B">
              <w:t>575</w:t>
            </w:r>
          </w:p>
        </w:tc>
        <w:tc>
          <w:tcPr>
            <w:tcW w:w="1985" w:type="dxa"/>
            <w:shd w:val="clear" w:color="auto" w:fill="C5E0B3" w:themeFill="accent6" w:themeFillTint="66"/>
            <w:vAlign w:val="center"/>
          </w:tcPr>
          <w:p w14:paraId="3C2EF3E0" w14:textId="60F37088" w:rsidR="00864BA5" w:rsidRPr="00AA4B8B" w:rsidRDefault="00AA4B8B" w:rsidP="00864BA5">
            <w:pPr>
              <w:ind w:right="92"/>
              <w:jc w:val="right"/>
            </w:pPr>
            <w:r w:rsidRPr="00AA4B8B">
              <w:t>1,825</w:t>
            </w:r>
          </w:p>
        </w:tc>
      </w:tr>
      <w:tr w:rsidR="00864BA5" w:rsidRPr="000127EF" w14:paraId="562B22E8" w14:textId="77777777" w:rsidTr="00403EEE">
        <w:tc>
          <w:tcPr>
            <w:tcW w:w="1951" w:type="dxa"/>
            <w:tcBorders>
              <w:bottom w:val="single" w:sz="8" w:space="0" w:color="auto"/>
            </w:tcBorders>
            <w:vAlign w:val="center"/>
          </w:tcPr>
          <w:p w14:paraId="16A77330" w14:textId="6954F91E" w:rsidR="00864BA5" w:rsidRPr="000127EF" w:rsidRDefault="00864BA5" w:rsidP="00864BA5">
            <w:pPr>
              <w:ind w:right="92"/>
              <w:jc w:val="right"/>
              <w:rPr>
                <w:i/>
              </w:rPr>
            </w:pPr>
            <w:r w:rsidRPr="000127EF">
              <w:t>(37,161)</w:t>
            </w:r>
          </w:p>
        </w:tc>
        <w:tc>
          <w:tcPr>
            <w:tcW w:w="2409" w:type="dxa"/>
            <w:tcBorders>
              <w:bottom w:val="single" w:sz="8" w:space="0" w:color="auto"/>
            </w:tcBorders>
            <w:vAlign w:val="center"/>
          </w:tcPr>
          <w:p w14:paraId="30FAC398" w14:textId="3F9BBD93" w:rsidR="00864BA5" w:rsidRPr="000127EF" w:rsidRDefault="00864BA5" w:rsidP="00864BA5">
            <w:pPr>
              <w:jc w:val="right"/>
              <w:rPr>
                <w:i/>
              </w:rPr>
            </w:pPr>
            <w:r w:rsidRPr="000127EF">
              <w:t>(4,303)</w:t>
            </w:r>
          </w:p>
        </w:tc>
        <w:tc>
          <w:tcPr>
            <w:tcW w:w="1560" w:type="dxa"/>
            <w:tcBorders>
              <w:bottom w:val="single" w:sz="8" w:space="0" w:color="auto"/>
            </w:tcBorders>
            <w:shd w:val="clear" w:color="auto" w:fill="auto"/>
            <w:vAlign w:val="center"/>
          </w:tcPr>
          <w:p w14:paraId="1F2E58D1" w14:textId="13263C21" w:rsidR="00864BA5" w:rsidRPr="000127EF" w:rsidRDefault="00864BA5" w:rsidP="00864BA5">
            <w:pPr>
              <w:ind w:right="92"/>
              <w:jc w:val="right"/>
              <w:rPr>
                <w:i/>
              </w:rPr>
            </w:pPr>
            <w:r w:rsidRPr="000127EF">
              <w:fldChar w:fldCharType="begin"/>
            </w:r>
            <w:r w:rsidRPr="000127EF">
              <w:instrText xml:space="preserve"> =SUM(E12:F12) </w:instrText>
            </w:r>
            <w:r w:rsidRPr="000127EF">
              <w:fldChar w:fldCharType="separate"/>
            </w:r>
            <w:r w:rsidRPr="000127EF">
              <w:rPr>
                <w:noProof/>
              </w:rPr>
              <w:t>(41,464)</w:t>
            </w:r>
            <w:r w:rsidRPr="000127EF">
              <w:fldChar w:fldCharType="end"/>
            </w:r>
          </w:p>
        </w:tc>
        <w:tc>
          <w:tcPr>
            <w:tcW w:w="3843" w:type="dxa"/>
          </w:tcPr>
          <w:p w14:paraId="5011FF0D" w14:textId="77777777" w:rsidR="00864BA5" w:rsidRPr="000127EF" w:rsidRDefault="00864BA5" w:rsidP="00864BA5">
            <w:r w:rsidRPr="000127EF">
              <w:t>Taxation &amp; Non-Specific Grant Income</w:t>
            </w:r>
          </w:p>
        </w:tc>
        <w:tc>
          <w:tcPr>
            <w:tcW w:w="2111" w:type="dxa"/>
            <w:tcBorders>
              <w:bottom w:val="single" w:sz="8" w:space="0" w:color="auto"/>
            </w:tcBorders>
            <w:shd w:val="clear" w:color="auto" w:fill="C5E0B3" w:themeFill="accent6" w:themeFillTint="66"/>
            <w:vAlign w:val="center"/>
          </w:tcPr>
          <w:p w14:paraId="5D72673E" w14:textId="3275218F" w:rsidR="00864BA5" w:rsidRPr="00AA4B8B" w:rsidRDefault="00AA4B8B" w:rsidP="007111EB">
            <w:pPr>
              <w:ind w:right="92"/>
              <w:jc w:val="right"/>
            </w:pPr>
            <w:r w:rsidRPr="00AA4B8B">
              <w:t>(38,</w:t>
            </w:r>
            <w:r w:rsidR="007111EB">
              <w:t>912</w:t>
            </w:r>
            <w:r w:rsidRPr="00AA4B8B">
              <w:t>)</w:t>
            </w:r>
          </w:p>
        </w:tc>
        <w:tc>
          <w:tcPr>
            <w:tcW w:w="2409" w:type="dxa"/>
            <w:tcBorders>
              <w:bottom w:val="single" w:sz="8" w:space="0" w:color="auto"/>
            </w:tcBorders>
            <w:shd w:val="clear" w:color="auto" w:fill="C5E0B3" w:themeFill="accent6" w:themeFillTint="66"/>
            <w:vAlign w:val="center"/>
          </w:tcPr>
          <w:p w14:paraId="08EFA758" w14:textId="2EA5C42C" w:rsidR="00864BA5" w:rsidRPr="00AA4B8B" w:rsidRDefault="00AA4B8B" w:rsidP="007111EB">
            <w:pPr>
              <w:jc w:val="right"/>
            </w:pPr>
            <w:r w:rsidRPr="00AA4B8B">
              <w:t>(3,</w:t>
            </w:r>
            <w:r w:rsidR="007111EB">
              <w:t>732</w:t>
            </w:r>
            <w:r w:rsidRPr="00AA4B8B">
              <w:t>)</w:t>
            </w:r>
          </w:p>
        </w:tc>
        <w:tc>
          <w:tcPr>
            <w:tcW w:w="1985" w:type="dxa"/>
            <w:tcBorders>
              <w:bottom w:val="single" w:sz="8" w:space="0" w:color="auto"/>
            </w:tcBorders>
            <w:shd w:val="clear" w:color="auto" w:fill="C5E0B3" w:themeFill="accent6" w:themeFillTint="66"/>
            <w:vAlign w:val="center"/>
          </w:tcPr>
          <w:p w14:paraId="6CF38B12" w14:textId="48E53643" w:rsidR="00864BA5" w:rsidRPr="00AA4B8B" w:rsidRDefault="00AA4B8B" w:rsidP="00864BA5">
            <w:pPr>
              <w:ind w:right="92"/>
              <w:jc w:val="right"/>
            </w:pPr>
            <w:r w:rsidRPr="00AA4B8B">
              <w:t>(42,644)</w:t>
            </w:r>
          </w:p>
        </w:tc>
      </w:tr>
      <w:tr w:rsidR="00864BA5" w:rsidRPr="000127EF" w14:paraId="51714DDE" w14:textId="77777777" w:rsidTr="00403EEE">
        <w:tc>
          <w:tcPr>
            <w:tcW w:w="1951" w:type="dxa"/>
            <w:tcBorders>
              <w:top w:val="single" w:sz="8" w:space="0" w:color="auto"/>
            </w:tcBorders>
          </w:tcPr>
          <w:p w14:paraId="4FE6F160" w14:textId="17E3620F" w:rsidR="00864BA5" w:rsidRPr="000127EF" w:rsidRDefault="00864BA5" w:rsidP="00864BA5">
            <w:pPr>
              <w:ind w:right="92"/>
              <w:jc w:val="right"/>
              <w:rPr>
                <w:b/>
                <w:i/>
              </w:rPr>
            </w:pPr>
            <w:r w:rsidRPr="000127EF">
              <w:rPr>
                <w:b/>
              </w:rPr>
              <w:fldChar w:fldCharType="begin"/>
            </w:r>
            <w:r w:rsidRPr="000127EF">
              <w:rPr>
                <w:b/>
              </w:rPr>
              <w:instrText xml:space="preserve"> =SUM(E8:e12) </w:instrText>
            </w:r>
            <w:r w:rsidRPr="000127EF">
              <w:rPr>
                <w:b/>
              </w:rPr>
              <w:fldChar w:fldCharType="separate"/>
            </w:r>
            <w:r w:rsidRPr="000127EF">
              <w:rPr>
                <w:b/>
                <w:noProof/>
              </w:rPr>
              <w:t>15</w:t>
            </w:r>
            <w:r w:rsidRPr="000127EF">
              <w:rPr>
                <w:b/>
              </w:rPr>
              <w:fldChar w:fldCharType="end"/>
            </w:r>
          </w:p>
        </w:tc>
        <w:tc>
          <w:tcPr>
            <w:tcW w:w="2409" w:type="dxa"/>
            <w:tcBorders>
              <w:top w:val="single" w:sz="8" w:space="0" w:color="auto"/>
              <w:bottom w:val="nil"/>
            </w:tcBorders>
          </w:tcPr>
          <w:p w14:paraId="69C6DA92" w14:textId="7E8459C9" w:rsidR="00864BA5" w:rsidRPr="000127EF" w:rsidRDefault="00EF4149" w:rsidP="00864BA5">
            <w:pPr>
              <w:jc w:val="right"/>
              <w:rPr>
                <w:b/>
                <w:i/>
              </w:rPr>
            </w:pPr>
            <w:r>
              <w:rPr>
                <w:b/>
              </w:rPr>
              <w:t>3,857</w:t>
            </w:r>
          </w:p>
        </w:tc>
        <w:tc>
          <w:tcPr>
            <w:tcW w:w="1560" w:type="dxa"/>
            <w:tcBorders>
              <w:top w:val="single" w:sz="8" w:space="0" w:color="auto"/>
              <w:bottom w:val="nil"/>
            </w:tcBorders>
            <w:shd w:val="clear" w:color="auto" w:fill="auto"/>
          </w:tcPr>
          <w:p w14:paraId="0CBC060F" w14:textId="4F3C46D8" w:rsidR="00864BA5" w:rsidRPr="000127EF" w:rsidRDefault="00EF4149" w:rsidP="00864BA5">
            <w:pPr>
              <w:ind w:right="92"/>
              <w:jc w:val="right"/>
              <w:rPr>
                <w:b/>
                <w:i/>
              </w:rPr>
            </w:pPr>
            <w:r>
              <w:rPr>
                <w:b/>
              </w:rPr>
              <w:t>3,872</w:t>
            </w:r>
          </w:p>
        </w:tc>
        <w:tc>
          <w:tcPr>
            <w:tcW w:w="3843" w:type="dxa"/>
          </w:tcPr>
          <w:p w14:paraId="244119F5" w14:textId="77777777" w:rsidR="00864BA5" w:rsidRPr="000127EF" w:rsidRDefault="00864BA5" w:rsidP="00864BA5">
            <w:pPr>
              <w:rPr>
                <w:b/>
              </w:rPr>
            </w:pPr>
            <w:r w:rsidRPr="000127EF">
              <w:rPr>
                <w:b/>
              </w:rPr>
              <w:t>(Surplus) / Deficit on Provision of Services</w:t>
            </w:r>
          </w:p>
        </w:tc>
        <w:tc>
          <w:tcPr>
            <w:tcW w:w="2111" w:type="dxa"/>
            <w:tcBorders>
              <w:bottom w:val="single" w:sz="8" w:space="0" w:color="auto"/>
            </w:tcBorders>
            <w:shd w:val="clear" w:color="auto" w:fill="C5E0B3" w:themeFill="accent6" w:themeFillTint="66"/>
          </w:tcPr>
          <w:p w14:paraId="708DA1CB" w14:textId="41776255" w:rsidR="00864BA5" w:rsidRPr="00AA4B8B" w:rsidRDefault="00AA4B8B" w:rsidP="007111EB">
            <w:pPr>
              <w:ind w:right="92"/>
              <w:jc w:val="right"/>
              <w:rPr>
                <w:b/>
              </w:rPr>
            </w:pPr>
            <w:r w:rsidRPr="00AA4B8B">
              <w:rPr>
                <w:b/>
              </w:rPr>
              <w:t>(</w:t>
            </w:r>
            <w:r w:rsidR="007111EB">
              <w:rPr>
                <w:b/>
              </w:rPr>
              <w:t>313</w:t>
            </w:r>
            <w:r w:rsidRPr="00AA4B8B">
              <w:rPr>
                <w:b/>
              </w:rPr>
              <w:t>)</w:t>
            </w:r>
          </w:p>
        </w:tc>
        <w:tc>
          <w:tcPr>
            <w:tcW w:w="2409" w:type="dxa"/>
            <w:shd w:val="clear" w:color="auto" w:fill="C5E0B3" w:themeFill="accent6" w:themeFillTint="66"/>
          </w:tcPr>
          <w:p w14:paraId="0484E821" w14:textId="0EDDE3DC" w:rsidR="00864BA5" w:rsidRPr="00AA4B8B" w:rsidRDefault="007111EB" w:rsidP="00864BA5">
            <w:pPr>
              <w:jc w:val="right"/>
              <w:rPr>
                <w:b/>
              </w:rPr>
            </w:pPr>
            <w:r>
              <w:rPr>
                <w:b/>
              </w:rPr>
              <w:t>170</w:t>
            </w:r>
          </w:p>
        </w:tc>
        <w:tc>
          <w:tcPr>
            <w:tcW w:w="1985" w:type="dxa"/>
            <w:shd w:val="clear" w:color="auto" w:fill="C5E0B3" w:themeFill="accent6" w:themeFillTint="66"/>
          </w:tcPr>
          <w:p w14:paraId="79C9E55E" w14:textId="202DB57B" w:rsidR="00864BA5" w:rsidRPr="00AA4B8B" w:rsidRDefault="00AA4B8B" w:rsidP="00864BA5">
            <w:pPr>
              <w:ind w:right="92"/>
              <w:jc w:val="right"/>
              <w:rPr>
                <w:b/>
              </w:rPr>
            </w:pPr>
            <w:r w:rsidRPr="00AA4B8B">
              <w:rPr>
                <w:b/>
              </w:rPr>
              <w:t>(143)</w:t>
            </w:r>
          </w:p>
        </w:tc>
      </w:tr>
      <w:tr w:rsidR="00864BA5" w:rsidRPr="000127EF" w14:paraId="446148DA" w14:textId="77777777" w:rsidTr="00403EEE">
        <w:tc>
          <w:tcPr>
            <w:tcW w:w="1951" w:type="dxa"/>
            <w:tcBorders>
              <w:top w:val="single" w:sz="8" w:space="0" w:color="auto"/>
            </w:tcBorders>
          </w:tcPr>
          <w:p w14:paraId="02C52E45" w14:textId="6F116C8E" w:rsidR="00864BA5" w:rsidRPr="000127EF" w:rsidRDefault="00864BA5" w:rsidP="00864BA5">
            <w:pPr>
              <w:ind w:right="92"/>
              <w:jc w:val="right"/>
              <w:rPr>
                <w:i/>
              </w:rPr>
            </w:pPr>
            <w:r w:rsidRPr="000127EF">
              <w:t>(8,979)</w:t>
            </w:r>
          </w:p>
        </w:tc>
        <w:tc>
          <w:tcPr>
            <w:tcW w:w="2409" w:type="dxa"/>
            <w:tcBorders>
              <w:top w:val="nil"/>
              <w:bottom w:val="nil"/>
            </w:tcBorders>
            <w:shd w:val="clear" w:color="auto" w:fill="auto"/>
          </w:tcPr>
          <w:p w14:paraId="618CC0C4" w14:textId="77777777" w:rsidR="00864BA5" w:rsidRPr="000127EF" w:rsidRDefault="00864BA5" w:rsidP="00864BA5">
            <w:pPr>
              <w:jc w:val="right"/>
              <w:rPr>
                <w:b/>
                <w:i/>
              </w:rPr>
            </w:pPr>
          </w:p>
        </w:tc>
        <w:tc>
          <w:tcPr>
            <w:tcW w:w="1560" w:type="dxa"/>
            <w:tcBorders>
              <w:top w:val="nil"/>
              <w:bottom w:val="nil"/>
            </w:tcBorders>
            <w:shd w:val="clear" w:color="auto" w:fill="auto"/>
          </w:tcPr>
          <w:p w14:paraId="6FCC05C8" w14:textId="77777777" w:rsidR="00864BA5" w:rsidRPr="000127EF" w:rsidRDefault="00864BA5" w:rsidP="00864BA5">
            <w:pPr>
              <w:ind w:right="92"/>
              <w:jc w:val="right"/>
              <w:rPr>
                <w:b/>
                <w:i/>
              </w:rPr>
            </w:pPr>
          </w:p>
        </w:tc>
        <w:tc>
          <w:tcPr>
            <w:tcW w:w="3843" w:type="dxa"/>
          </w:tcPr>
          <w:p w14:paraId="0106ADB1" w14:textId="77777777" w:rsidR="00864BA5" w:rsidRPr="000127EF" w:rsidRDefault="00864BA5" w:rsidP="00864BA5">
            <w:r w:rsidRPr="000127EF">
              <w:t>Opening General Fund Balance</w:t>
            </w:r>
          </w:p>
        </w:tc>
        <w:tc>
          <w:tcPr>
            <w:tcW w:w="2111" w:type="dxa"/>
            <w:tcBorders>
              <w:top w:val="single" w:sz="8" w:space="0" w:color="auto"/>
              <w:bottom w:val="single" w:sz="8" w:space="0" w:color="auto"/>
            </w:tcBorders>
            <w:shd w:val="clear" w:color="auto" w:fill="C5E0B3" w:themeFill="accent6" w:themeFillTint="66"/>
          </w:tcPr>
          <w:p w14:paraId="7841FF4B" w14:textId="6955F581" w:rsidR="00864BA5" w:rsidRPr="00AA4B8B" w:rsidRDefault="004F5B6B" w:rsidP="00864BA5">
            <w:pPr>
              <w:ind w:right="92"/>
              <w:jc w:val="right"/>
            </w:pPr>
            <w:r>
              <w:t>(</w:t>
            </w:r>
            <w:r w:rsidR="00AA4B8B" w:rsidRPr="00AA4B8B">
              <w:t>8,964</w:t>
            </w:r>
            <w:r>
              <w:t>)</w:t>
            </w:r>
          </w:p>
        </w:tc>
        <w:tc>
          <w:tcPr>
            <w:tcW w:w="2409" w:type="dxa"/>
            <w:shd w:val="clear" w:color="auto" w:fill="C5E0B3" w:themeFill="accent6" w:themeFillTint="66"/>
          </w:tcPr>
          <w:p w14:paraId="16EBCF98" w14:textId="77777777" w:rsidR="00864BA5" w:rsidRPr="00AA4B8B" w:rsidRDefault="00864BA5" w:rsidP="00864BA5">
            <w:pPr>
              <w:jc w:val="right"/>
              <w:rPr>
                <w:b/>
              </w:rPr>
            </w:pPr>
          </w:p>
        </w:tc>
        <w:tc>
          <w:tcPr>
            <w:tcW w:w="1985" w:type="dxa"/>
            <w:shd w:val="clear" w:color="auto" w:fill="C5E0B3" w:themeFill="accent6" w:themeFillTint="66"/>
          </w:tcPr>
          <w:p w14:paraId="6F87B615" w14:textId="77777777" w:rsidR="00864BA5" w:rsidRPr="00AA4B8B" w:rsidRDefault="00864BA5" w:rsidP="00864BA5">
            <w:pPr>
              <w:ind w:right="92"/>
              <w:jc w:val="right"/>
              <w:rPr>
                <w:b/>
              </w:rPr>
            </w:pPr>
          </w:p>
        </w:tc>
      </w:tr>
      <w:tr w:rsidR="00864BA5" w:rsidRPr="000127EF" w14:paraId="5D8F7B0D" w14:textId="77777777" w:rsidTr="00403EEE">
        <w:tc>
          <w:tcPr>
            <w:tcW w:w="1951" w:type="dxa"/>
            <w:tcBorders>
              <w:top w:val="single" w:sz="8" w:space="0" w:color="auto"/>
            </w:tcBorders>
          </w:tcPr>
          <w:p w14:paraId="6334AB89" w14:textId="2E769D77" w:rsidR="00864BA5" w:rsidRPr="000127EF" w:rsidRDefault="00864BA5" w:rsidP="00864BA5">
            <w:pPr>
              <w:ind w:right="92"/>
              <w:jc w:val="right"/>
              <w:rPr>
                <w:i/>
              </w:rPr>
            </w:pPr>
            <w:r w:rsidRPr="000127EF">
              <w:t>15</w:t>
            </w:r>
          </w:p>
        </w:tc>
        <w:tc>
          <w:tcPr>
            <w:tcW w:w="2409" w:type="dxa"/>
            <w:tcBorders>
              <w:top w:val="nil"/>
              <w:bottom w:val="nil"/>
            </w:tcBorders>
          </w:tcPr>
          <w:p w14:paraId="76A58686" w14:textId="77777777" w:rsidR="00864BA5" w:rsidRPr="000127EF" w:rsidRDefault="00864BA5" w:rsidP="00864BA5">
            <w:pPr>
              <w:jc w:val="right"/>
              <w:rPr>
                <w:b/>
                <w:i/>
              </w:rPr>
            </w:pPr>
          </w:p>
        </w:tc>
        <w:tc>
          <w:tcPr>
            <w:tcW w:w="1560" w:type="dxa"/>
            <w:tcBorders>
              <w:top w:val="nil"/>
              <w:bottom w:val="nil"/>
            </w:tcBorders>
          </w:tcPr>
          <w:p w14:paraId="4726C820" w14:textId="77777777" w:rsidR="00864BA5" w:rsidRPr="000127EF" w:rsidRDefault="00864BA5" w:rsidP="00864BA5">
            <w:pPr>
              <w:ind w:right="92"/>
              <w:jc w:val="right"/>
              <w:rPr>
                <w:b/>
                <w:i/>
              </w:rPr>
            </w:pPr>
          </w:p>
        </w:tc>
        <w:tc>
          <w:tcPr>
            <w:tcW w:w="3843" w:type="dxa"/>
          </w:tcPr>
          <w:p w14:paraId="35D860CC" w14:textId="77777777" w:rsidR="00864BA5" w:rsidRPr="000127EF" w:rsidRDefault="00864BA5" w:rsidP="00864BA5">
            <w:r w:rsidRPr="000127EF">
              <w:t>(Surplus) / Deficit on Provision of Services</w:t>
            </w:r>
          </w:p>
        </w:tc>
        <w:tc>
          <w:tcPr>
            <w:tcW w:w="2111" w:type="dxa"/>
            <w:tcBorders>
              <w:top w:val="single" w:sz="8" w:space="0" w:color="auto"/>
              <w:bottom w:val="single" w:sz="8" w:space="0" w:color="auto"/>
            </w:tcBorders>
            <w:shd w:val="clear" w:color="auto" w:fill="C5E0B3" w:themeFill="accent6" w:themeFillTint="66"/>
          </w:tcPr>
          <w:p w14:paraId="49063E89" w14:textId="69AAFF0C" w:rsidR="00864BA5" w:rsidRPr="00AA4B8B" w:rsidRDefault="00CA300D" w:rsidP="007111EB">
            <w:pPr>
              <w:ind w:right="92"/>
              <w:jc w:val="right"/>
            </w:pPr>
            <w:r>
              <w:t>(</w:t>
            </w:r>
            <w:r w:rsidR="007111EB">
              <w:t>313</w:t>
            </w:r>
            <w:r w:rsidR="00AA4B8B" w:rsidRPr="00AA4B8B">
              <w:t>)</w:t>
            </w:r>
          </w:p>
        </w:tc>
        <w:tc>
          <w:tcPr>
            <w:tcW w:w="2409" w:type="dxa"/>
            <w:shd w:val="clear" w:color="auto" w:fill="C5E0B3" w:themeFill="accent6" w:themeFillTint="66"/>
          </w:tcPr>
          <w:p w14:paraId="0F99F21A" w14:textId="77777777" w:rsidR="00864BA5" w:rsidRPr="00AA4B8B" w:rsidRDefault="00864BA5" w:rsidP="00864BA5">
            <w:pPr>
              <w:jc w:val="right"/>
              <w:rPr>
                <w:b/>
              </w:rPr>
            </w:pPr>
          </w:p>
        </w:tc>
        <w:tc>
          <w:tcPr>
            <w:tcW w:w="1985" w:type="dxa"/>
            <w:shd w:val="clear" w:color="auto" w:fill="C5E0B3" w:themeFill="accent6" w:themeFillTint="66"/>
          </w:tcPr>
          <w:p w14:paraId="1FE98B3E" w14:textId="77777777" w:rsidR="00864BA5" w:rsidRPr="00AA4B8B" w:rsidRDefault="00864BA5" w:rsidP="00864BA5">
            <w:pPr>
              <w:ind w:right="92"/>
              <w:jc w:val="right"/>
              <w:rPr>
                <w:b/>
              </w:rPr>
            </w:pPr>
          </w:p>
        </w:tc>
      </w:tr>
      <w:tr w:rsidR="00864BA5" w:rsidRPr="000127EF" w14:paraId="559D5AE2" w14:textId="77777777" w:rsidTr="00403EEE">
        <w:tc>
          <w:tcPr>
            <w:tcW w:w="1951" w:type="dxa"/>
            <w:tcBorders>
              <w:top w:val="single" w:sz="8" w:space="0" w:color="auto"/>
            </w:tcBorders>
          </w:tcPr>
          <w:p w14:paraId="64707E08" w14:textId="30455E3A" w:rsidR="00864BA5" w:rsidRPr="000127EF" w:rsidRDefault="00864BA5" w:rsidP="00864BA5">
            <w:pPr>
              <w:ind w:right="92"/>
              <w:jc w:val="right"/>
              <w:rPr>
                <w:b/>
                <w:i/>
              </w:rPr>
            </w:pPr>
            <w:r w:rsidRPr="000127EF">
              <w:rPr>
                <w:b/>
              </w:rPr>
              <w:fldChar w:fldCharType="begin"/>
            </w:r>
            <w:r w:rsidRPr="000127EF">
              <w:rPr>
                <w:b/>
              </w:rPr>
              <w:instrText xml:space="preserve"> =SUM(E14:E15) </w:instrText>
            </w:r>
            <w:r w:rsidRPr="000127EF">
              <w:rPr>
                <w:b/>
              </w:rPr>
              <w:fldChar w:fldCharType="separate"/>
            </w:r>
            <w:r w:rsidRPr="000127EF">
              <w:rPr>
                <w:b/>
                <w:noProof/>
              </w:rPr>
              <w:t>(8,964)</w:t>
            </w:r>
            <w:r w:rsidRPr="000127EF">
              <w:rPr>
                <w:b/>
              </w:rPr>
              <w:fldChar w:fldCharType="end"/>
            </w:r>
          </w:p>
        </w:tc>
        <w:tc>
          <w:tcPr>
            <w:tcW w:w="2409" w:type="dxa"/>
            <w:tcBorders>
              <w:top w:val="nil"/>
              <w:bottom w:val="nil"/>
            </w:tcBorders>
          </w:tcPr>
          <w:p w14:paraId="4A9FF0B7" w14:textId="77777777" w:rsidR="00864BA5" w:rsidRPr="000127EF" w:rsidRDefault="00864BA5" w:rsidP="00864BA5">
            <w:pPr>
              <w:jc w:val="right"/>
              <w:rPr>
                <w:b/>
                <w:i/>
              </w:rPr>
            </w:pPr>
          </w:p>
        </w:tc>
        <w:tc>
          <w:tcPr>
            <w:tcW w:w="1560" w:type="dxa"/>
            <w:tcBorders>
              <w:top w:val="nil"/>
              <w:bottom w:val="nil"/>
            </w:tcBorders>
          </w:tcPr>
          <w:p w14:paraId="74E28753" w14:textId="77777777" w:rsidR="00864BA5" w:rsidRPr="000127EF" w:rsidRDefault="00864BA5" w:rsidP="00864BA5">
            <w:pPr>
              <w:ind w:right="92"/>
              <w:jc w:val="right"/>
              <w:rPr>
                <w:b/>
                <w:i/>
              </w:rPr>
            </w:pPr>
          </w:p>
        </w:tc>
        <w:tc>
          <w:tcPr>
            <w:tcW w:w="3843" w:type="dxa"/>
          </w:tcPr>
          <w:p w14:paraId="316E7C1B" w14:textId="77777777" w:rsidR="00864BA5" w:rsidRPr="000127EF" w:rsidRDefault="00864BA5" w:rsidP="00864BA5">
            <w:pPr>
              <w:rPr>
                <w:b/>
              </w:rPr>
            </w:pPr>
            <w:r w:rsidRPr="000127EF">
              <w:rPr>
                <w:b/>
              </w:rPr>
              <w:t>Closing General Fund Balance</w:t>
            </w:r>
          </w:p>
        </w:tc>
        <w:tc>
          <w:tcPr>
            <w:tcW w:w="2111" w:type="dxa"/>
            <w:tcBorders>
              <w:top w:val="single" w:sz="8" w:space="0" w:color="auto"/>
              <w:bottom w:val="single" w:sz="8" w:space="0" w:color="auto"/>
            </w:tcBorders>
            <w:shd w:val="clear" w:color="auto" w:fill="C5E0B3" w:themeFill="accent6" w:themeFillTint="66"/>
          </w:tcPr>
          <w:p w14:paraId="769BE282" w14:textId="434556AD" w:rsidR="00864BA5" w:rsidRPr="00AA4B8B" w:rsidRDefault="00CA300D" w:rsidP="00286E89">
            <w:pPr>
              <w:ind w:right="92"/>
              <w:jc w:val="right"/>
              <w:rPr>
                <w:b/>
              </w:rPr>
            </w:pPr>
            <w:r>
              <w:rPr>
                <w:b/>
              </w:rPr>
              <w:t>(9,</w:t>
            </w:r>
            <w:r w:rsidR="00286E89">
              <w:rPr>
                <w:b/>
              </w:rPr>
              <w:t>27</w:t>
            </w:r>
            <w:r w:rsidR="00AA4B8B" w:rsidRPr="00AA4B8B">
              <w:rPr>
                <w:b/>
              </w:rPr>
              <w:t>7)</w:t>
            </w:r>
          </w:p>
        </w:tc>
        <w:tc>
          <w:tcPr>
            <w:tcW w:w="2409" w:type="dxa"/>
            <w:shd w:val="clear" w:color="auto" w:fill="C5E0B3" w:themeFill="accent6" w:themeFillTint="66"/>
          </w:tcPr>
          <w:p w14:paraId="554D9919" w14:textId="77777777" w:rsidR="00864BA5" w:rsidRPr="00AA4B8B" w:rsidRDefault="00864BA5" w:rsidP="00864BA5">
            <w:pPr>
              <w:jc w:val="right"/>
              <w:rPr>
                <w:b/>
              </w:rPr>
            </w:pPr>
          </w:p>
        </w:tc>
        <w:tc>
          <w:tcPr>
            <w:tcW w:w="1985" w:type="dxa"/>
            <w:shd w:val="clear" w:color="auto" w:fill="C5E0B3" w:themeFill="accent6" w:themeFillTint="66"/>
          </w:tcPr>
          <w:p w14:paraId="1CF7484C" w14:textId="77777777" w:rsidR="00864BA5" w:rsidRPr="00AA4B8B" w:rsidRDefault="00864BA5" w:rsidP="00864BA5">
            <w:pPr>
              <w:ind w:right="92"/>
              <w:jc w:val="right"/>
              <w:rPr>
                <w:b/>
              </w:rPr>
            </w:pPr>
          </w:p>
        </w:tc>
      </w:tr>
      <w:tr w:rsidR="007E28E3" w:rsidRPr="000127EF" w14:paraId="6114BF7E" w14:textId="77777777" w:rsidTr="008D5C33">
        <w:trPr>
          <w:trHeight w:val="60"/>
        </w:trPr>
        <w:tc>
          <w:tcPr>
            <w:tcW w:w="1951" w:type="dxa"/>
            <w:tcBorders>
              <w:top w:val="single" w:sz="8" w:space="0" w:color="auto"/>
            </w:tcBorders>
          </w:tcPr>
          <w:p w14:paraId="10B470B0" w14:textId="77777777" w:rsidR="007E28E3" w:rsidRPr="000127EF" w:rsidRDefault="007E28E3" w:rsidP="007E28E3">
            <w:pPr>
              <w:ind w:right="92"/>
              <w:jc w:val="right"/>
              <w:rPr>
                <w:b/>
                <w:i/>
              </w:rPr>
            </w:pPr>
          </w:p>
        </w:tc>
        <w:tc>
          <w:tcPr>
            <w:tcW w:w="2409" w:type="dxa"/>
            <w:tcBorders>
              <w:top w:val="nil"/>
            </w:tcBorders>
          </w:tcPr>
          <w:p w14:paraId="7553C895" w14:textId="77777777" w:rsidR="007E28E3" w:rsidRPr="000127EF" w:rsidRDefault="007E28E3" w:rsidP="007E28E3">
            <w:pPr>
              <w:jc w:val="right"/>
              <w:rPr>
                <w:b/>
                <w:i/>
              </w:rPr>
            </w:pPr>
          </w:p>
        </w:tc>
        <w:tc>
          <w:tcPr>
            <w:tcW w:w="1560" w:type="dxa"/>
            <w:tcBorders>
              <w:top w:val="nil"/>
            </w:tcBorders>
          </w:tcPr>
          <w:p w14:paraId="2A42E242" w14:textId="77777777" w:rsidR="007E28E3" w:rsidRPr="000127EF" w:rsidRDefault="007E28E3" w:rsidP="007E28E3">
            <w:pPr>
              <w:ind w:right="92"/>
              <w:jc w:val="right"/>
              <w:rPr>
                <w:b/>
                <w:i/>
              </w:rPr>
            </w:pPr>
          </w:p>
        </w:tc>
        <w:tc>
          <w:tcPr>
            <w:tcW w:w="3843" w:type="dxa"/>
          </w:tcPr>
          <w:p w14:paraId="62EEC7A1" w14:textId="77777777" w:rsidR="007E28E3" w:rsidRPr="000127EF" w:rsidRDefault="007E28E3" w:rsidP="007E28E3">
            <w:pPr>
              <w:rPr>
                <w:b/>
              </w:rPr>
            </w:pPr>
          </w:p>
        </w:tc>
        <w:tc>
          <w:tcPr>
            <w:tcW w:w="2111" w:type="dxa"/>
            <w:tcBorders>
              <w:top w:val="single" w:sz="8" w:space="0" w:color="auto"/>
            </w:tcBorders>
          </w:tcPr>
          <w:p w14:paraId="7D6D5A87" w14:textId="77777777" w:rsidR="007E28E3" w:rsidRPr="000127EF" w:rsidRDefault="007E28E3" w:rsidP="007E28E3">
            <w:pPr>
              <w:ind w:right="92"/>
              <w:jc w:val="right"/>
              <w:rPr>
                <w:b/>
              </w:rPr>
            </w:pPr>
          </w:p>
        </w:tc>
        <w:tc>
          <w:tcPr>
            <w:tcW w:w="2409" w:type="dxa"/>
          </w:tcPr>
          <w:p w14:paraId="6736F496" w14:textId="77777777" w:rsidR="007E28E3" w:rsidRPr="000127EF" w:rsidRDefault="007E28E3" w:rsidP="007E28E3">
            <w:pPr>
              <w:jc w:val="right"/>
              <w:rPr>
                <w:b/>
              </w:rPr>
            </w:pPr>
          </w:p>
        </w:tc>
        <w:tc>
          <w:tcPr>
            <w:tcW w:w="1985" w:type="dxa"/>
            <w:shd w:val="clear" w:color="auto" w:fill="auto"/>
          </w:tcPr>
          <w:p w14:paraId="42520EF6" w14:textId="77777777" w:rsidR="007E28E3" w:rsidRPr="000127EF" w:rsidRDefault="007E28E3" w:rsidP="007E28E3">
            <w:pPr>
              <w:ind w:right="92"/>
              <w:jc w:val="right"/>
              <w:rPr>
                <w:b/>
              </w:rPr>
            </w:pPr>
          </w:p>
        </w:tc>
      </w:tr>
      <w:tr w:rsidR="007E28E3" w:rsidRPr="000127EF" w14:paraId="7215CBA4" w14:textId="77777777" w:rsidTr="001C0223">
        <w:trPr>
          <w:trHeight w:val="87"/>
        </w:trPr>
        <w:tc>
          <w:tcPr>
            <w:tcW w:w="1951" w:type="dxa"/>
            <w:tcBorders>
              <w:bottom w:val="single" w:sz="18" w:space="0" w:color="A8D08D" w:themeColor="accent6" w:themeTint="99"/>
            </w:tcBorders>
          </w:tcPr>
          <w:p w14:paraId="74033397" w14:textId="77777777" w:rsidR="007E28E3" w:rsidRPr="000127EF" w:rsidRDefault="007E28E3" w:rsidP="007E28E3">
            <w:pPr>
              <w:ind w:right="176"/>
              <w:jc w:val="right"/>
              <w:rPr>
                <w:i/>
                <w:sz w:val="10"/>
                <w:szCs w:val="10"/>
              </w:rPr>
            </w:pPr>
          </w:p>
        </w:tc>
        <w:tc>
          <w:tcPr>
            <w:tcW w:w="2409" w:type="dxa"/>
            <w:tcBorders>
              <w:bottom w:val="single" w:sz="18" w:space="0" w:color="A8D08D" w:themeColor="accent6" w:themeTint="99"/>
            </w:tcBorders>
          </w:tcPr>
          <w:p w14:paraId="39DF1A7F" w14:textId="77777777" w:rsidR="007E28E3" w:rsidRPr="000127EF" w:rsidRDefault="007E28E3" w:rsidP="007E28E3">
            <w:pPr>
              <w:ind w:right="176"/>
              <w:jc w:val="right"/>
              <w:rPr>
                <w:i/>
                <w:sz w:val="10"/>
                <w:szCs w:val="10"/>
              </w:rPr>
            </w:pPr>
          </w:p>
        </w:tc>
        <w:tc>
          <w:tcPr>
            <w:tcW w:w="1560" w:type="dxa"/>
            <w:tcBorders>
              <w:bottom w:val="single" w:sz="18" w:space="0" w:color="A8D08D" w:themeColor="accent6" w:themeTint="99"/>
            </w:tcBorders>
          </w:tcPr>
          <w:p w14:paraId="3F0850AE" w14:textId="77777777" w:rsidR="007E28E3" w:rsidRPr="000127EF" w:rsidRDefault="007E28E3" w:rsidP="007E28E3">
            <w:pPr>
              <w:jc w:val="right"/>
              <w:rPr>
                <w:i/>
                <w:sz w:val="10"/>
                <w:szCs w:val="10"/>
              </w:rPr>
            </w:pPr>
          </w:p>
        </w:tc>
        <w:tc>
          <w:tcPr>
            <w:tcW w:w="3843" w:type="dxa"/>
            <w:tcBorders>
              <w:bottom w:val="single" w:sz="18" w:space="0" w:color="A8D08D" w:themeColor="accent6" w:themeTint="99"/>
            </w:tcBorders>
          </w:tcPr>
          <w:p w14:paraId="3D0BF52F" w14:textId="77777777" w:rsidR="007E28E3" w:rsidRPr="000127EF" w:rsidRDefault="007E28E3" w:rsidP="007E28E3">
            <w:pPr>
              <w:rPr>
                <w:sz w:val="10"/>
                <w:szCs w:val="10"/>
              </w:rPr>
            </w:pPr>
          </w:p>
        </w:tc>
        <w:tc>
          <w:tcPr>
            <w:tcW w:w="2111" w:type="dxa"/>
            <w:tcBorders>
              <w:bottom w:val="single" w:sz="18" w:space="0" w:color="A8D08D" w:themeColor="accent6" w:themeTint="99"/>
            </w:tcBorders>
          </w:tcPr>
          <w:p w14:paraId="0EC9DAFA" w14:textId="77777777" w:rsidR="007E28E3" w:rsidRPr="000127EF" w:rsidRDefault="007E28E3" w:rsidP="007E28E3">
            <w:pPr>
              <w:rPr>
                <w:sz w:val="10"/>
                <w:szCs w:val="10"/>
              </w:rPr>
            </w:pPr>
          </w:p>
        </w:tc>
        <w:tc>
          <w:tcPr>
            <w:tcW w:w="2409" w:type="dxa"/>
            <w:tcBorders>
              <w:bottom w:val="single" w:sz="18" w:space="0" w:color="A8D08D" w:themeColor="accent6" w:themeTint="99"/>
            </w:tcBorders>
          </w:tcPr>
          <w:p w14:paraId="70E2668F" w14:textId="77777777" w:rsidR="007E28E3" w:rsidRPr="000127EF" w:rsidRDefault="007E28E3" w:rsidP="007E28E3">
            <w:pPr>
              <w:rPr>
                <w:sz w:val="10"/>
                <w:szCs w:val="10"/>
              </w:rPr>
            </w:pPr>
          </w:p>
        </w:tc>
        <w:tc>
          <w:tcPr>
            <w:tcW w:w="1985" w:type="dxa"/>
            <w:tcBorders>
              <w:bottom w:val="single" w:sz="18" w:space="0" w:color="A8D08D" w:themeColor="accent6" w:themeTint="99"/>
            </w:tcBorders>
            <w:shd w:val="clear" w:color="auto" w:fill="auto"/>
          </w:tcPr>
          <w:p w14:paraId="38856F90" w14:textId="77777777" w:rsidR="007E28E3" w:rsidRPr="000127EF" w:rsidRDefault="007E28E3" w:rsidP="007E28E3">
            <w:pPr>
              <w:rPr>
                <w:sz w:val="10"/>
                <w:szCs w:val="10"/>
              </w:rPr>
            </w:pPr>
          </w:p>
        </w:tc>
      </w:tr>
    </w:tbl>
    <w:p w14:paraId="493234BC" w14:textId="77777777" w:rsidR="0080134D" w:rsidRPr="000127EF" w:rsidRDefault="0080134D" w:rsidP="00B93473">
      <w:pPr>
        <w:spacing w:before="120"/>
        <w:jc w:val="both"/>
      </w:pPr>
    </w:p>
    <w:p w14:paraId="261DE857" w14:textId="77777777" w:rsidR="004E20AD" w:rsidRPr="000127EF" w:rsidRDefault="004E20AD" w:rsidP="00B93473">
      <w:pPr>
        <w:spacing w:before="120"/>
        <w:jc w:val="both"/>
      </w:pPr>
    </w:p>
    <w:p w14:paraId="6467157D" w14:textId="77777777" w:rsidR="004E20AD" w:rsidRPr="000127EF" w:rsidRDefault="004E20AD" w:rsidP="00B93473">
      <w:pPr>
        <w:spacing w:before="120"/>
        <w:jc w:val="both"/>
      </w:pPr>
    </w:p>
    <w:tbl>
      <w:tblPr>
        <w:tblStyle w:val="TableGrid"/>
        <w:tblW w:w="15970"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ayout w:type="fixed"/>
        <w:tblLook w:val="04A0" w:firstRow="1" w:lastRow="0" w:firstColumn="1" w:lastColumn="0" w:noHBand="0" w:noVBand="1"/>
      </w:tblPr>
      <w:tblGrid>
        <w:gridCol w:w="1695"/>
        <w:gridCol w:w="1701"/>
        <w:gridCol w:w="1502"/>
        <w:gridCol w:w="1560"/>
        <w:gridCol w:w="3118"/>
        <w:gridCol w:w="1560"/>
        <w:gridCol w:w="1618"/>
        <w:gridCol w:w="1515"/>
        <w:gridCol w:w="1701"/>
      </w:tblGrid>
      <w:tr w:rsidR="00756C1C" w:rsidRPr="000127EF" w14:paraId="313851F5" w14:textId="77777777" w:rsidTr="001A3CBA">
        <w:trPr>
          <w:jc w:val="center"/>
        </w:trPr>
        <w:tc>
          <w:tcPr>
            <w:tcW w:w="6458" w:type="dxa"/>
            <w:gridSpan w:val="4"/>
            <w:tcBorders>
              <w:top w:val="single" w:sz="18" w:space="0" w:color="A8D08D" w:themeColor="accent6" w:themeTint="99"/>
            </w:tcBorders>
          </w:tcPr>
          <w:p w14:paraId="61B04BFA" w14:textId="596069FA" w:rsidR="00756C1C" w:rsidRPr="000127EF" w:rsidRDefault="00864BA5" w:rsidP="00756C1C">
            <w:pPr>
              <w:jc w:val="center"/>
              <w:rPr>
                <w:b/>
                <w:i/>
              </w:rPr>
            </w:pPr>
            <w:r>
              <w:rPr>
                <w:b/>
                <w:i/>
              </w:rPr>
              <w:t>2018/19</w:t>
            </w:r>
          </w:p>
        </w:tc>
        <w:tc>
          <w:tcPr>
            <w:tcW w:w="3118" w:type="dxa"/>
            <w:tcBorders>
              <w:top w:val="single" w:sz="18" w:space="0" w:color="A8D08D" w:themeColor="accent6" w:themeTint="99"/>
            </w:tcBorders>
          </w:tcPr>
          <w:p w14:paraId="435FA16B" w14:textId="77777777" w:rsidR="00756C1C" w:rsidRPr="000127EF" w:rsidRDefault="00756C1C" w:rsidP="0080134D"/>
        </w:tc>
        <w:tc>
          <w:tcPr>
            <w:tcW w:w="6394" w:type="dxa"/>
            <w:gridSpan w:val="4"/>
            <w:tcBorders>
              <w:top w:val="single" w:sz="18" w:space="0" w:color="A8D08D" w:themeColor="accent6" w:themeTint="99"/>
            </w:tcBorders>
          </w:tcPr>
          <w:p w14:paraId="46C0596B" w14:textId="298F7783" w:rsidR="00756C1C" w:rsidRPr="00EC7C8A" w:rsidRDefault="00864BA5" w:rsidP="0080134D">
            <w:pPr>
              <w:jc w:val="center"/>
              <w:rPr>
                <w:b/>
              </w:rPr>
            </w:pPr>
            <w:r w:rsidRPr="00EC7C8A">
              <w:rPr>
                <w:b/>
              </w:rPr>
              <w:t>2019/20</w:t>
            </w:r>
          </w:p>
          <w:p w14:paraId="5C3325A7" w14:textId="77777777" w:rsidR="009B4536" w:rsidRPr="00EC7C8A" w:rsidRDefault="009B4536" w:rsidP="0080134D">
            <w:pPr>
              <w:jc w:val="center"/>
              <w:rPr>
                <w:b/>
              </w:rPr>
            </w:pPr>
          </w:p>
        </w:tc>
      </w:tr>
      <w:tr w:rsidR="0044187B" w:rsidRPr="000127EF" w14:paraId="36A8B581" w14:textId="77777777" w:rsidTr="001A3CBA">
        <w:trPr>
          <w:jc w:val="center"/>
        </w:trPr>
        <w:tc>
          <w:tcPr>
            <w:tcW w:w="1695" w:type="dxa"/>
          </w:tcPr>
          <w:p w14:paraId="58ACF91F" w14:textId="77777777" w:rsidR="0044187B" w:rsidRPr="000127EF" w:rsidRDefault="0044187B" w:rsidP="0080134D">
            <w:pPr>
              <w:jc w:val="center"/>
              <w:rPr>
                <w:b/>
                <w:i/>
              </w:rPr>
            </w:pPr>
            <w:r w:rsidRPr="000127EF">
              <w:rPr>
                <w:b/>
                <w:i/>
              </w:rPr>
              <w:t>Adjustments for Capital Purposes</w:t>
            </w:r>
          </w:p>
        </w:tc>
        <w:tc>
          <w:tcPr>
            <w:tcW w:w="1701" w:type="dxa"/>
          </w:tcPr>
          <w:p w14:paraId="7EDE0149" w14:textId="77777777" w:rsidR="0044187B" w:rsidRPr="000127EF" w:rsidRDefault="0044187B" w:rsidP="0080134D">
            <w:pPr>
              <w:jc w:val="center"/>
              <w:rPr>
                <w:b/>
                <w:i/>
              </w:rPr>
            </w:pPr>
            <w:r w:rsidRPr="000127EF">
              <w:rPr>
                <w:b/>
                <w:i/>
              </w:rPr>
              <w:t>Net Change for Pension Adjustments</w:t>
            </w:r>
          </w:p>
        </w:tc>
        <w:tc>
          <w:tcPr>
            <w:tcW w:w="1502" w:type="dxa"/>
          </w:tcPr>
          <w:p w14:paraId="25E4445C" w14:textId="77777777" w:rsidR="0044187B" w:rsidRPr="000127EF" w:rsidRDefault="0044187B" w:rsidP="0080134D">
            <w:pPr>
              <w:jc w:val="center"/>
              <w:rPr>
                <w:b/>
                <w:i/>
              </w:rPr>
            </w:pPr>
            <w:r w:rsidRPr="000127EF">
              <w:rPr>
                <w:b/>
                <w:i/>
              </w:rPr>
              <w:t>Other Differences</w:t>
            </w:r>
          </w:p>
        </w:tc>
        <w:tc>
          <w:tcPr>
            <w:tcW w:w="1560" w:type="dxa"/>
          </w:tcPr>
          <w:p w14:paraId="411F3432" w14:textId="77777777" w:rsidR="0044187B" w:rsidRPr="000127EF" w:rsidRDefault="0044187B" w:rsidP="0080134D">
            <w:pPr>
              <w:jc w:val="center"/>
              <w:rPr>
                <w:b/>
                <w:i/>
              </w:rPr>
            </w:pPr>
            <w:r w:rsidRPr="000127EF">
              <w:rPr>
                <w:b/>
                <w:i/>
              </w:rPr>
              <w:t>Total Adjustments</w:t>
            </w:r>
          </w:p>
        </w:tc>
        <w:tc>
          <w:tcPr>
            <w:tcW w:w="3118" w:type="dxa"/>
            <w:vAlign w:val="center"/>
          </w:tcPr>
          <w:p w14:paraId="65223389" w14:textId="77777777" w:rsidR="0044187B" w:rsidRPr="000127EF" w:rsidRDefault="0044187B" w:rsidP="0080134D">
            <w:pPr>
              <w:jc w:val="center"/>
              <w:rPr>
                <w:b/>
              </w:rPr>
            </w:pPr>
            <w:r w:rsidRPr="000127EF">
              <w:rPr>
                <w:b/>
              </w:rPr>
              <w:t>Adjustments from General to arrive at the CIES Amounts</w:t>
            </w:r>
          </w:p>
        </w:tc>
        <w:tc>
          <w:tcPr>
            <w:tcW w:w="1560" w:type="dxa"/>
          </w:tcPr>
          <w:p w14:paraId="6C1FF2A6" w14:textId="77777777" w:rsidR="0044187B" w:rsidRPr="00EC7C8A" w:rsidRDefault="0044187B" w:rsidP="0080134D">
            <w:pPr>
              <w:jc w:val="center"/>
              <w:rPr>
                <w:b/>
              </w:rPr>
            </w:pPr>
            <w:r w:rsidRPr="00EC7C8A">
              <w:rPr>
                <w:b/>
              </w:rPr>
              <w:t>Adjustments for Capital Purposes</w:t>
            </w:r>
          </w:p>
        </w:tc>
        <w:tc>
          <w:tcPr>
            <w:tcW w:w="1618" w:type="dxa"/>
          </w:tcPr>
          <w:p w14:paraId="20ACA904" w14:textId="77777777" w:rsidR="0044187B" w:rsidRPr="00EC7C8A" w:rsidRDefault="0044187B" w:rsidP="0080134D">
            <w:pPr>
              <w:jc w:val="center"/>
              <w:rPr>
                <w:b/>
              </w:rPr>
            </w:pPr>
            <w:r w:rsidRPr="00EC7C8A">
              <w:rPr>
                <w:b/>
              </w:rPr>
              <w:t>Net Change for Pension Adjustments</w:t>
            </w:r>
          </w:p>
        </w:tc>
        <w:tc>
          <w:tcPr>
            <w:tcW w:w="1515" w:type="dxa"/>
          </w:tcPr>
          <w:p w14:paraId="1ADCC8B6" w14:textId="77777777" w:rsidR="0044187B" w:rsidRPr="00EC7C8A" w:rsidRDefault="0044187B" w:rsidP="0080134D">
            <w:pPr>
              <w:jc w:val="center"/>
              <w:rPr>
                <w:b/>
              </w:rPr>
            </w:pPr>
            <w:r w:rsidRPr="00EC7C8A">
              <w:rPr>
                <w:b/>
              </w:rPr>
              <w:t>Other Differences</w:t>
            </w:r>
          </w:p>
        </w:tc>
        <w:tc>
          <w:tcPr>
            <w:tcW w:w="1701" w:type="dxa"/>
          </w:tcPr>
          <w:p w14:paraId="230CA1D2" w14:textId="77777777" w:rsidR="0044187B" w:rsidRPr="00EC7C8A" w:rsidRDefault="0044187B" w:rsidP="0080134D">
            <w:pPr>
              <w:jc w:val="center"/>
              <w:rPr>
                <w:b/>
              </w:rPr>
            </w:pPr>
            <w:r w:rsidRPr="00EC7C8A">
              <w:rPr>
                <w:b/>
              </w:rPr>
              <w:t>Total Adjustments</w:t>
            </w:r>
          </w:p>
        </w:tc>
      </w:tr>
      <w:tr w:rsidR="0044187B" w:rsidRPr="000127EF" w14:paraId="47E841A5" w14:textId="77777777" w:rsidTr="001A3CBA">
        <w:trPr>
          <w:jc w:val="center"/>
        </w:trPr>
        <w:tc>
          <w:tcPr>
            <w:tcW w:w="1695" w:type="dxa"/>
          </w:tcPr>
          <w:p w14:paraId="0147E2E5" w14:textId="77777777" w:rsidR="0044187B" w:rsidRPr="000127EF" w:rsidRDefault="0044187B" w:rsidP="0044187B">
            <w:pPr>
              <w:jc w:val="center"/>
              <w:rPr>
                <w:b/>
                <w:i/>
              </w:rPr>
            </w:pPr>
            <w:r w:rsidRPr="000127EF">
              <w:rPr>
                <w:b/>
                <w:i/>
              </w:rPr>
              <w:t>£000</w:t>
            </w:r>
          </w:p>
        </w:tc>
        <w:tc>
          <w:tcPr>
            <w:tcW w:w="1701" w:type="dxa"/>
          </w:tcPr>
          <w:p w14:paraId="3DD8142D" w14:textId="77777777" w:rsidR="0044187B" w:rsidRPr="000127EF" w:rsidRDefault="0044187B" w:rsidP="0044187B">
            <w:pPr>
              <w:jc w:val="center"/>
              <w:rPr>
                <w:b/>
                <w:i/>
              </w:rPr>
            </w:pPr>
            <w:r w:rsidRPr="000127EF">
              <w:rPr>
                <w:b/>
                <w:i/>
              </w:rPr>
              <w:t>£000</w:t>
            </w:r>
          </w:p>
        </w:tc>
        <w:tc>
          <w:tcPr>
            <w:tcW w:w="1502" w:type="dxa"/>
          </w:tcPr>
          <w:p w14:paraId="258AE9E7" w14:textId="77777777" w:rsidR="0044187B" w:rsidRPr="000127EF" w:rsidRDefault="0044187B" w:rsidP="0044187B">
            <w:pPr>
              <w:jc w:val="center"/>
              <w:rPr>
                <w:b/>
                <w:i/>
              </w:rPr>
            </w:pPr>
            <w:r w:rsidRPr="000127EF">
              <w:rPr>
                <w:b/>
                <w:i/>
              </w:rPr>
              <w:t>£000</w:t>
            </w:r>
          </w:p>
        </w:tc>
        <w:tc>
          <w:tcPr>
            <w:tcW w:w="1560" w:type="dxa"/>
          </w:tcPr>
          <w:p w14:paraId="5D3C02E8" w14:textId="77777777" w:rsidR="0044187B" w:rsidRPr="000127EF" w:rsidRDefault="0044187B" w:rsidP="0044187B">
            <w:pPr>
              <w:jc w:val="center"/>
              <w:rPr>
                <w:b/>
                <w:i/>
              </w:rPr>
            </w:pPr>
            <w:r w:rsidRPr="000127EF">
              <w:rPr>
                <w:b/>
                <w:i/>
              </w:rPr>
              <w:t>£000</w:t>
            </w:r>
          </w:p>
        </w:tc>
        <w:tc>
          <w:tcPr>
            <w:tcW w:w="3118" w:type="dxa"/>
          </w:tcPr>
          <w:p w14:paraId="62485CC4" w14:textId="77777777" w:rsidR="0044187B" w:rsidRPr="000127EF" w:rsidRDefault="0044187B" w:rsidP="0044187B">
            <w:pPr>
              <w:jc w:val="center"/>
            </w:pPr>
          </w:p>
        </w:tc>
        <w:tc>
          <w:tcPr>
            <w:tcW w:w="1560" w:type="dxa"/>
          </w:tcPr>
          <w:p w14:paraId="0D1BA6EB" w14:textId="77777777" w:rsidR="0044187B" w:rsidRPr="00EC7C8A" w:rsidRDefault="0044187B" w:rsidP="0044187B">
            <w:pPr>
              <w:jc w:val="center"/>
              <w:rPr>
                <w:b/>
              </w:rPr>
            </w:pPr>
            <w:r w:rsidRPr="00EC7C8A">
              <w:rPr>
                <w:b/>
              </w:rPr>
              <w:t>£000</w:t>
            </w:r>
          </w:p>
        </w:tc>
        <w:tc>
          <w:tcPr>
            <w:tcW w:w="1618" w:type="dxa"/>
          </w:tcPr>
          <w:p w14:paraId="78DF456F" w14:textId="77777777" w:rsidR="0044187B" w:rsidRPr="00EC7C8A" w:rsidRDefault="0044187B" w:rsidP="0044187B">
            <w:pPr>
              <w:jc w:val="center"/>
              <w:rPr>
                <w:b/>
              </w:rPr>
            </w:pPr>
            <w:r w:rsidRPr="00EC7C8A">
              <w:rPr>
                <w:b/>
              </w:rPr>
              <w:t>£000</w:t>
            </w:r>
          </w:p>
        </w:tc>
        <w:tc>
          <w:tcPr>
            <w:tcW w:w="1515" w:type="dxa"/>
          </w:tcPr>
          <w:p w14:paraId="287798C7" w14:textId="77777777" w:rsidR="0044187B" w:rsidRPr="00EC7C8A" w:rsidRDefault="0044187B" w:rsidP="0044187B">
            <w:pPr>
              <w:jc w:val="center"/>
              <w:rPr>
                <w:b/>
              </w:rPr>
            </w:pPr>
            <w:r w:rsidRPr="00EC7C8A">
              <w:rPr>
                <w:b/>
              </w:rPr>
              <w:t>£000</w:t>
            </w:r>
          </w:p>
        </w:tc>
        <w:tc>
          <w:tcPr>
            <w:tcW w:w="1701" w:type="dxa"/>
            <w:shd w:val="clear" w:color="auto" w:fill="C5E0B3" w:themeFill="accent6" w:themeFillTint="66"/>
          </w:tcPr>
          <w:p w14:paraId="0F2CE20A" w14:textId="77777777" w:rsidR="0044187B" w:rsidRPr="00EC7C8A" w:rsidRDefault="0044187B" w:rsidP="0044187B">
            <w:pPr>
              <w:jc w:val="center"/>
              <w:rPr>
                <w:b/>
              </w:rPr>
            </w:pPr>
            <w:r w:rsidRPr="00EC7C8A">
              <w:rPr>
                <w:b/>
              </w:rPr>
              <w:t>£000</w:t>
            </w:r>
          </w:p>
        </w:tc>
      </w:tr>
      <w:tr w:rsidR="00864BA5" w:rsidRPr="000127EF" w14:paraId="36210D89" w14:textId="77777777" w:rsidTr="00E335D7">
        <w:trPr>
          <w:trHeight w:val="238"/>
          <w:jc w:val="center"/>
        </w:trPr>
        <w:tc>
          <w:tcPr>
            <w:tcW w:w="1695" w:type="dxa"/>
          </w:tcPr>
          <w:p w14:paraId="342B30A2" w14:textId="0DA02ADD" w:rsidR="00864BA5" w:rsidRPr="000127EF" w:rsidRDefault="00864BA5" w:rsidP="00864BA5">
            <w:pPr>
              <w:tabs>
                <w:tab w:val="left" w:pos="1452"/>
              </w:tabs>
              <w:ind w:right="92"/>
              <w:jc w:val="right"/>
              <w:rPr>
                <w:i/>
              </w:rPr>
            </w:pPr>
            <w:r w:rsidRPr="000127EF">
              <w:t>359</w:t>
            </w:r>
          </w:p>
        </w:tc>
        <w:tc>
          <w:tcPr>
            <w:tcW w:w="1701" w:type="dxa"/>
            <w:vAlign w:val="bottom"/>
          </w:tcPr>
          <w:p w14:paraId="77F57A95" w14:textId="107DE72B" w:rsidR="00864BA5" w:rsidRPr="000127EF" w:rsidRDefault="00864BA5" w:rsidP="00864BA5">
            <w:pPr>
              <w:tabs>
                <w:tab w:val="left" w:pos="1452"/>
              </w:tabs>
              <w:ind w:right="92"/>
              <w:jc w:val="right"/>
              <w:rPr>
                <w:i/>
              </w:rPr>
            </w:pPr>
            <w:r w:rsidRPr="000127EF">
              <w:t>686</w:t>
            </w:r>
          </w:p>
        </w:tc>
        <w:tc>
          <w:tcPr>
            <w:tcW w:w="1502" w:type="dxa"/>
            <w:vAlign w:val="bottom"/>
          </w:tcPr>
          <w:p w14:paraId="1F6CAE20" w14:textId="0A2D06A2" w:rsidR="00864BA5" w:rsidRPr="000127EF" w:rsidRDefault="00864BA5" w:rsidP="00864BA5">
            <w:pPr>
              <w:jc w:val="right"/>
              <w:rPr>
                <w:i/>
              </w:rPr>
            </w:pPr>
            <w:r w:rsidRPr="000127EF">
              <w:t>(2)</w:t>
            </w:r>
          </w:p>
        </w:tc>
        <w:tc>
          <w:tcPr>
            <w:tcW w:w="1560" w:type="dxa"/>
            <w:vAlign w:val="bottom"/>
          </w:tcPr>
          <w:p w14:paraId="2760CF2D" w14:textId="2B155D0D" w:rsidR="00864BA5" w:rsidRPr="000127EF" w:rsidRDefault="00864BA5" w:rsidP="00864BA5">
            <w:pPr>
              <w:ind w:right="92"/>
              <w:jc w:val="right"/>
              <w:rPr>
                <w:i/>
              </w:rPr>
            </w:pPr>
            <w:r w:rsidRPr="000127EF">
              <w:fldChar w:fldCharType="begin"/>
            </w:r>
            <w:r w:rsidRPr="000127EF">
              <w:instrText xml:space="preserve"> =SUM(Left) \# "#,##0;(#,##0)" </w:instrText>
            </w:r>
            <w:r w:rsidRPr="000127EF">
              <w:fldChar w:fldCharType="separate"/>
            </w:r>
            <w:r w:rsidRPr="000127EF">
              <w:rPr>
                <w:noProof/>
              </w:rPr>
              <w:t>1,043</w:t>
            </w:r>
            <w:r w:rsidRPr="000127EF">
              <w:fldChar w:fldCharType="end"/>
            </w:r>
          </w:p>
        </w:tc>
        <w:tc>
          <w:tcPr>
            <w:tcW w:w="3118" w:type="dxa"/>
          </w:tcPr>
          <w:p w14:paraId="47F8CB1D" w14:textId="77777777" w:rsidR="00864BA5" w:rsidRPr="000127EF" w:rsidRDefault="00864BA5" w:rsidP="00864BA5">
            <w:r w:rsidRPr="000127EF">
              <w:t>People</w:t>
            </w:r>
          </w:p>
        </w:tc>
        <w:tc>
          <w:tcPr>
            <w:tcW w:w="1560" w:type="dxa"/>
          </w:tcPr>
          <w:p w14:paraId="2E94E23D" w14:textId="426B9770" w:rsidR="00864BA5" w:rsidRPr="00EC7C8A" w:rsidRDefault="00E01440" w:rsidP="00864BA5">
            <w:pPr>
              <w:tabs>
                <w:tab w:val="left" w:pos="1452"/>
              </w:tabs>
              <w:ind w:right="92"/>
              <w:jc w:val="right"/>
            </w:pPr>
            <w:r>
              <w:t>(88)</w:t>
            </w:r>
          </w:p>
        </w:tc>
        <w:tc>
          <w:tcPr>
            <w:tcW w:w="1618" w:type="dxa"/>
            <w:vAlign w:val="bottom"/>
          </w:tcPr>
          <w:p w14:paraId="20B81BAC" w14:textId="022A5496" w:rsidR="00864BA5" w:rsidRPr="00EC7C8A" w:rsidRDefault="00E01440" w:rsidP="00864BA5">
            <w:pPr>
              <w:tabs>
                <w:tab w:val="left" w:pos="1452"/>
              </w:tabs>
              <w:ind w:right="92"/>
              <w:jc w:val="right"/>
            </w:pPr>
            <w:r>
              <w:t>1,006</w:t>
            </w:r>
          </w:p>
        </w:tc>
        <w:tc>
          <w:tcPr>
            <w:tcW w:w="1515" w:type="dxa"/>
            <w:vAlign w:val="bottom"/>
          </w:tcPr>
          <w:p w14:paraId="520A6356" w14:textId="54E00339" w:rsidR="00864BA5" w:rsidRPr="00EC7C8A" w:rsidRDefault="00E01440" w:rsidP="00864BA5">
            <w:pPr>
              <w:jc w:val="right"/>
            </w:pPr>
            <w:r>
              <w:t>242</w:t>
            </w:r>
          </w:p>
        </w:tc>
        <w:tc>
          <w:tcPr>
            <w:tcW w:w="1701" w:type="dxa"/>
            <w:shd w:val="clear" w:color="auto" w:fill="C5E0B3" w:themeFill="accent6" w:themeFillTint="66"/>
            <w:vAlign w:val="bottom"/>
          </w:tcPr>
          <w:p w14:paraId="7391A983" w14:textId="54F935EC" w:rsidR="00864BA5" w:rsidRPr="00EC7C8A" w:rsidRDefault="00E01440" w:rsidP="00864BA5">
            <w:pPr>
              <w:ind w:right="92"/>
              <w:jc w:val="right"/>
            </w:pPr>
            <w:r>
              <w:t>1,160</w:t>
            </w:r>
          </w:p>
        </w:tc>
      </w:tr>
      <w:tr w:rsidR="00864BA5" w:rsidRPr="000127EF" w14:paraId="7B12DC20" w14:textId="77777777" w:rsidTr="00E335D7">
        <w:trPr>
          <w:trHeight w:val="238"/>
          <w:jc w:val="center"/>
        </w:trPr>
        <w:tc>
          <w:tcPr>
            <w:tcW w:w="1695" w:type="dxa"/>
          </w:tcPr>
          <w:p w14:paraId="2D111FDB" w14:textId="1903C2FF" w:rsidR="00864BA5" w:rsidRPr="000127EF" w:rsidRDefault="00864BA5" w:rsidP="00864BA5">
            <w:pPr>
              <w:tabs>
                <w:tab w:val="left" w:pos="1452"/>
              </w:tabs>
              <w:ind w:right="92"/>
              <w:jc w:val="right"/>
              <w:rPr>
                <w:i/>
              </w:rPr>
            </w:pPr>
            <w:r w:rsidRPr="000127EF">
              <w:t>(413)</w:t>
            </w:r>
          </w:p>
        </w:tc>
        <w:tc>
          <w:tcPr>
            <w:tcW w:w="1701" w:type="dxa"/>
            <w:vAlign w:val="bottom"/>
          </w:tcPr>
          <w:p w14:paraId="04FFDB4B" w14:textId="32880912" w:rsidR="00864BA5" w:rsidRPr="000127EF" w:rsidRDefault="00864BA5" w:rsidP="00864BA5">
            <w:pPr>
              <w:tabs>
                <w:tab w:val="left" w:pos="1452"/>
              </w:tabs>
              <w:ind w:right="92"/>
              <w:jc w:val="right"/>
              <w:rPr>
                <w:i/>
              </w:rPr>
            </w:pPr>
            <w:r w:rsidRPr="000127EF">
              <w:t>321</w:t>
            </w:r>
          </w:p>
        </w:tc>
        <w:tc>
          <w:tcPr>
            <w:tcW w:w="1502" w:type="dxa"/>
            <w:vAlign w:val="bottom"/>
          </w:tcPr>
          <w:p w14:paraId="668C91B4" w14:textId="110E8723" w:rsidR="00864BA5" w:rsidRPr="000127EF" w:rsidRDefault="00864BA5" w:rsidP="00864BA5">
            <w:pPr>
              <w:jc w:val="right"/>
              <w:rPr>
                <w:i/>
              </w:rPr>
            </w:pPr>
            <w:r w:rsidRPr="000127EF">
              <w:t>(8)</w:t>
            </w:r>
          </w:p>
        </w:tc>
        <w:tc>
          <w:tcPr>
            <w:tcW w:w="1560" w:type="dxa"/>
            <w:vAlign w:val="bottom"/>
          </w:tcPr>
          <w:p w14:paraId="39BE8ED7" w14:textId="7391FBB5" w:rsidR="00864BA5" w:rsidRPr="000127EF" w:rsidRDefault="00864BA5" w:rsidP="00864BA5">
            <w:pPr>
              <w:ind w:right="92"/>
              <w:jc w:val="right"/>
              <w:rPr>
                <w:i/>
              </w:rPr>
            </w:pPr>
            <w:r w:rsidRPr="000127EF">
              <w:fldChar w:fldCharType="begin"/>
            </w:r>
            <w:r w:rsidRPr="000127EF">
              <w:instrText xml:space="preserve"> =SUM(F5:H5) \# "#,##0;(#,##0)" </w:instrText>
            </w:r>
            <w:r w:rsidRPr="000127EF">
              <w:fldChar w:fldCharType="separate"/>
            </w:r>
            <w:r w:rsidRPr="000127EF">
              <w:rPr>
                <w:noProof/>
              </w:rPr>
              <w:t>(100)</w:t>
            </w:r>
            <w:r w:rsidRPr="000127EF">
              <w:fldChar w:fldCharType="end"/>
            </w:r>
          </w:p>
        </w:tc>
        <w:tc>
          <w:tcPr>
            <w:tcW w:w="3118" w:type="dxa"/>
          </w:tcPr>
          <w:p w14:paraId="5E7AAFE3" w14:textId="77777777" w:rsidR="00864BA5" w:rsidRPr="000127EF" w:rsidRDefault="00864BA5" w:rsidP="00864BA5">
            <w:r w:rsidRPr="000127EF">
              <w:t>Places</w:t>
            </w:r>
          </w:p>
        </w:tc>
        <w:tc>
          <w:tcPr>
            <w:tcW w:w="1560" w:type="dxa"/>
          </w:tcPr>
          <w:p w14:paraId="23BA72E1" w14:textId="661D48B9" w:rsidR="00864BA5" w:rsidRPr="00EC7C8A" w:rsidRDefault="00E01440" w:rsidP="00864BA5">
            <w:pPr>
              <w:tabs>
                <w:tab w:val="left" w:pos="1452"/>
              </w:tabs>
              <w:ind w:right="92"/>
              <w:jc w:val="right"/>
            </w:pPr>
            <w:r>
              <w:t>224</w:t>
            </w:r>
          </w:p>
        </w:tc>
        <w:tc>
          <w:tcPr>
            <w:tcW w:w="1618" w:type="dxa"/>
            <w:vAlign w:val="bottom"/>
          </w:tcPr>
          <w:p w14:paraId="42D5EC4B" w14:textId="1E59B450" w:rsidR="00864BA5" w:rsidRPr="00EC7C8A" w:rsidRDefault="00E01440" w:rsidP="00864BA5">
            <w:pPr>
              <w:tabs>
                <w:tab w:val="left" w:pos="1452"/>
              </w:tabs>
              <w:ind w:right="92"/>
              <w:jc w:val="right"/>
            </w:pPr>
            <w:r>
              <w:t>485</w:t>
            </w:r>
          </w:p>
        </w:tc>
        <w:tc>
          <w:tcPr>
            <w:tcW w:w="1515" w:type="dxa"/>
            <w:vAlign w:val="bottom"/>
          </w:tcPr>
          <w:p w14:paraId="23D6C8D2" w14:textId="0BC5CA72" w:rsidR="00864BA5" w:rsidRPr="00EC7C8A" w:rsidRDefault="00E01440" w:rsidP="00864BA5">
            <w:pPr>
              <w:jc w:val="right"/>
            </w:pPr>
            <w:r>
              <w:t>11</w:t>
            </w:r>
          </w:p>
        </w:tc>
        <w:tc>
          <w:tcPr>
            <w:tcW w:w="1701" w:type="dxa"/>
            <w:shd w:val="clear" w:color="auto" w:fill="C5E0B3" w:themeFill="accent6" w:themeFillTint="66"/>
            <w:vAlign w:val="bottom"/>
          </w:tcPr>
          <w:p w14:paraId="01E2F663" w14:textId="6AB58203" w:rsidR="00864BA5" w:rsidRPr="00EC7C8A" w:rsidRDefault="00E01440" w:rsidP="00864BA5">
            <w:pPr>
              <w:ind w:right="92"/>
              <w:jc w:val="right"/>
            </w:pPr>
            <w:r>
              <w:t>720</w:t>
            </w:r>
          </w:p>
        </w:tc>
      </w:tr>
      <w:tr w:rsidR="00864BA5" w:rsidRPr="000127EF" w14:paraId="1696DF65" w14:textId="77777777" w:rsidTr="00E335D7">
        <w:trPr>
          <w:trHeight w:val="240"/>
          <w:jc w:val="center"/>
        </w:trPr>
        <w:tc>
          <w:tcPr>
            <w:tcW w:w="1695" w:type="dxa"/>
          </w:tcPr>
          <w:p w14:paraId="1D939F41" w14:textId="36CA5910" w:rsidR="00864BA5" w:rsidRPr="000127EF" w:rsidRDefault="00864BA5" w:rsidP="00864BA5">
            <w:pPr>
              <w:tabs>
                <w:tab w:val="left" w:pos="1452"/>
              </w:tabs>
              <w:ind w:right="92"/>
              <w:jc w:val="right"/>
              <w:rPr>
                <w:i/>
              </w:rPr>
            </w:pPr>
            <w:r w:rsidRPr="000127EF">
              <w:t>(11)</w:t>
            </w:r>
          </w:p>
        </w:tc>
        <w:tc>
          <w:tcPr>
            <w:tcW w:w="1701" w:type="dxa"/>
            <w:vAlign w:val="bottom"/>
          </w:tcPr>
          <w:p w14:paraId="4351531C" w14:textId="7F6B6132" w:rsidR="00864BA5" w:rsidRPr="000127EF" w:rsidRDefault="00864BA5" w:rsidP="00864BA5">
            <w:pPr>
              <w:tabs>
                <w:tab w:val="left" w:pos="1452"/>
              </w:tabs>
              <w:ind w:right="92"/>
              <w:jc w:val="right"/>
              <w:rPr>
                <w:i/>
              </w:rPr>
            </w:pPr>
            <w:r w:rsidRPr="000127EF">
              <w:t>302</w:t>
            </w:r>
          </w:p>
        </w:tc>
        <w:tc>
          <w:tcPr>
            <w:tcW w:w="1502" w:type="dxa"/>
            <w:vAlign w:val="bottom"/>
          </w:tcPr>
          <w:p w14:paraId="21EE327D" w14:textId="2AE55113" w:rsidR="00864BA5" w:rsidRPr="000127EF" w:rsidRDefault="00864BA5" w:rsidP="00864BA5">
            <w:pPr>
              <w:jc w:val="right"/>
              <w:rPr>
                <w:i/>
              </w:rPr>
            </w:pPr>
            <w:r w:rsidRPr="000127EF">
              <w:t>(62)</w:t>
            </w:r>
          </w:p>
        </w:tc>
        <w:tc>
          <w:tcPr>
            <w:tcW w:w="1560" w:type="dxa"/>
            <w:tcBorders>
              <w:bottom w:val="nil"/>
            </w:tcBorders>
          </w:tcPr>
          <w:p w14:paraId="4A13ACAB" w14:textId="2CF4BB47" w:rsidR="00864BA5" w:rsidRPr="000127EF" w:rsidRDefault="00864BA5" w:rsidP="00864BA5">
            <w:pPr>
              <w:ind w:right="92"/>
              <w:jc w:val="right"/>
              <w:rPr>
                <w:i/>
                <w:noProof/>
              </w:rPr>
            </w:pPr>
            <w:r w:rsidRPr="000127EF">
              <w:rPr>
                <w:noProof/>
              </w:rPr>
              <w:fldChar w:fldCharType="begin"/>
            </w:r>
            <w:r w:rsidRPr="000127EF">
              <w:rPr>
                <w:noProof/>
              </w:rPr>
              <w:instrText xml:space="preserve"> =SUM(f6:h6) </w:instrText>
            </w:r>
            <w:r w:rsidRPr="000127EF">
              <w:rPr>
                <w:noProof/>
              </w:rPr>
              <w:fldChar w:fldCharType="separate"/>
            </w:r>
            <w:r w:rsidRPr="000127EF">
              <w:rPr>
                <w:noProof/>
              </w:rPr>
              <w:t>229</w:t>
            </w:r>
            <w:r w:rsidRPr="000127EF">
              <w:rPr>
                <w:noProof/>
              </w:rPr>
              <w:fldChar w:fldCharType="end"/>
            </w:r>
          </w:p>
        </w:tc>
        <w:tc>
          <w:tcPr>
            <w:tcW w:w="3118" w:type="dxa"/>
          </w:tcPr>
          <w:p w14:paraId="6FD3EBFE" w14:textId="77777777" w:rsidR="00864BA5" w:rsidRPr="000127EF" w:rsidRDefault="00864BA5" w:rsidP="00864BA5">
            <w:r w:rsidRPr="000127EF">
              <w:t>Resources</w:t>
            </w:r>
          </w:p>
        </w:tc>
        <w:tc>
          <w:tcPr>
            <w:tcW w:w="1560" w:type="dxa"/>
          </w:tcPr>
          <w:p w14:paraId="3011613E" w14:textId="244FD252" w:rsidR="00864BA5" w:rsidRPr="00EC7C8A" w:rsidRDefault="00E01440" w:rsidP="00864BA5">
            <w:pPr>
              <w:tabs>
                <w:tab w:val="left" w:pos="1452"/>
              </w:tabs>
              <w:ind w:right="92"/>
              <w:jc w:val="right"/>
            </w:pPr>
            <w:r>
              <w:t>20</w:t>
            </w:r>
          </w:p>
        </w:tc>
        <w:tc>
          <w:tcPr>
            <w:tcW w:w="1618" w:type="dxa"/>
            <w:vAlign w:val="bottom"/>
          </w:tcPr>
          <w:p w14:paraId="25CC45A4" w14:textId="4E79BD3A" w:rsidR="00864BA5" w:rsidRPr="00EC7C8A" w:rsidRDefault="00E01440" w:rsidP="00864BA5">
            <w:pPr>
              <w:tabs>
                <w:tab w:val="left" w:pos="1452"/>
              </w:tabs>
              <w:ind w:right="92"/>
              <w:jc w:val="right"/>
            </w:pPr>
            <w:r>
              <w:t>431</w:t>
            </w:r>
          </w:p>
        </w:tc>
        <w:tc>
          <w:tcPr>
            <w:tcW w:w="1515" w:type="dxa"/>
            <w:vAlign w:val="bottom"/>
          </w:tcPr>
          <w:p w14:paraId="28986E4F" w14:textId="342E44A1" w:rsidR="00864BA5" w:rsidRPr="00EC7C8A" w:rsidRDefault="00E01440" w:rsidP="00864BA5">
            <w:pPr>
              <w:jc w:val="right"/>
            </w:pPr>
            <w:r>
              <w:t>(86</w:t>
            </w:r>
            <w:r w:rsidR="001C3425" w:rsidRPr="00EC7C8A">
              <w:t>)</w:t>
            </w:r>
          </w:p>
        </w:tc>
        <w:tc>
          <w:tcPr>
            <w:tcW w:w="1701" w:type="dxa"/>
            <w:shd w:val="clear" w:color="auto" w:fill="C5E0B3" w:themeFill="accent6" w:themeFillTint="66"/>
          </w:tcPr>
          <w:p w14:paraId="7ACC9C58" w14:textId="3492B30A" w:rsidR="00864BA5" w:rsidRPr="00EC7C8A" w:rsidRDefault="00E01440" w:rsidP="00864BA5">
            <w:pPr>
              <w:ind w:right="92"/>
              <w:jc w:val="right"/>
              <w:rPr>
                <w:noProof/>
              </w:rPr>
            </w:pPr>
            <w:r>
              <w:rPr>
                <w:noProof/>
              </w:rPr>
              <w:t>365</w:t>
            </w:r>
          </w:p>
        </w:tc>
      </w:tr>
      <w:tr w:rsidR="00864BA5" w:rsidRPr="000127EF" w14:paraId="0E16243D" w14:textId="77777777" w:rsidTr="00E335D7">
        <w:trPr>
          <w:trHeight w:val="238"/>
          <w:jc w:val="center"/>
        </w:trPr>
        <w:tc>
          <w:tcPr>
            <w:tcW w:w="1695" w:type="dxa"/>
            <w:tcBorders>
              <w:bottom w:val="single" w:sz="8" w:space="0" w:color="auto"/>
            </w:tcBorders>
          </w:tcPr>
          <w:p w14:paraId="3504F03F" w14:textId="4824A252" w:rsidR="00864BA5" w:rsidRPr="000127EF" w:rsidRDefault="00864BA5" w:rsidP="00864BA5">
            <w:pPr>
              <w:tabs>
                <w:tab w:val="left" w:pos="1452"/>
              </w:tabs>
              <w:ind w:right="92"/>
              <w:jc w:val="right"/>
              <w:rPr>
                <w:i/>
              </w:rPr>
            </w:pPr>
          </w:p>
        </w:tc>
        <w:tc>
          <w:tcPr>
            <w:tcW w:w="1701" w:type="dxa"/>
            <w:tcBorders>
              <w:bottom w:val="single" w:sz="8" w:space="0" w:color="auto"/>
            </w:tcBorders>
            <w:vAlign w:val="bottom"/>
          </w:tcPr>
          <w:p w14:paraId="19817077" w14:textId="77777777" w:rsidR="00864BA5" w:rsidRPr="000127EF" w:rsidRDefault="00864BA5" w:rsidP="00864BA5">
            <w:pPr>
              <w:tabs>
                <w:tab w:val="left" w:pos="1452"/>
              </w:tabs>
              <w:ind w:right="92"/>
              <w:jc w:val="right"/>
              <w:rPr>
                <w:i/>
              </w:rPr>
            </w:pPr>
          </w:p>
        </w:tc>
        <w:tc>
          <w:tcPr>
            <w:tcW w:w="1502" w:type="dxa"/>
            <w:tcBorders>
              <w:bottom w:val="single" w:sz="8" w:space="0" w:color="auto"/>
            </w:tcBorders>
            <w:vAlign w:val="bottom"/>
          </w:tcPr>
          <w:p w14:paraId="15C434F6" w14:textId="77777777" w:rsidR="00864BA5" w:rsidRPr="000127EF" w:rsidRDefault="00864BA5" w:rsidP="00864BA5">
            <w:pPr>
              <w:jc w:val="right"/>
              <w:rPr>
                <w:i/>
              </w:rPr>
            </w:pPr>
          </w:p>
        </w:tc>
        <w:tc>
          <w:tcPr>
            <w:tcW w:w="1560" w:type="dxa"/>
            <w:tcBorders>
              <w:top w:val="nil"/>
              <w:bottom w:val="single" w:sz="4" w:space="0" w:color="auto"/>
            </w:tcBorders>
            <w:vAlign w:val="bottom"/>
          </w:tcPr>
          <w:p w14:paraId="23308FE5" w14:textId="77777777" w:rsidR="00864BA5" w:rsidRPr="000127EF" w:rsidRDefault="00864BA5" w:rsidP="00864BA5">
            <w:pPr>
              <w:ind w:right="92"/>
              <w:jc w:val="right"/>
              <w:rPr>
                <w:i/>
              </w:rPr>
            </w:pPr>
          </w:p>
        </w:tc>
        <w:tc>
          <w:tcPr>
            <w:tcW w:w="3118" w:type="dxa"/>
            <w:vMerge w:val="restart"/>
          </w:tcPr>
          <w:p w14:paraId="190D0575" w14:textId="77777777" w:rsidR="00864BA5" w:rsidRPr="000127EF" w:rsidRDefault="00864BA5" w:rsidP="00864BA5"/>
          <w:p w14:paraId="23971500" w14:textId="77777777" w:rsidR="00864BA5" w:rsidRPr="000127EF" w:rsidRDefault="00864BA5" w:rsidP="00864BA5">
            <w:r w:rsidRPr="000127EF">
              <w:rPr>
                <w:b/>
              </w:rPr>
              <w:t>Cost of Services</w:t>
            </w:r>
          </w:p>
        </w:tc>
        <w:tc>
          <w:tcPr>
            <w:tcW w:w="1560" w:type="dxa"/>
            <w:tcBorders>
              <w:bottom w:val="single" w:sz="4" w:space="0" w:color="auto"/>
            </w:tcBorders>
          </w:tcPr>
          <w:p w14:paraId="760D5D04" w14:textId="77777777" w:rsidR="00864BA5" w:rsidRPr="00EC7C8A" w:rsidRDefault="00864BA5" w:rsidP="00864BA5">
            <w:pPr>
              <w:tabs>
                <w:tab w:val="left" w:pos="1452"/>
              </w:tabs>
              <w:ind w:right="92"/>
              <w:jc w:val="right"/>
            </w:pPr>
          </w:p>
        </w:tc>
        <w:tc>
          <w:tcPr>
            <w:tcW w:w="1618" w:type="dxa"/>
            <w:tcBorders>
              <w:bottom w:val="single" w:sz="8" w:space="0" w:color="auto"/>
            </w:tcBorders>
            <w:vAlign w:val="bottom"/>
          </w:tcPr>
          <w:p w14:paraId="79B64F3F" w14:textId="77777777" w:rsidR="00864BA5" w:rsidRPr="00EC7C8A" w:rsidRDefault="00864BA5" w:rsidP="00864BA5">
            <w:pPr>
              <w:tabs>
                <w:tab w:val="left" w:pos="1452"/>
              </w:tabs>
              <w:ind w:right="92"/>
              <w:jc w:val="right"/>
            </w:pPr>
          </w:p>
        </w:tc>
        <w:tc>
          <w:tcPr>
            <w:tcW w:w="1515" w:type="dxa"/>
            <w:tcBorders>
              <w:bottom w:val="single" w:sz="8" w:space="0" w:color="auto"/>
            </w:tcBorders>
            <w:vAlign w:val="bottom"/>
          </w:tcPr>
          <w:p w14:paraId="620B1A32" w14:textId="77777777" w:rsidR="00864BA5" w:rsidRPr="00EC7C8A" w:rsidRDefault="00864BA5" w:rsidP="00864BA5">
            <w:pPr>
              <w:jc w:val="right"/>
            </w:pPr>
          </w:p>
        </w:tc>
        <w:tc>
          <w:tcPr>
            <w:tcW w:w="1701" w:type="dxa"/>
            <w:tcBorders>
              <w:bottom w:val="single" w:sz="8" w:space="0" w:color="auto"/>
            </w:tcBorders>
            <w:shd w:val="clear" w:color="auto" w:fill="C5E0B3" w:themeFill="accent6" w:themeFillTint="66"/>
            <w:vAlign w:val="bottom"/>
          </w:tcPr>
          <w:p w14:paraId="5EF8E92C" w14:textId="77777777" w:rsidR="00864BA5" w:rsidRPr="00EC7C8A" w:rsidRDefault="00864BA5" w:rsidP="00864BA5">
            <w:pPr>
              <w:ind w:right="92"/>
              <w:jc w:val="right"/>
            </w:pPr>
          </w:p>
        </w:tc>
      </w:tr>
      <w:tr w:rsidR="00864BA5" w:rsidRPr="000127EF" w14:paraId="00717BC6" w14:textId="77777777" w:rsidTr="001A3CBA">
        <w:trPr>
          <w:trHeight w:val="238"/>
          <w:jc w:val="center"/>
        </w:trPr>
        <w:tc>
          <w:tcPr>
            <w:tcW w:w="1695" w:type="dxa"/>
            <w:tcBorders>
              <w:top w:val="single" w:sz="8" w:space="0" w:color="auto"/>
            </w:tcBorders>
          </w:tcPr>
          <w:p w14:paraId="0278F72E" w14:textId="6A3B6505" w:rsidR="00864BA5" w:rsidRPr="000127EF" w:rsidRDefault="00864BA5" w:rsidP="00864BA5">
            <w:pPr>
              <w:jc w:val="right"/>
              <w:rPr>
                <w:b/>
                <w:i/>
              </w:rPr>
            </w:pPr>
            <w:r w:rsidRPr="000127EF">
              <w:rPr>
                <w:b/>
                <w:i/>
              </w:rPr>
              <w:fldChar w:fldCharType="begin"/>
            </w:r>
            <w:r w:rsidRPr="000127EF">
              <w:rPr>
                <w:b/>
                <w:i/>
              </w:rPr>
              <w:instrText xml:space="preserve"> =SUM(f4:f6) </w:instrText>
            </w:r>
            <w:r w:rsidRPr="000127EF">
              <w:rPr>
                <w:b/>
                <w:i/>
              </w:rPr>
              <w:fldChar w:fldCharType="separate"/>
            </w:r>
            <w:r w:rsidRPr="000127EF">
              <w:rPr>
                <w:b/>
                <w:i/>
                <w:noProof/>
              </w:rPr>
              <w:t>(65)</w:t>
            </w:r>
            <w:r w:rsidRPr="000127EF">
              <w:rPr>
                <w:b/>
                <w:i/>
              </w:rPr>
              <w:fldChar w:fldCharType="end"/>
            </w:r>
          </w:p>
        </w:tc>
        <w:tc>
          <w:tcPr>
            <w:tcW w:w="1701" w:type="dxa"/>
            <w:tcBorders>
              <w:top w:val="single" w:sz="8" w:space="0" w:color="auto"/>
            </w:tcBorders>
          </w:tcPr>
          <w:p w14:paraId="75AF49F8" w14:textId="128F6EBB" w:rsidR="00864BA5" w:rsidRPr="000127EF" w:rsidRDefault="00864BA5" w:rsidP="00864BA5">
            <w:pPr>
              <w:tabs>
                <w:tab w:val="left" w:pos="1452"/>
              </w:tabs>
              <w:ind w:right="92"/>
              <w:jc w:val="right"/>
              <w:rPr>
                <w:b/>
                <w:i/>
              </w:rPr>
            </w:pPr>
            <w:r w:rsidRPr="000127EF">
              <w:rPr>
                <w:b/>
                <w:i/>
              </w:rPr>
              <w:fldChar w:fldCharType="begin"/>
            </w:r>
            <w:r w:rsidRPr="000127EF">
              <w:rPr>
                <w:b/>
                <w:i/>
              </w:rPr>
              <w:instrText xml:space="preserve"> =SUM(g4:g6) \# "#,##0" </w:instrText>
            </w:r>
            <w:r w:rsidRPr="000127EF">
              <w:rPr>
                <w:b/>
                <w:i/>
              </w:rPr>
              <w:fldChar w:fldCharType="separate"/>
            </w:r>
            <w:r w:rsidRPr="000127EF">
              <w:rPr>
                <w:b/>
                <w:i/>
                <w:noProof/>
              </w:rPr>
              <w:t>1,309</w:t>
            </w:r>
            <w:r w:rsidRPr="000127EF">
              <w:rPr>
                <w:b/>
                <w:i/>
              </w:rPr>
              <w:fldChar w:fldCharType="end"/>
            </w:r>
          </w:p>
        </w:tc>
        <w:tc>
          <w:tcPr>
            <w:tcW w:w="1502" w:type="dxa"/>
            <w:tcBorders>
              <w:top w:val="single" w:sz="8" w:space="0" w:color="auto"/>
            </w:tcBorders>
          </w:tcPr>
          <w:p w14:paraId="60B59A04" w14:textId="0D847D12" w:rsidR="00864BA5" w:rsidRPr="000127EF" w:rsidRDefault="00864BA5" w:rsidP="00864BA5">
            <w:pPr>
              <w:jc w:val="right"/>
              <w:rPr>
                <w:b/>
                <w:i/>
              </w:rPr>
            </w:pPr>
            <w:r w:rsidRPr="000127EF">
              <w:rPr>
                <w:b/>
                <w:i/>
              </w:rPr>
              <w:fldChar w:fldCharType="begin"/>
            </w:r>
            <w:r w:rsidRPr="000127EF">
              <w:rPr>
                <w:b/>
                <w:i/>
              </w:rPr>
              <w:instrText xml:space="preserve"> =SUM(h4:h6) </w:instrText>
            </w:r>
            <w:r w:rsidRPr="000127EF">
              <w:rPr>
                <w:b/>
                <w:i/>
              </w:rPr>
              <w:fldChar w:fldCharType="separate"/>
            </w:r>
            <w:r w:rsidRPr="000127EF">
              <w:rPr>
                <w:b/>
                <w:i/>
                <w:noProof/>
              </w:rPr>
              <w:t>(72)</w:t>
            </w:r>
            <w:r w:rsidRPr="000127EF">
              <w:rPr>
                <w:b/>
                <w:i/>
              </w:rPr>
              <w:fldChar w:fldCharType="end"/>
            </w:r>
          </w:p>
        </w:tc>
        <w:tc>
          <w:tcPr>
            <w:tcW w:w="1560" w:type="dxa"/>
            <w:tcBorders>
              <w:top w:val="single" w:sz="4" w:space="0" w:color="auto"/>
            </w:tcBorders>
          </w:tcPr>
          <w:p w14:paraId="31E28404" w14:textId="685DC687" w:rsidR="00864BA5" w:rsidRPr="000127EF" w:rsidRDefault="00864BA5" w:rsidP="00864BA5">
            <w:pPr>
              <w:ind w:right="92"/>
              <w:jc w:val="right"/>
              <w:rPr>
                <w:b/>
                <w:i/>
              </w:rPr>
            </w:pPr>
            <w:r w:rsidRPr="000127EF">
              <w:rPr>
                <w:b/>
                <w:i/>
              </w:rPr>
              <w:fldChar w:fldCharType="begin"/>
            </w:r>
            <w:r w:rsidRPr="000127EF">
              <w:rPr>
                <w:b/>
                <w:i/>
              </w:rPr>
              <w:instrText xml:space="preserve"> =SUM(i4:i6) </w:instrText>
            </w:r>
            <w:r w:rsidRPr="000127EF">
              <w:rPr>
                <w:b/>
                <w:i/>
              </w:rPr>
              <w:fldChar w:fldCharType="separate"/>
            </w:r>
            <w:r w:rsidRPr="000127EF">
              <w:rPr>
                <w:b/>
                <w:i/>
                <w:noProof/>
              </w:rPr>
              <w:t>1,172</w:t>
            </w:r>
            <w:r w:rsidRPr="000127EF">
              <w:rPr>
                <w:b/>
                <w:i/>
              </w:rPr>
              <w:fldChar w:fldCharType="end"/>
            </w:r>
          </w:p>
        </w:tc>
        <w:tc>
          <w:tcPr>
            <w:tcW w:w="3118" w:type="dxa"/>
            <w:vMerge/>
          </w:tcPr>
          <w:p w14:paraId="59EF4AE5" w14:textId="77777777" w:rsidR="00864BA5" w:rsidRPr="000127EF" w:rsidRDefault="00864BA5" w:rsidP="00864BA5">
            <w:pPr>
              <w:rPr>
                <w:b/>
              </w:rPr>
            </w:pPr>
          </w:p>
        </w:tc>
        <w:tc>
          <w:tcPr>
            <w:tcW w:w="1560" w:type="dxa"/>
            <w:tcBorders>
              <w:top w:val="single" w:sz="4" w:space="0" w:color="auto"/>
              <w:bottom w:val="nil"/>
            </w:tcBorders>
          </w:tcPr>
          <w:p w14:paraId="4C190AEF" w14:textId="4BCBCE90" w:rsidR="00864BA5" w:rsidRPr="00EC7C8A" w:rsidRDefault="00E01440" w:rsidP="00864BA5">
            <w:pPr>
              <w:jc w:val="right"/>
              <w:rPr>
                <w:b/>
              </w:rPr>
            </w:pPr>
            <w:r>
              <w:rPr>
                <w:b/>
              </w:rPr>
              <w:t>156</w:t>
            </w:r>
          </w:p>
        </w:tc>
        <w:tc>
          <w:tcPr>
            <w:tcW w:w="1618" w:type="dxa"/>
            <w:tcBorders>
              <w:top w:val="single" w:sz="8" w:space="0" w:color="auto"/>
            </w:tcBorders>
          </w:tcPr>
          <w:p w14:paraId="77C54132" w14:textId="492B364C" w:rsidR="00864BA5" w:rsidRPr="00EC7C8A" w:rsidRDefault="00E01440" w:rsidP="00864BA5">
            <w:pPr>
              <w:tabs>
                <w:tab w:val="left" w:pos="1452"/>
              </w:tabs>
              <w:ind w:right="92"/>
              <w:jc w:val="right"/>
              <w:rPr>
                <w:b/>
              </w:rPr>
            </w:pPr>
            <w:r>
              <w:rPr>
                <w:b/>
              </w:rPr>
              <w:t>1,922</w:t>
            </w:r>
          </w:p>
        </w:tc>
        <w:tc>
          <w:tcPr>
            <w:tcW w:w="1515" w:type="dxa"/>
            <w:tcBorders>
              <w:top w:val="single" w:sz="8" w:space="0" w:color="auto"/>
            </w:tcBorders>
          </w:tcPr>
          <w:p w14:paraId="65631B37" w14:textId="0B67118D" w:rsidR="00864BA5" w:rsidRPr="00EC7C8A" w:rsidRDefault="00E01440" w:rsidP="00864BA5">
            <w:pPr>
              <w:jc w:val="right"/>
              <w:rPr>
                <w:b/>
              </w:rPr>
            </w:pPr>
            <w:r>
              <w:rPr>
                <w:b/>
              </w:rPr>
              <w:t>167</w:t>
            </w:r>
          </w:p>
        </w:tc>
        <w:tc>
          <w:tcPr>
            <w:tcW w:w="1701" w:type="dxa"/>
            <w:tcBorders>
              <w:top w:val="single" w:sz="8" w:space="0" w:color="auto"/>
            </w:tcBorders>
            <w:shd w:val="clear" w:color="auto" w:fill="C5E0B3" w:themeFill="accent6" w:themeFillTint="66"/>
          </w:tcPr>
          <w:p w14:paraId="2617F728" w14:textId="0435EDED" w:rsidR="00864BA5" w:rsidRPr="00EC7C8A" w:rsidRDefault="001C3425" w:rsidP="00E01440">
            <w:pPr>
              <w:ind w:right="92"/>
              <w:jc w:val="right"/>
              <w:rPr>
                <w:b/>
              </w:rPr>
            </w:pPr>
            <w:r w:rsidRPr="00EC7C8A">
              <w:rPr>
                <w:b/>
              </w:rPr>
              <w:t>2,</w:t>
            </w:r>
            <w:r w:rsidR="00E01440">
              <w:rPr>
                <w:b/>
              </w:rPr>
              <w:t>245</w:t>
            </w:r>
          </w:p>
        </w:tc>
      </w:tr>
      <w:tr w:rsidR="00864BA5" w:rsidRPr="000127EF" w14:paraId="1E174150" w14:textId="77777777" w:rsidTr="001A3CBA">
        <w:trPr>
          <w:trHeight w:val="181"/>
          <w:jc w:val="center"/>
        </w:trPr>
        <w:tc>
          <w:tcPr>
            <w:tcW w:w="1695" w:type="dxa"/>
          </w:tcPr>
          <w:p w14:paraId="1CA5FDEC" w14:textId="77777777" w:rsidR="00864BA5" w:rsidRPr="000127EF" w:rsidRDefault="00864BA5" w:rsidP="00864BA5">
            <w:pPr>
              <w:jc w:val="right"/>
              <w:rPr>
                <w:i/>
                <w:sz w:val="10"/>
                <w:szCs w:val="10"/>
              </w:rPr>
            </w:pPr>
          </w:p>
        </w:tc>
        <w:tc>
          <w:tcPr>
            <w:tcW w:w="1701" w:type="dxa"/>
          </w:tcPr>
          <w:p w14:paraId="270B19E8" w14:textId="77777777" w:rsidR="00864BA5" w:rsidRPr="000127EF" w:rsidRDefault="00864BA5" w:rsidP="00864BA5">
            <w:pPr>
              <w:jc w:val="right"/>
              <w:rPr>
                <w:i/>
                <w:sz w:val="10"/>
                <w:szCs w:val="10"/>
              </w:rPr>
            </w:pPr>
          </w:p>
        </w:tc>
        <w:tc>
          <w:tcPr>
            <w:tcW w:w="1502" w:type="dxa"/>
          </w:tcPr>
          <w:p w14:paraId="6FEDB015" w14:textId="77777777" w:rsidR="00864BA5" w:rsidRPr="000127EF" w:rsidRDefault="00864BA5" w:rsidP="00864BA5">
            <w:pPr>
              <w:jc w:val="right"/>
              <w:rPr>
                <w:i/>
                <w:sz w:val="10"/>
                <w:szCs w:val="10"/>
              </w:rPr>
            </w:pPr>
          </w:p>
        </w:tc>
        <w:tc>
          <w:tcPr>
            <w:tcW w:w="1560" w:type="dxa"/>
          </w:tcPr>
          <w:p w14:paraId="0C89132D" w14:textId="77777777" w:rsidR="00864BA5" w:rsidRPr="000127EF" w:rsidRDefault="00864BA5" w:rsidP="00864BA5">
            <w:pPr>
              <w:jc w:val="right"/>
              <w:rPr>
                <w:i/>
                <w:sz w:val="10"/>
                <w:szCs w:val="10"/>
              </w:rPr>
            </w:pPr>
          </w:p>
        </w:tc>
        <w:tc>
          <w:tcPr>
            <w:tcW w:w="3118" w:type="dxa"/>
          </w:tcPr>
          <w:p w14:paraId="01B152AF" w14:textId="77777777" w:rsidR="00864BA5" w:rsidRPr="000127EF" w:rsidRDefault="00864BA5" w:rsidP="00864BA5">
            <w:pPr>
              <w:rPr>
                <w:sz w:val="10"/>
                <w:szCs w:val="10"/>
              </w:rPr>
            </w:pPr>
          </w:p>
        </w:tc>
        <w:tc>
          <w:tcPr>
            <w:tcW w:w="1560" w:type="dxa"/>
            <w:tcBorders>
              <w:top w:val="nil"/>
            </w:tcBorders>
          </w:tcPr>
          <w:p w14:paraId="0ABDB2EF" w14:textId="77777777" w:rsidR="00864BA5" w:rsidRPr="00EC7C8A" w:rsidRDefault="00864BA5" w:rsidP="00864BA5">
            <w:pPr>
              <w:jc w:val="right"/>
              <w:rPr>
                <w:sz w:val="10"/>
                <w:szCs w:val="10"/>
              </w:rPr>
            </w:pPr>
          </w:p>
        </w:tc>
        <w:tc>
          <w:tcPr>
            <w:tcW w:w="1618" w:type="dxa"/>
          </w:tcPr>
          <w:p w14:paraId="2A862683" w14:textId="77777777" w:rsidR="00864BA5" w:rsidRPr="00EC7C8A" w:rsidRDefault="00864BA5" w:rsidP="00864BA5">
            <w:pPr>
              <w:jc w:val="right"/>
              <w:rPr>
                <w:sz w:val="10"/>
                <w:szCs w:val="10"/>
              </w:rPr>
            </w:pPr>
          </w:p>
        </w:tc>
        <w:tc>
          <w:tcPr>
            <w:tcW w:w="1515" w:type="dxa"/>
          </w:tcPr>
          <w:p w14:paraId="77803616" w14:textId="77777777" w:rsidR="00864BA5" w:rsidRPr="00EC7C8A" w:rsidRDefault="00864BA5" w:rsidP="00864BA5">
            <w:pPr>
              <w:jc w:val="right"/>
              <w:rPr>
                <w:sz w:val="10"/>
                <w:szCs w:val="10"/>
              </w:rPr>
            </w:pPr>
          </w:p>
        </w:tc>
        <w:tc>
          <w:tcPr>
            <w:tcW w:w="1701" w:type="dxa"/>
            <w:shd w:val="clear" w:color="auto" w:fill="C5E0B3" w:themeFill="accent6" w:themeFillTint="66"/>
          </w:tcPr>
          <w:p w14:paraId="0CA7D807" w14:textId="77777777" w:rsidR="00864BA5" w:rsidRPr="00EC7C8A" w:rsidRDefault="00864BA5" w:rsidP="00864BA5">
            <w:pPr>
              <w:jc w:val="right"/>
              <w:rPr>
                <w:sz w:val="10"/>
                <w:szCs w:val="10"/>
              </w:rPr>
            </w:pPr>
          </w:p>
        </w:tc>
      </w:tr>
      <w:tr w:rsidR="00864BA5" w:rsidRPr="000127EF" w14:paraId="5C3CCD92" w14:textId="77777777" w:rsidTr="00E335D7">
        <w:trPr>
          <w:jc w:val="center"/>
        </w:trPr>
        <w:tc>
          <w:tcPr>
            <w:tcW w:w="1695" w:type="dxa"/>
          </w:tcPr>
          <w:p w14:paraId="7D315973" w14:textId="4B8E0980" w:rsidR="00864BA5" w:rsidRPr="000127EF" w:rsidRDefault="00864BA5" w:rsidP="00864BA5">
            <w:pPr>
              <w:ind w:right="92"/>
              <w:jc w:val="right"/>
              <w:rPr>
                <w:i/>
              </w:rPr>
            </w:pPr>
            <w:r w:rsidRPr="000127EF">
              <w:t>5,037</w:t>
            </w:r>
          </w:p>
        </w:tc>
        <w:tc>
          <w:tcPr>
            <w:tcW w:w="1701" w:type="dxa"/>
            <w:vAlign w:val="center"/>
          </w:tcPr>
          <w:p w14:paraId="6941843D" w14:textId="1ACC6EAA" w:rsidR="00864BA5" w:rsidRPr="000127EF" w:rsidRDefault="00864BA5" w:rsidP="00864BA5">
            <w:pPr>
              <w:ind w:right="92"/>
              <w:jc w:val="right"/>
              <w:rPr>
                <w:i/>
              </w:rPr>
            </w:pPr>
            <w:r w:rsidRPr="000127EF">
              <w:t>-</w:t>
            </w:r>
          </w:p>
        </w:tc>
        <w:tc>
          <w:tcPr>
            <w:tcW w:w="1502" w:type="dxa"/>
            <w:vAlign w:val="center"/>
          </w:tcPr>
          <w:p w14:paraId="117B14EB" w14:textId="2BCACCF0" w:rsidR="00864BA5" w:rsidRPr="000127EF" w:rsidRDefault="00864BA5" w:rsidP="00864BA5">
            <w:pPr>
              <w:jc w:val="right"/>
              <w:rPr>
                <w:i/>
              </w:rPr>
            </w:pPr>
            <w:r w:rsidRPr="000127EF">
              <w:t>805</w:t>
            </w:r>
          </w:p>
        </w:tc>
        <w:tc>
          <w:tcPr>
            <w:tcW w:w="1560" w:type="dxa"/>
            <w:vAlign w:val="center"/>
          </w:tcPr>
          <w:p w14:paraId="39DE3F68" w14:textId="05F721A3" w:rsidR="00864BA5" w:rsidRPr="000127EF" w:rsidRDefault="00864BA5" w:rsidP="00864BA5">
            <w:pPr>
              <w:ind w:right="92"/>
              <w:jc w:val="right"/>
              <w:rPr>
                <w:i/>
              </w:rPr>
            </w:pPr>
            <w:r w:rsidRPr="000127EF">
              <w:fldChar w:fldCharType="begin"/>
            </w:r>
            <w:r w:rsidRPr="000127EF">
              <w:instrText xml:space="preserve"> =SUM(f10:h10) \# "#,##0" </w:instrText>
            </w:r>
            <w:r w:rsidRPr="000127EF">
              <w:fldChar w:fldCharType="separate"/>
            </w:r>
            <w:r w:rsidRPr="000127EF">
              <w:rPr>
                <w:noProof/>
              </w:rPr>
              <w:t>5,842</w:t>
            </w:r>
            <w:r w:rsidRPr="000127EF">
              <w:fldChar w:fldCharType="end"/>
            </w:r>
          </w:p>
        </w:tc>
        <w:tc>
          <w:tcPr>
            <w:tcW w:w="3118" w:type="dxa"/>
          </w:tcPr>
          <w:p w14:paraId="1E334FED" w14:textId="77777777" w:rsidR="00864BA5" w:rsidRPr="000127EF" w:rsidRDefault="00864BA5" w:rsidP="00864BA5">
            <w:r w:rsidRPr="000127EF">
              <w:t>Other Operating Expenditure</w:t>
            </w:r>
          </w:p>
        </w:tc>
        <w:tc>
          <w:tcPr>
            <w:tcW w:w="1560" w:type="dxa"/>
          </w:tcPr>
          <w:p w14:paraId="318DF417" w14:textId="140735C0" w:rsidR="00864BA5" w:rsidRPr="00EC7C8A" w:rsidRDefault="00E01440" w:rsidP="00864BA5">
            <w:pPr>
              <w:ind w:right="92"/>
              <w:jc w:val="right"/>
            </w:pPr>
            <w:r>
              <w:t>244</w:t>
            </w:r>
          </w:p>
        </w:tc>
        <w:tc>
          <w:tcPr>
            <w:tcW w:w="1618" w:type="dxa"/>
            <w:vAlign w:val="center"/>
          </w:tcPr>
          <w:p w14:paraId="2DD9EAA7" w14:textId="5603A698" w:rsidR="00864BA5" w:rsidRPr="00EC7C8A" w:rsidRDefault="001C3425" w:rsidP="00864BA5">
            <w:pPr>
              <w:ind w:right="92"/>
              <w:jc w:val="right"/>
            </w:pPr>
            <w:r w:rsidRPr="00EC7C8A">
              <w:t>-</w:t>
            </w:r>
          </w:p>
        </w:tc>
        <w:tc>
          <w:tcPr>
            <w:tcW w:w="1515" w:type="dxa"/>
            <w:vAlign w:val="center"/>
          </w:tcPr>
          <w:p w14:paraId="1C0BC969" w14:textId="2E6DA402" w:rsidR="00864BA5" w:rsidRPr="00EC7C8A" w:rsidRDefault="00E01440" w:rsidP="00864BA5">
            <w:pPr>
              <w:jc w:val="right"/>
            </w:pPr>
            <w:r>
              <w:t>838</w:t>
            </w:r>
          </w:p>
        </w:tc>
        <w:tc>
          <w:tcPr>
            <w:tcW w:w="1701" w:type="dxa"/>
            <w:shd w:val="clear" w:color="auto" w:fill="C5E0B3" w:themeFill="accent6" w:themeFillTint="66"/>
            <w:vAlign w:val="center"/>
          </w:tcPr>
          <w:p w14:paraId="0B3A723A" w14:textId="5AF733AD" w:rsidR="00864BA5" w:rsidRPr="00EC7C8A" w:rsidRDefault="001C3425" w:rsidP="00E01440">
            <w:pPr>
              <w:ind w:right="92"/>
              <w:jc w:val="right"/>
            </w:pPr>
            <w:r w:rsidRPr="00EC7C8A">
              <w:t>1,</w:t>
            </w:r>
            <w:r w:rsidR="00E01440">
              <w:t>082</w:t>
            </w:r>
          </w:p>
        </w:tc>
      </w:tr>
      <w:tr w:rsidR="00864BA5" w:rsidRPr="000127EF" w14:paraId="2327612E" w14:textId="77777777" w:rsidTr="00E01440">
        <w:trPr>
          <w:jc w:val="center"/>
        </w:trPr>
        <w:tc>
          <w:tcPr>
            <w:tcW w:w="1695" w:type="dxa"/>
          </w:tcPr>
          <w:p w14:paraId="23A74437" w14:textId="3D11923B" w:rsidR="00864BA5" w:rsidRPr="000127EF" w:rsidRDefault="00864BA5" w:rsidP="00864BA5">
            <w:pPr>
              <w:ind w:right="92"/>
              <w:jc w:val="right"/>
              <w:rPr>
                <w:i/>
              </w:rPr>
            </w:pPr>
            <w:r w:rsidRPr="000127EF">
              <w:t>(613)</w:t>
            </w:r>
          </w:p>
        </w:tc>
        <w:tc>
          <w:tcPr>
            <w:tcW w:w="1701" w:type="dxa"/>
            <w:vAlign w:val="center"/>
          </w:tcPr>
          <w:p w14:paraId="62F0B437" w14:textId="553D7EBB" w:rsidR="00864BA5" w:rsidRPr="000127EF" w:rsidRDefault="00864BA5" w:rsidP="00094777">
            <w:pPr>
              <w:ind w:right="92"/>
              <w:jc w:val="right"/>
              <w:rPr>
                <w:i/>
              </w:rPr>
            </w:pPr>
            <w:r w:rsidRPr="000127EF">
              <w:t>1,</w:t>
            </w:r>
            <w:r w:rsidR="00094777">
              <w:t>742</w:t>
            </w:r>
          </w:p>
        </w:tc>
        <w:tc>
          <w:tcPr>
            <w:tcW w:w="1502" w:type="dxa"/>
            <w:vAlign w:val="center"/>
          </w:tcPr>
          <w:p w14:paraId="473E91B3" w14:textId="2E873935" w:rsidR="00864BA5" w:rsidRPr="000127EF" w:rsidRDefault="00864BA5" w:rsidP="00864BA5">
            <w:pPr>
              <w:jc w:val="right"/>
              <w:rPr>
                <w:i/>
              </w:rPr>
            </w:pPr>
            <w:r w:rsidRPr="000127EF">
              <w:t>17</w:t>
            </w:r>
          </w:p>
        </w:tc>
        <w:tc>
          <w:tcPr>
            <w:tcW w:w="1560" w:type="dxa"/>
            <w:vAlign w:val="center"/>
          </w:tcPr>
          <w:p w14:paraId="46685333" w14:textId="10A99523" w:rsidR="00864BA5" w:rsidRPr="000127EF" w:rsidRDefault="00864BA5" w:rsidP="00094777">
            <w:pPr>
              <w:ind w:right="92"/>
              <w:jc w:val="right"/>
              <w:rPr>
                <w:i/>
              </w:rPr>
            </w:pPr>
            <w:r w:rsidRPr="000127EF">
              <w:fldChar w:fldCharType="begin"/>
            </w:r>
            <w:r w:rsidRPr="000127EF">
              <w:instrText xml:space="preserve"> =SUM(f11:h11) \# "#,##0" </w:instrText>
            </w:r>
            <w:r w:rsidRPr="000127EF">
              <w:fldChar w:fldCharType="separate"/>
            </w:r>
            <w:r w:rsidRPr="000127EF">
              <w:rPr>
                <w:noProof/>
              </w:rPr>
              <w:t xml:space="preserve"> </w:t>
            </w:r>
            <w:r w:rsidR="00094777">
              <w:rPr>
                <w:noProof/>
              </w:rPr>
              <w:t>1,146</w:t>
            </w:r>
            <w:r w:rsidRPr="000127EF">
              <w:fldChar w:fldCharType="end"/>
            </w:r>
          </w:p>
        </w:tc>
        <w:tc>
          <w:tcPr>
            <w:tcW w:w="3118" w:type="dxa"/>
          </w:tcPr>
          <w:p w14:paraId="2B4C96D5" w14:textId="77777777" w:rsidR="00864BA5" w:rsidRPr="000127EF" w:rsidRDefault="00864BA5" w:rsidP="00864BA5">
            <w:r w:rsidRPr="000127EF">
              <w:t>Financing &amp; Investment Income &amp; Expenditure</w:t>
            </w:r>
          </w:p>
        </w:tc>
        <w:tc>
          <w:tcPr>
            <w:tcW w:w="1560" w:type="dxa"/>
            <w:vAlign w:val="center"/>
          </w:tcPr>
          <w:p w14:paraId="344331E9" w14:textId="417F4FD8" w:rsidR="00E01440" w:rsidRPr="00EC7C8A" w:rsidRDefault="00E01440" w:rsidP="00E01440">
            <w:pPr>
              <w:ind w:right="92"/>
              <w:jc w:val="right"/>
            </w:pPr>
            <w:r>
              <w:t>(614)</w:t>
            </w:r>
          </w:p>
        </w:tc>
        <w:tc>
          <w:tcPr>
            <w:tcW w:w="1618" w:type="dxa"/>
            <w:vAlign w:val="center"/>
          </w:tcPr>
          <w:p w14:paraId="10DE8AE5" w14:textId="012BA6C2" w:rsidR="00864BA5" w:rsidRPr="00EC7C8A" w:rsidRDefault="00E01440" w:rsidP="00E01440">
            <w:pPr>
              <w:ind w:right="92"/>
              <w:jc w:val="right"/>
            </w:pPr>
            <w:r>
              <w:t>1,173</w:t>
            </w:r>
          </w:p>
        </w:tc>
        <w:tc>
          <w:tcPr>
            <w:tcW w:w="1515" w:type="dxa"/>
            <w:vAlign w:val="center"/>
          </w:tcPr>
          <w:p w14:paraId="44831F19" w14:textId="6EF7F734" w:rsidR="00864BA5" w:rsidRPr="00EC7C8A" w:rsidRDefault="00E01440" w:rsidP="00864BA5">
            <w:pPr>
              <w:jc w:val="right"/>
            </w:pPr>
            <w:r>
              <w:t>16</w:t>
            </w:r>
          </w:p>
        </w:tc>
        <w:tc>
          <w:tcPr>
            <w:tcW w:w="1701" w:type="dxa"/>
            <w:shd w:val="clear" w:color="auto" w:fill="C5E0B3" w:themeFill="accent6" w:themeFillTint="66"/>
            <w:vAlign w:val="center"/>
          </w:tcPr>
          <w:p w14:paraId="754CECDA" w14:textId="0252E50D" w:rsidR="00864BA5" w:rsidRPr="00EC7C8A" w:rsidRDefault="00E01440" w:rsidP="00864BA5">
            <w:pPr>
              <w:ind w:right="92"/>
              <w:jc w:val="right"/>
            </w:pPr>
            <w:r>
              <w:t>575</w:t>
            </w:r>
          </w:p>
        </w:tc>
      </w:tr>
      <w:tr w:rsidR="00864BA5" w:rsidRPr="000127EF" w14:paraId="47DCAA2A" w14:textId="77777777" w:rsidTr="00E01440">
        <w:trPr>
          <w:jc w:val="center"/>
        </w:trPr>
        <w:tc>
          <w:tcPr>
            <w:tcW w:w="1695" w:type="dxa"/>
            <w:tcBorders>
              <w:bottom w:val="single" w:sz="8" w:space="0" w:color="auto"/>
            </w:tcBorders>
          </w:tcPr>
          <w:p w14:paraId="38C7F076" w14:textId="5B18288C" w:rsidR="00864BA5" w:rsidRPr="000127EF" w:rsidRDefault="00864BA5" w:rsidP="00864BA5">
            <w:pPr>
              <w:ind w:right="92"/>
              <w:jc w:val="right"/>
              <w:rPr>
                <w:i/>
              </w:rPr>
            </w:pPr>
            <w:r w:rsidRPr="000127EF">
              <w:t>(5,416)</w:t>
            </w:r>
          </w:p>
        </w:tc>
        <w:tc>
          <w:tcPr>
            <w:tcW w:w="1701" w:type="dxa"/>
            <w:tcBorders>
              <w:bottom w:val="single" w:sz="8" w:space="0" w:color="auto"/>
            </w:tcBorders>
            <w:vAlign w:val="center"/>
          </w:tcPr>
          <w:p w14:paraId="6960B508" w14:textId="30912361" w:rsidR="00864BA5" w:rsidRPr="000127EF" w:rsidRDefault="00864BA5" w:rsidP="00864BA5">
            <w:pPr>
              <w:ind w:right="92"/>
              <w:jc w:val="right"/>
              <w:rPr>
                <w:i/>
              </w:rPr>
            </w:pPr>
            <w:r w:rsidRPr="000127EF">
              <w:t>-</w:t>
            </w:r>
          </w:p>
        </w:tc>
        <w:tc>
          <w:tcPr>
            <w:tcW w:w="1502" w:type="dxa"/>
            <w:tcBorders>
              <w:bottom w:val="single" w:sz="8" w:space="0" w:color="auto"/>
            </w:tcBorders>
            <w:vAlign w:val="center"/>
          </w:tcPr>
          <w:p w14:paraId="3E0DEFC3" w14:textId="6A1027FB" w:rsidR="00864BA5" w:rsidRPr="000127EF" w:rsidRDefault="00864BA5" w:rsidP="00864BA5">
            <w:pPr>
              <w:jc w:val="right"/>
              <w:rPr>
                <w:i/>
              </w:rPr>
            </w:pPr>
            <w:r w:rsidRPr="000127EF">
              <w:t>1,113</w:t>
            </w:r>
          </w:p>
        </w:tc>
        <w:tc>
          <w:tcPr>
            <w:tcW w:w="1560" w:type="dxa"/>
            <w:tcBorders>
              <w:bottom w:val="single" w:sz="4" w:space="0" w:color="auto"/>
            </w:tcBorders>
            <w:vAlign w:val="center"/>
          </w:tcPr>
          <w:p w14:paraId="37B3EF58" w14:textId="478C2615" w:rsidR="00864BA5" w:rsidRPr="000127EF" w:rsidRDefault="00864BA5" w:rsidP="00864BA5">
            <w:pPr>
              <w:ind w:right="92"/>
              <w:jc w:val="right"/>
              <w:rPr>
                <w:i/>
              </w:rPr>
            </w:pPr>
            <w:r w:rsidRPr="000127EF">
              <w:fldChar w:fldCharType="begin"/>
            </w:r>
            <w:r w:rsidRPr="000127EF">
              <w:instrText xml:space="preserve"> =SUM(f12:h12) </w:instrText>
            </w:r>
            <w:r w:rsidRPr="000127EF">
              <w:fldChar w:fldCharType="separate"/>
            </w:r>
            <w:r w:rsidRPr="000127EF">
              <w:rPr>
                <w:noProof/>
              </w:rPr>
              <w:t>(4,303)</w:t>
            </w:r>
            <w:r w:rsidRPr="000127EF">
              <w:fldChar w:fldCharType="end"/>
            </w:r>
          </w:p>
        </w:tc>
        <w:tc>
          <w:tcPr>
            <w:tcW w:w="3118" w:type="dxa"/>
          </w:tcPr>
          <w:p w14:paraId="0CF1E534" w14:textId="77777777" w:rsidR="00864BA5" w:rsidRPr="000127EF" w:rsidRDefault="00864BA5" w:rsidP="00864BA5">
            <w:r w:rsidRPr="000127EF">
              <w:t>Taxation &amp; Non-Specific Grant Income</w:t>
            </w:r>
          </w:p>
        </w:tc>
        <w:tc>
          <w:tcPr>
            <w:tcW w:w="1560" w:type="dxa"/>
            <w:tcBorders>
              <w:bottom w:val="single" w:sz="4" w:space="0" w:color="auto"/>
            </w:tcBorders>
            <w:vAlign w:val="center"/>
          </w:tcPr>
          <w:p w14:paraId="36F2B463" w14:textId="290497CF" w:rsidR="00864BA5" w:rsidRPr="00EC7C8A" w:rsidRDefault="001C3425" w:rsidP="00E01440">
            <w:pPr>
              <w:ind w:right="92"/>
              <w:jc w:val="right"/>
            </w:pPr>
            <w:r w:rsidRPr="00EC7C8A">
              <w:t>(</w:t>
            </w:r>
            <w:r w:rsidR="00E01440">
              <w:t>4</w:t>
            </w:r>
            <w:r w:rsidRPr="00EC7C8A">
              <w:t>,</w:t>
            </w:r>
            <w:r w:rsidR="00E01440">
              <w:t>473</w:t>
            </w:r>
            <w:r w:rsidRPr="00EC7C8A">
              <w:t>)</w:t>
            </w:r>
          </w:p>
        </w:tc>
        <w:tc>
          <w:tcPr>
            <w:tcW w:w="1618" w:type="dxa"/>
            <w:tcBorders>
              <w:bottom w:val="single" w:sz="8" w:space="0" w:color="auto"/>
            </w:tcBorders>
            <w:vAlign w:val="center"/>
          </w:tcPr>
          <w:p w14:paraId="17FF1229" w14:textId="53F333E6" w:rsidR="00864BA5" w:rsidRPr="00EC7C8A" w:rsidRDefault="001C3425" w:rsidP="00E01440">
            <w:pPr>
              <w:ind w:right="92"/>
              <w:jc w:val="right"/>
            </w:pPr>
            <w:r w:rsidRPr="00EC7C8A">
              <w:t>-</w:t>
            </w:r>
          </w:p>
        </w:tc>
        <w:tc>
          <w:tcPr>
            <w:tcW w:w="1515" w:type="dxa"/>
            <w:tcBorders>
              <w:bottom w:val="single" w:sz="8" w:space="0" w:color="auto"/>
            </w:tcBorders>
            <w:vAlign w:val="center"/>
          </w:tcPr>
          <w:p w14:paraId="2F685A5B" w14:textId="6AA991DF" w:rsidR="00864BA5" w:rsidRPr="00EC7C8A" w:rsidRDefault="004332E8" w:rsidP="00E01440">
            <w:pPr>
              <w:jc w:val="right"/>
            </w:pPr>
            <w:r>
              <w:t>701</w:t>
            </w:r>
          </w:p>
        </w:tc>
        <w:tc>
          <w:tcPr>
            <w:tcW w:w="1701" w:type="dxa"/>
            <w:tcBorders>
              <w:bottom w:val="single" w:sz="8" w:space="0" w:color="auto"/>
            </w:tcBorders>
            <w:shd w:val="clear" w:color="auto" w:fill="C5E0B3" w:themeFill="accent6" w:themeFillTint="66"/>
            <w:vAlign w:val="center"/>
          </w:tcPr>
          <w:p w14:paraId="515F1605" w14:textId="7D418CA2" w:rsidR="00864BA5" w:rsidRPr="00EC7C8A" w:rsidRDefault="001C3425" w:rsidP="004332E8">
            <w:pPr>
              <w:ind w:right="92"/>
              <w:jc w:val="right"/>
            </w:pPr>
            <w:r w:rsidRPr="00EC7C8A">
              <w:t>(3,</w:t>
            </w:r>
            <w:r w:rsidR="004332E8">
              <w:t>722</w:t>
            </w:r>
            <w:r w:rsidRPr="00EC7C8A">
              <w:t>)</w:t>
            </w:r>
          </w:p>
        </w:tc>
      </w:tr>
      <w:tr w:rsidR="00864BA5" w:rsidRPr="000127EF" w14:paraId="3C055619" w14:textId="77777777" w:rsidTr="001A3CBA">
        <w:trPr>
          <w:jc w:val="center"/>
        </w:trPr>
        <w:tc>
          <w:tcPr>
            <w:tcW w:w="1695" w:type="dxa"/>
            <w:tcBorders>
              <w:top w:val="single" w:sz="8" w:space="0" w:color="auto"/>
            </w:tcBorders>
          </w:tcPr>
          <w:p w14:paraId="7778D9C2" w14:textId="3F88C9E1" w:rsidR="00864BA5" w:rsidRPr="000127EF" w:rsidRDefault="00094777" w:rsidP="00864BA5">
            <w:pPr>
              <w:ind w:right="92"/>
              <w:jc w:val="right"/>
              <w:rPr>
                <w:b/>
                <w:i/>
              </w:rPr>
            </w:pPr>
            <w:r>
              <w:rPr>
                <w:b/>
              </w:rPr>
              <w:t>(1,057)</w:t>
            </w:r>
          </w:p>
        </w:tc>
        <w:tc>
          <w:tcPr>
            <w:tcW w:w="1701" w:type="dxa"/>
            <w:tcBorders>
              <w:top w:val="single" w:sz="8" w:space="0" w:color="auto"/>
            </w:tcBorders>
          </w:tcPr>
          <w:p w14:paraId="7246D2C5" w14:textId="1CD3DFC1" w:rsidR="00864BA5" w:rsidRPr="000127EF" w:rsidRDefault="00094777" w:rsidP="00864BA5">
            <w:pPr>
              <w:ind w:right="92"/>
              <w:jc w:val="right"/>
              <w:rPr>
                <w:b/>
                <w:i/>
              </w:rPr>
            </w:pPr>
            <w:r>
              <w:rPr>
                <w:b/>
                <w:i/>
              </w:rPr>
              <w:t>3,051</w:t>
            </w:r>
          </w:p>
        </w:tc>
        <w:tc>
          <w:tcPr>
            <w:tcW w:w="1502" w:type="dxa"/>
            <w:tcBorders>
              <w:top w:val="single" w:sz="8" w:space="0" w:color="auto"/>
              <w:bottom w:val="nil"/>
            </w:tcBorders>
          </w:tcPr>
          <w:p w14:paraId="2210D3F8" w14:textId="165D8695" w:rsidR="00864BA5" w:rsidRPr="000127EF" w:rsidRDefault="00094777" w:rsidP="00864BA5">
            <w:pPr>
              <w:jc w:val="right"/>
              <w:rPr>
                <w:b/>
                <w:i/>
              </w:rPr>
            </w:pPr>
            <w:r>
              <w:rPr>
                <w:b/>
                <w:i/>
              </w:rPr>
              <w:t>1,863</w:t>
            </w:r>
          </w:p>
        </w:tc>
        <w:tc>
          <w:tcPr>
            <w:tcW w:w="1560" w:type="dxa"/>
            <w:tcBorders>
              <w:top w:val="single" w:sz="4" w:space="0" w:color="auto"/>
              <w:bottom w:val="nil"/>
            </w:tcBorders>
          </w:tcPr>
          <w:p w14:paraId="7AA08311" w14:textId="1FFEBDB6" w:rsidR="00864BA5" w:rsidRPr="000127EF" w:rsidRDefault="00094777" w:rsidP="00094777">
            <w:pPr>
              <w:ind w:right="92"/>
              <w:jc w:val="right"/>
              <w:rPr>
                <w:b/>
                <w:i/>
              </w:rPr>
            </w:pPr>
            <w:r>
              <w:rPr>
                <w:b/>
              </w:rPr>
              <w:t>3,857</w:t>
            </w:r>
          </w:p>
        </w:tc>
        <w:tc>
          <w:tcPr>
            <w:tcW w:w="3118" w:type="dxa"/>
          </w:tcPr>
          <w:p w14:paraId="7AD1294B" w14:textId="77777777" w:rsidR="00864BA5" w:rsidRPr="000127EF" w:rsidRDefault="00864BA5" w:rsidP="00864BA5">
            <w:pPr>
              <w:rPr>
                <w:b/>
              </w:rPr>
            </w:pPr>
            <w:r w:rsidRPr="000127EF">
              <w:rPr>
                <w:b/>
              </w:rPr>
              <w:t>(Surplus) / Deficit on Provision of Services</w:t>
            </w:r>
          </w:p>
        </w:tc>
        <w:tc>
          <w:tcPr>
            <w:tcW w:w="1560" w:type="dxa"/>
            <w:tcBorders>
              <w:top w:val="single" w:sz="4" w:space="0" w:color="auto"/>
              <w:bottom w:val="nil"/>
            </w:tcBorders>
          </w:tcPr>
          <w:p w14:paraId="452A27D8" w14:textId="79A7DB7C" w:rsidR="00864BA5" w:rsidRPr="00EC7C8A" w:rsidRDefault="00E01440" w:rsidP="00E01440">
            <w:pPr>
              <w:ind w:right="92"/>
              <w:jc w:val="right"/>
              <w:rPr>
                <w:b/>
              </w:rPr>
            </w:pPr>
            <w:r>
              <w:rPr>
                <w:b/>
              </w:rPr>
              <w:t>(4,687</w:t>
            </w:r>
            <w:r w:rsidR="001C3425" w:rsidRPr="00EC7C8A">
              <w:rPr>
                <w:b/>
              </w:rPr>
              <w:t>)</w:t>
            </w:r>
          </w:p>
        </w:tc>
        <w:tc>
          <w:tcPr>
            <w:tcW w:w="1618" w:type="dxa"/>
          </w:tcPr>
          <w:p w14:paraId="7D475E36" w14:textId="76C3CAC4" w:rsidR="00864BA5" w:rsidRPr="00EC7C8A" w:rsidRDefault="00E01440" w:rsidP="00E01440">
            <w:pPr>
              <w:ind w:right="92"/>
              <w:jc w:val="right"/>
              <w:rPr>
                <w:b/>
              </w:rPr>
            </w:pPr>
            <w:r>
              <w:rPr>
                <w:b/>
              </w:rPr>
              <w:t>3</w:t>
            </w:r>
            <w:r w:rsidR="001C3425" w:rsidRPr="00EC7C8A">
              <w:rPr>
                <w:b/>
              </w:rPr>
              <w:t>,</w:t>
            </w:r>
            <w:r>
              <w:rPr>
                <w:b/>
              </w:rPr>
              <w:t>095</w:t>
            </w:r>
          </w:p>
        </w:tc>
        <w:tc>
          <w:tcPr>
            <w:tcW w:w="1515" w:type="dxa"/>
          </w:tcPr>
          <w:p w14:paraId="35F6282B" w14:textId="52EF839A" w:rsidR="00864BA5" w:rsidRPr="00EC7C8A" w:rsidRDefault="00E01440" w:rsidP="004332E8">
            <w:pPr>
              <w:jc w:val="right"/>
              <w:rPr>
                <w:b/>
              </w:rPr>
            </w:pPr>
            <w:r>
              <w:rPr>
                <w:b/>
              </w:rPr>
              <w:t>1</w:t>
            </w:r>
            <w:r w:rsidR="004332E8">
              <w:rPr>
                <w:b/>
              </w:rPr>
              <w:t>,722</w:t>
            </w:r>
          </w:p>
        </w:tc>
        <w:tc>
          <w:tcPr>
            <w:tcW w:w="1701" w:type="dxa"/>
            <w:shd w:val="clear" w:color="auto" w:fill="C5E0B3" w:themeFill="accent6" w:themeFillTint="66"/>
          </w:tcPr>
          <w:p w14:paraId="3F6FB87C" w14:textId="39C4F04D" w:rsidR="00864BA5" w:rsidRPr="00EC7C8A" w:rsidRDefault="004332E8" w:rsidP="00864BA5">
            <w:pPr>
              <w:ind w:right="92"/>
              <w:jc w:val="right"/>
              <w:rPr>
                <w:b/>
              </w:rPr>
            </w:pPr>
            <w:r>
              <w:rPr>
                <w:b/>
              </w:rPr>
              <w:t>130</w:t>
            </w:r>
          </w:p>
        </w:tc>
      </w:tr>
      <w:tr w:rsidR="00A33C0E" w:rsidRPr="000127EF" w14:paraId="6E966B30" w14:textId="77777777" w:rsidTr="001A3CBA">
        <w:trPr>
          <w:jc w:val="center"/>
        </w:trPr>
        <w:tc>
          <w:tcPr>
            <w:tcW w:w="1695" w:type="dxa"/>
            <w:tcBorders>
              <w:bottom w:val="single" w:sz="18" w:space="0" w:color="A8D08D" w:themeColor="accent6" w:themeTint="99"/>
            </w:tcBorders>
          </w:tcPr>
          <w:p w14:paraId="33C4C9E2" w14:textId="77777777" w:rsidR="00A33C0E" w:rsidRPr="000127EF" w:rsidRDefault="00A33C0E" w:rsidP="00A33C0E">
            <w:pPr>
              <w:ind w:right="176"/>
              <w:jc w:val="right"/>
              <w:rPr>
                <w:i/>
                <w:sz w:val="10"/>
                <w:szCs w:val="10"/>
              </w:rPr>
            </w:pPr>
          </w:p>
        </w:tc>
        <w:tc>
          <w:tcPr>
            <w:tcW w:w="1701" w:type="dxa"/>
            <w:tcBorders>
              <w:bottom w:val="single" w:sz="18" w:space="0" w:color="A8D08D" w:themeColor="accent6" w:themeTint="99"/>
            </w:tcBorders>
          </w:tcPr>
          <w:p w14:paraId="1F81C3E9" w14:textId="77777777" w:rsidR="00A33C0E" w:rsidRPr="000127EF" w:rsidRDefault="00A33C0E" w:rsidP="00A33C0E">
            <w:pPr>
              <w:ind w:right="176"/>
              <w:jc w:val="right"/>
              <w:rPr>
                <w:i/>
                <w:sz w:val="10"/>
                <w:szCs w:val="10"/>
              </w:rPr>
            </w:pPr>
          </w:p>
        </w:tc>
        <w:tc>
          <w:tcPr>
            <w:tcW w:w="1502" w:type="dxa"/>
            <w:tcBorders>
              <w:top w:val="nil"/>
              <w:bottom w:val="single" w:sz="18" w:space="0" w:color="A8D08D" w:themeColor="accent6" w:themeTint="99"/>
            </w:tcBorders>
          </w:tcPr>
          <w:p w14:paraId="50458F32" w14:textId="77777777" w:rsidR="00A33C0E" w:rsidRPr="000127EF" w:rsidRDefault="00A33C0E" w:rsidP="00A33C0E">
            <w:pPr>
              <w:rPr>
                <w:i/>
                <w:sz w:val="10"/>
                <w:szCs w:val="10"/>
              </w:rPr>
            </w:pPr>
          </w:p>
        </w:tc>
        <w:tc>
          <w:tcPr>
            <w:tcW w:w="1560" w:type="dxa"/>
            <w:tcBorders>
              <w:top w:val="nil"/>
              <w:bottom w:val="single" w:sz="18" w:space="0" w:color="A8D08D" w:themeColor="accent6" w:themeTint="99"/>
            </w:tcBorders>
          </w:tcPr>
          <w:p w14:paraId="17934AEE" w14:textId="77777777" w:rsidR="00A33C0E" w:rsidRPr="000127EF" w:rsidRDefault="00A33C0E" w:rsidP="00A33C0E">
            <w:pPr>
              <w:rPr>
                <w:sz w:val="10"/>
                <w:szCs w:val="10"/>
              </w:rPr>
            </w:pPr>
          </w:p>
        </w:tc>
        <w:tc>
          <w:tcPr>
            <w:tcW w:w="3118" w:type="dxa"/>
            <w:tcBorders>
              <w:bottom w:val="single" w:sz="18" w:space="0" w:color="A8D08D" w:themeColor="accent6" w:themeTint="99"/>
            </w:tcBorders>
          </w:tcPr>
          <w:p w14:paraId="08AE572B" w14:textId="77777777" w:rsidR="00A33C0E" w:rsidRPr="000127EF" w:rsidRDefault="00A33C0E" w:rsidP="00A33C0E">
            <w:pPr>
              <w:rPr>
                <w:sz w:val="10"/>
                <w:szCs w:val="10"/>
              </w:rPr>
            </w:pPr>
          </w:p>
        </w:tc>
        <w:tc>
          <w:tcPr>
            <w:tcW w:w="1560" w:type="dxa"/>
            <w:tcBorders>
              <w:top w:val="nil"/>
              <w:bottom w:val="single" w:sz="18" w:space="0" w:color="A8D08D" w:themeColor="accent6" w:themeTint="99"/>
            </w:tcBorders>
          </w:tcPr>
          <w:p w14:paraId="2352C3C5" w14:textId="77777777" w:rsidR="00A33C0E" w:rsidRPr="000127EF" w:rsidRDefault="00A33C0E" w:rsidP="00A33C0E">
            <w:pPr>
              <w:rPr>
                <w:sz w:val="10"/>
                <w:szCs w:val="10"/>
              </w:rPr>
            </w:pPr>
          </w:p>
        </w:tc>
        <w:tc>
          <w:tcPr>
            <w:tcW w:w="1618" w:type="dxa"/>
            <w:tcBorders>
              <w:bottom w:val="single" w:sz="18" w:space="0" w:color="A8D08D" w:themeColor="accent6" w:themeTint="99"/>
            </w:tcBorders>
          </w:tcPr>
          <w:p w14:paraId="392D2A6B" w14:textId="77777777" w:rsidR="00A33C0E" w:rsidRPr="000127EF" w:rsidRDefault="00A33C0E" w:rsidP="00A33C0E">
            <w:pPr>
              <w:rPr>
                <w:sz w:val="10"/>
                <w:szCs w:val="10"/>
              </w:rPr>
            </w:pPr>
          </w:p>
        </w:tc>
        <w:tc>
          <w:tcPr>
            <w:tcW w:w="1515" w:type="dxa"/>
            <w:tcBorders>
              <w:bottom w:val="single" w:sz="18" w:space="0" w:color="A8D08D" w:themeColor="accent6" w:themeTint="99"/>
            </w:tcBorders>
          </w:tcPr>
          <w:p w14:paraId="14C11A26" w14:textId="77777777" w:rsidR="00A33C0E" w:rsidRPr="000127EF" w:rsidRDefault="00A33C0E" w:rsidP="00A33C0E">
            <w:pPr>
              <w:rPr>
                <w:sz w:val="10"/>
                <w:szCs w:val="10"/>
              </w:rPr>
            </w:pPr>
          </w:p>
        </w:tc>
        <w:tc>
          <w:tcPr>
            <w:tcW w:w="1701" w:type="dxa"/>
            <w:tcBorders>
              <w:bottom w:val="single" w:sz="18" w:space="0" w:color="A8D08D" w:themeColor="accent6" w:themeTint="99"/>
            </w:tcBorders>
            <w:shd w:val="clear" w:color="auto" w:fill="C5E0B3" w:themeFill="accent6" w:themeFillTint="66"/>
          </w:tcPr>
          <w:p w14:paraId="4F14DE06" w14:textId="77777777" w:rsidR="00A33C0E" w:rsidRPr="000127EF" w:rsidRDefault="00A33C0E" w:rsidP="00A33C0E">
            <w:pPr>
              <w:rPr>
                <w:sz w:val="10"/>
                <w:szCs w:val="10"/>
              </w:rPr>
            </w:pPr>
          </w:p>
        </w:tc>
      </w:tr>
    </w:tbl>
    <w:p w14:paraId="1B9AF691" w14:textId="77777777" w:rsidR="0044187B" w:rsidRPr="000127EF" w:rsidRDefault="0044187B" w:rsidP="00203885">
      <w:pPr>
        <w:pStyle w:val="ListParagraph"/>
        <w:numPr>
          <w:ilvl w:val="0"/>
          <w:numId w:val="20"/>
        </w:numPr>
        <w:spacing w:after="120"/>
        <w:ind w:hanging="357"/>
        <w:contextualSpacing w:val="0"/>
        <w:rPr>
          <w:sz w:val="20"/>
        </w:rPr>
      </w:pPr>
      <w:r w:rsidRPr="000127EF">
        <w:rPr>
          <w:sz w:val="20"/>
        </w:rPr>
        <w:t>Adjustments for Capital Purposes Depreciation, impairment charges and revaluation gains and losses are included within the ne</w:t>
      </w:r>
      <w:r w:rsidR="001A3CBA" w:rsidRPr="000127EF">
        <w:rPr>
          <w:sz w:val="20"/>
        </w:rPr>
        <w:t>t cost of services.</w:t>
      </w:r>
    </w:p>
    <w:p w14:paraId="22F1E255" w14:textId="77777777" w:rsidR="0044187B" w:rsidRPr="000127EF" w:rsidRDefault="0044187B" w:rsidP="00203885">
      <w:pPr>
        <w:pStyle w:val="ListParagraph"/>
        <w:numPr>
          <w:ilvl w:val="1"/>
          <w:numId w:val="21"/>
        </w:numPr>
        <w:spacing w:after="120"/>
        <w:ind w:hanging="357"/>
        <w:rPr>
          <w:sz w:val="20"/>
        </w:rPr>
      </w:pPr>
      <w:r w:rsidRPr="000127EF">
        <w:rPr>
          <w:sz w:val="20"/>
        </w:rPr>
        <w:t>Other operating expenditure – adjusts for capital disposals with a transfer of income on disposal of assets and the amoun</w:t>
      </w:r>
      <w:r w:rsidR="001A3CBA" w:rsidRPr="000127EF">
        <w:rPr>
          <w:sz w:val="20"/>
        </w:rPr>
        <w:t>ts written off for those assets;</w:t>
      </w:r>
    </w:p>
    <w:p w14:paraId="34849F8F" w14:textId="77777777" w:rsidR="0044187B" w:rsidRPr="000127EF" w:rsidRDefault="0044187B" w:rsidP="00203885">
      <w:pPr>
        <w:pStyle w:val="ListParagraph"/>
        <w:numPr>
          <w:ilvl w:val="1"/>
          <w:numId w:val="21"/>
        </w:numPr>
        <w:spacing w:after="120"/>
        <w:ind w:hanging="357"/>
        <w:rPr>
          <w:sz w:val="20"/>
        </w:rPr>
      </w:pPr>
      <w:r w:rsidRPr="000127EF">
        <w:rPr>
          <w:sz w:val="20"/>
        </w:rPr>
        <w:t>Finance and investment income and expenditure – the statutory charges for capital financing, i.e. Minimum Revenue Provision (MRP) and other revenue contributions, are deducted from other income and expenditure as these are not chargeable under generally accep</w:t>
      </w:r>
      <w:r w:rsidR="001A3CBA" w:rsidRPr="000127EF">
        <w:rPr>
          <w:sz w:val="20"/>
        </w:rPr>
        <w:t>ted accounting practices (GAAP); and</w:t>
      </w:r>
    </w:p>
    <w:p w14:paraId="5EEA1221" w14:textId="77777777" w:rsidR="0044187B" w:rsidRPr="000127EF" w:rsidRDefault="0044187B" w:rsidP="00203885">
      <w:pPr>
        <w:pStyle w:val="ListParagraph"/>
        <w:numPr>
          <w:ilvl w:val="1"/>
          <w:numId w:val="21"/>
        </w:numPr>
        <w:spacing w:after="120"/>
        <w:ind w:hanging="357"/>
        <w:contextualSpacing w:val="0"/>
        <w:rPr>
          <w:sz w:val="20"/>
        </w:rPr>
      </w:pPr>
      <w:r w:rsidRPr="000127EF">
        <w:rPr>
          <w:sz w:val="20"/>
        </w:rPr>
        <w:t>Taxation and non-specific grant income and expenditure – capital grants are adjusted for income not chargeable under GAAP. Revenue grants are adjusted from those receivable during the year to those receivable without conditions or for which conditions were satisfied throughout the year. The Taxation and Non Specific Grant Income and Expenditure line is credited with capital grants receivable in the year without conditions or for which conditions were satisfied within the year.</w:t>
      </w:r>
    </w:p>
    <w:p w14:paraId="54C66C61" w14:textId="77777777" w:rsidR="0044187B" w:rsidRPr="000127EF" w:rsidRDefault="0044187B" w:rsidP="00203885">
      <w:pPr>
        <w:pStyle w:val="ListParagraph"/>
        <w:numPr>
          <w:ilvl w:val="0"/>
          <w:numId w:val="20"/>
        </w:numPr>
        <w:spacing w:after="120"/>
        <w:ind w:hanging="357"/>
        <w:contextualSpacing w:val="0"/>
        <w:rPr>
          <w:sz w:val="20"/>
        </w:rPr>
      </w:pPr>
      <w:r w:rsidRPr="000127EF">
        <w:rPr>
          <w:sz w:val="20"/>
        </w:rPr>
        <w:t xml:space="preserve">Net Change for Pension Adjustments The removal of pension contributions and the addition of the IAS 19 Employee Benefits pension related expenditure and income are reflected as follows. </w:t>
      </w:r>
      <w:r w:rsidRPr="000127EF">
        <w:rPr>
          <w:sz w:val="20"/>
        </w:rPr>
        <w:tab/>
      </w:r>
    </w:p>
    <w:p w14:paraId="5B38B0C2" w14:textId="77777777" w:rsidR="0044187B" w:rsidRPr="000127EF" w:rsidRDefault="0044187B" w:rsidP="00203885">
      <w:pPr>
        <w:pStyle w:val="ListParagraph"/>
        <w:numPr>
          <w:ilvl w:val="1"/>
          <w:numId w:val="21"/>
        </w:numPr>
        <w:rPr>
          <w:sz w:val="20"/>
        </w:rPr>
      </w:pPr>
      <w:r w:rsidRPr="000127EF">
        <w:rPr>
          <w:sz w:val="20"/>
        </w:rPr>
        <w:t>For the net cost of services – the removal of the employer pension contributions made by the Council as determined by statute and their replacement with current servic</w:t>
      </w:r>
      <w:r w:rsidR="001A3CBA" w:rsidRPr="000127EF">
        <w:rPr>
          <w:sz w:val="20"/>
        </w:rPr>
        <w:t>e costs and past service costs; and</w:t>
      </w:r>
    </w:p>
    <w:p w14:paraId="28E1F56B" w14:textId="77777777" w:rsidR="0044187B" w:rsidRPr="000127EF" w:rsidRDefault="0044187B" w:rsidP="00203885">
      <w:pPr>
        <w:pStyle w:val="ListParagraph"/>
        <w:numPr>
          <w:ilvl w:val="1"/>
          <w:numId w:val="21"/>
        </w:numPr>
        <w:spacing w:after="120"/>
        <w:ind w:left="1434" w:hanging="357"/>
        <w:contextualSpacing w:val="0"/>
        <w:rPr>
          <w:sz w:val="20"/>
        </w:rPr>
      </w:pPr>
      <w:r w:rsidRPr="000127EF">
        <w:rPr>
          <w:sz w:val="20"/>
        </w:rPr>
        <w:t xml:space="preserve">For financing and investment income and expenditure – the net interest on the defined benefit liability is charged to the Comprehensive Income and Expenditure Statement (CIES) </w:t>
      </w:r>
    </w:p>
    <w:p w14:paraId="7F90D5C5" w14:textId="77777777" w:rsidR="0044187B" w:rsidRPr="000127EF" w:rsidRDefault="0044187B" w:rsidP="00203885">
      <w:pPr>
        <w:pStyle w:val="ListParagraph"/>
        <w:numPr>
          <w:ilvl w:val="0"/>
          <w:numId w:val="20"/>
        </w:numPr>
        <w:spacing w:after="120"/>
        <w:ind w:hanging="357"/>
        <w:contextualSpacing w:val="0"/>
        <w:rPr>
          <w:sz w:val="20"/>
        </w:rPr>
      </w:pPr>
      <w:r w:rsidRPr="000127EF">
        <w:rPr>
          <w:sz w:val="20"/>
        </w:rPr>
        <w:lastRenderedPageBreak/>
        <w:t xml:space="preserve">Other differences between amounts debited/credited to the CIES and amounts payable/receivable to be recognised under statute are set out below: </w:t>
      </w:r>
      <w:r w:rsidRPr="000127EF">
        <w:rPr>
          <w:sz w:val="20"/>
        </w:rPr>
        <w:tab/>
      </w:r>
    </w:p>
    <w:p w14:paraId="7265E6D7" w14:textId="77777777" w:rsidR="0044187B" w:rsidRPr="000127EF" w:rsidRDefault="0044187B" w:rsidP="00203885">
      <w:pPr>
        <w:pStyle w:val="ListParagraph"/>
        <w:numPr>
          <w:ilvl w:val="1"/>
          <w:numId w:val="21"/>
        </w:numPr>
        <w:rPr>
          <w:sz w:val="20"/>
        </w:rPr>
      </w:pPr>
      <w:r w:rsidRPr="000127EF">
        <w:rPr>
          <w:sz w:val="20"/>
        </w:rPr>
        <w:t xml:space="preserve">For financing and investment income and expenditure - the other differences column recognises adjustments to the General Fund for the timing differences for premiums and discounts. </w:t>
      </w:r>
    </w:p>
    <w:p w14:paraId="4A55C51C" w14:textId="77777777" w:rsidR="0044187B" w:rsidRPr="000127EF" w:rsidRDefault="0044187B" w:rsidP="00203885">
      <w:pPr>
        <w:pStyle w:val="ListParagraph"/>
        <w:numPr>
          <w:ilvl w:val="1"/>
          <w:numId w:val="21"/>
        </w:numPr>
        <w:rPr>
          <w:sz w:val="20"/>
        </w:rPr>
      </w:pPr>
      <w:r w:rsidRPr="000127EF">
        <w:rPr>
          <w:sz w:val="20"/>
        </w:rPr>
        <w:t>For taxation and non-specific grant income - the charge represents the difference between what is chargeable under statute for Council Tax and Business Rates that was forecast to be received at the start of the year, and the income recognised under the Code of Practice. This is a timing difference as any difference is brought forward in the surpluses or deficits on the Collection Fund.</w:t>
      </w:r>
    </w:p>
    <w:p w14:paraId="57779884" w14:textId="77777777" w:rsidR="0044187B" w:rsidRPr="000127EF" w:rsidRDefault="0044187B" w:rsidP="0044187B">
      <w:pPr>
        <w:rPr>
          <w:sz w:val="20"/>
        </w:rPr>
      </w:pPr>
    </w:p>
    <w:p w14:paraId="2222D586" w14:textId="77777777" w:rsidR="0044187B" w:rsidRPr="000127EF" w:rsidRDefault="0044187B" w:rsidP="0044187B">
      <w:pPr>
        <w:rPr>
          <w:sz w:val="20"/>
        </w:rPr>
      </w:pP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44187B" w:rsidRPr="000127EF" w14:paraId="3178D666" w14:textId="77777777" w:rsidTr="0080134D">
        <w:trPr>
          <w:trHeight w:val="283"/>
          <w:jc w:val="center"/>
        </w:trPr>
        <w:tc>
          <w:tcPr>
            <w:tcW w:w="1454" w:type="dxa"/>
          </w:tcPr>
          <w:p w14:paraId="30171656" w14:textId="00C0A79B" w:rsidR="00C53116" w:rsidRPr="000127EF" w:rsidRDefault="00864BA5" w:rsidP="00C53116">
            <w:pPr>
              <w:jc w:val="center"/>
              <w:rPr>
                <w:b/>
                <w:i/>
              </w:rPr>
            </w:pPr>
            <w:r>
              <w:rPr>
                <w:b/>
                <w:i/>
              </w:rPr>
              <w:t>2018/19</w:t>
            </w:r>
          </w:p>
          <w:p w14:paraId="2D6639CA" w14:textId="79EA87EC" w:rsidR="00A33C0E" w:rsidRPr="000127EF" w:rsidRDefault="00C53116" w:rsidP="0080134D">
            <w:pPr>
              <w:jc w:val="center"/>
              <w:rPr>
                <w:b/>
                <w:i/>
              </w:rPr>
            </w:pPr>
            <w:r>
              <w:rPr>
                <w:b/>
                <w:i/>
              </w:rPr>
              <w:t>(Restated)</w:t>
            </w:r>
          </w:p>
        </w:tc>
        <w:tc>
          <w:tcPr>
            <w:tcW w:w="5634" w:type="dxa"/>
            <w:vAlign w:val="center"/>
          </w:tcPr>
          <w:p w14:paraId="45C3D87E" w14:textId="77777777" w:rsidR="0044187B" w:rsidRPr="000127EF" w:rsidRDefault="0044187B" w:rsidP="0080134D">
            <w:pPr>
              <w:jc w:val="center"/>
              <w:rPr>
                <w:b/>
              </w:rPr>
            </w:pPr>
            <w:r w:rsidRPr="000127EF">
              <w:rPr>
                <w:b/>
              </w:rPr>
              <w:t>Expenditure / Income Analysed by Type</w:t>
            </w:r>
          </w:p>
        </w:tc>
        <w:tc>
          <w:tcPr>
            <w:tcW w:w="1534" w:type="dxa"/>
          </w:tcPr>
          <w:p w14:paraId="05553903" w14:textId="00F438B6" w:rsidR="009B4536" w:rsidRPr="000763A2" w:rsidRDefault="00864BA5" w:rsidP="009B4536">
            <w:pPr>
              <w:jc w:val="center"/>
              <w:rPr>
                <w:b/>
              </w:rPr>
            </w:pPr>
            <w:r w:rsidRPr="000763A2">
              <w:rPr>
                <w:b/>
              </w:rPr>
              <w:t>2019/20</w:t>
            </w:r>
          </w:p>
        </w:tc>
      </w:tr>
      <w:tr w:rsidR="0044187B" w:rsidRPr="000127EF" w14:paraId="2D9CDA9E" w14:textId="77777777" w:rsidTr="0080134D">
        <w:trPr>
          <w:jc w:val="center"/>
        </w:trPr>
        <w:tc>
          <w:tcPr>
            <w:tcW w:w="1454" w:type="dxa"/>
          </w:tcPr>
          <w:p w14:paraId="03C5C446" w14:textId="77777777" w:rsidR="0044187B" w:rsidRPr="000127EF" w:rsidRDefault="0044187B" w:rsidP="0080134D">
            <w:pPr>
              <w:jc w:val="center"/>
              <w:rPr>
                <w:b/>
                <w:i/>
              </w:rPr>
            </w:pPr>
            <w:r w:rsidRPr="000127EF">
              <w:rPr>
                <w:b/>
                <w:i/>
              </w:rPr>
              <w:t>£000</w:t>
            </w:r>
          </w:p>
        </w:tc>
        <w:tc>
          <w:tcPr>
            <w:tcW w:w="5634" w:type="dxa"/>
          </w:tcPr>
          <w:p w14:paraId="55077444" w14:textId="77777777" w:rsidR="0044187B" w:rsidRPr="000127EF" w:rsidRDefault="0044187B" w:rsidP="0080134D">
            <w:pPr>
              <w:jc w:val="center"/>
              <w:rPr>
                <w:b/>
              </w:rPr>
            </w:pPr>
          </w:p>
        </w:tc>
        <w:tc>
          <w:tcPr>
            <w:tcW w:w="1534" w:type="dxa"/>
            <w:shd w:val="clear" w:color="auto" w:fill="C5E0B3" w:themeFill="accent6" w:themeFillTint="66"/>
          </w:tcPr>
          <w:p w14:paraId="1A042F72" w14:textId="77777777" w:rsidR="0044187B" w:rsidRPr="000763A2" w:rsidRDefault="0044187B" w:rsidP="0080134D">
            <w:pPr>
              <w:jc w:val="center"/>
              <w:rPr>
                <w:b/>
              </w:rPr>
            </w:pPr>
            <w:r w:rsidRPr="000763A2">
              <w:rPr>
                <w:b/>
              </w:rPr>
              <w:t>£000</w:t>
            </w:r>
          </w:p>
        </w:tc>
      </w:tr>
      <w:tr w:rsidR="0044187B" w:rsidRPr="000127EF" w14:paraId="57AE4290" w14:textId="77777777" w:rsidTr="0080134D">
        <w:trPr>
          <w:jc w:val="center"/>
        </w:trPr>
        <w:tc>
          <w:tcPr>
            <w:tcW w:w="1454" w:type="dxa"/>
            <w:tcBorders>
              <w:bottom w:val="nil"/>
            </w:tcBorders>
          </w:tcPr>
          <w:p w14:paraId="757BADB2" w14:textId="77777777" w:rsidR="0044187B" w:rsidRPr="000127EF" w:rsidRDefault="0044187B" w:rsidP="0080134D">
            <w:pPr>
              <w:jc w:val="right"/>
              <w:rPr>
                <w:i/>
              </w:rPr>
            </w:pPr>
          </w:p>
        </w:tc>
        <w:tc>
          <w:tcPr>
            <w:tcW w:w="5634" w:type="dxa"/>
            <w:tcBorders>
              <w:bottom w:val="nil"/>
            </w:tcBorders>
          </w:tcPr>
          <w:p w14:paraId="24C37EC0" w14:textId="77777777" w:rsidR="0044187B" w:rsidRPr="000127EF" w:rsidRDefault="0044187B" w:rsidP="0080134D">
            <w:pPr>
              <w:rPr>
                <w:rFonts w:cs="Arial"/>
                <w:b/>
                <w:szCs w:val="22"/>
                <w:lang w:val="en-US"/>
              </w:rPr>
            </w:pPr>
            <w:r w:rsidRPr="000127EF">
              <w:rPr>
                <w:rFonts w:cs="Arial"/>
                <w:b/>
                <w:szCs w:val="22"/>
                <w:lang w:val="en-US"/>
              </w:rPr>
              <w:t>Expenditure</w:t>
            </w:r>
          </w:p>
        </w:tc>
        <w:tc>
          <w:tcPr>
            <w:tcW w:w="1534" w:type="dxa"/>
            <w:tcBorders>
              <w:bottom w:val="nil"/>
            </w:tcBorders>
            <w:shd w:val="clear" w:color="auto" w:fill="C5E0B3" w:themeFill="accent6" w:themeFillTint="66"/>
            <w:vAlign w:val="center"/>
          </w:tcPr>
          <w:p w14:paraId="7AE2539A" w14:textId="77777777" w:rsidR="0044187B" w:rsidRPr="000763A2" w:rsidRDefault="0044187B" w:rsidP="0080134D">
            <w:pPr>
              <w:jc w:val="right"/>
              <w:rPr>
                <w:rFonts w:cs="Arial"/>
                <w:color w:val="000000"/>
                <w:szCs w:val="22"/>
              </w:rPr>
            </w:pPr>
            <w:r w:rsidRPr="000763A2">
              <w:rPr>
                <w:rFonts w:cs="Arial"/>
                <w:color w:val="000000"/>
                <w:szCs w:val="22"/>
              </w:rPr>
              <w:t> </w:t>
            </w:r>
          </w:p>
        </w:tc>
      </w:tr>
      <w:tr w:rsidR="00864BA5" w:rsidRPr="000127EF" w14:paraId="6DEACCA8" w14:textId="77777777" w:rsidTr="00E335D7">
        <w:trPr>
          <w:jc w:val="center"/>
        </w:trPr>
        <w:tc>
          <w:tcPr>
            <w:tcW w:w="1454" w:type="dxa"/>
            <w:tcBorders>
              <w:bottom w:val="nil"/>
            </w:tcBorders>
            <w:vAlign w:val="center"/>
          </w:tcPr>
          <w:p w14:paraId="533C85D3" w14:textId="1274A731" w:rsidR="00864BA5" w:rsidRPr="000127EF" w:rsidRDefault="00F766BE" w:rsidP="00C53116">
            <w:pPr>
              <w:jc w:val="right"/>
              <w:rPr>
                <w:rFonts w:cs="Arial"/>
                <w:i/>
                <w:color w:val="000000"/>
                <w:szCs w:val="22"/>
              </w:rPr>
            </w:pPr>
            <w:r>
              <w:rPr>
                <w:rFonts w:cs="Arial"/>
                <w:color w:val="000000"/>
                <w:szCs w:val="22"/>
              </w:rPr>
              <w:t>1</w:t>
            </w:r>
            <w:r w:rsidR="00C53116">
              <w:rPr>
                <w:rFonts w:cs="Arial"/>
                <w:color w:val="000000"/>
                <w:szCs w:val="22"/>
              </w:rPr>
              <w:t>6</w:t>
            </w:r>
            <w:r w:rsidR="00864BA5" w:rsidRPr="000127EF">
              <w:rPr>
                <w:rFonts w:cs="Arial"/>
                <w:color w:val="000000"/>
                <w:szCs w:val="22"/>
              </w:rPr>
              <w:t>,</w:t>
            </w:r>
            <w:r w:rsidR="00C53116">
              <w:rPr>
                <w:rFonts w:cs="Arial"/>
                <w:color w:val="000000"/>
                <w:szCs w:val="22"/>
              </w:rPr>
              <w:t>128</w:t>
            </w:r>
          </w:p>
        </w:tc>
        <w:tc>
          <w:tcPr>
            <w:tcW w:w="5634" w:type="dxa"/>
            <w:tcBorders>
              <w:bottom w:val="nil"/>
            </w:tcBorders>
          </w:tcPr>
          <w:p w14:paraId="53E6BEA0" w14:textId="77777777" w:rsidR="00864BA5" w:rsidRPr="000127EF" w:rsidRDefault="00864BA5" w:rsidP="00864BA5">
            <w:pPr>
              <w:ind w:left="198" w:hanging="56"/>
              <w:rPr>
                <w:rFonts w:cs="Arial"/>
                <w:szCs w:val="22"/>
                <w:lang w:val="en-US"/>
              </w:rPr>
            </w:pPr>
            <w:r w:rsidRPr="000127EF">
              <w:rPr>
                <w:rFonts w:cs="Arial"/>
                <w:szCs w:val="22"/>
                <w:lang w:val="en-US"/>
              </w:rPr>
              <w:t>Employee Benefits</w:t>
            </w:r>
          </w:p>
        </w:tc>
        <w:tc>
          <w:tcPr>
            <w:tcW w:w="1534" w:type="dxa"/>
            <w:tcBorders>
              <w:bottom w:val="nil"/>
            </w:tcBorders>
            <w:shd w:val="clear" w:color="auto" w:fill="C5E0B3" w:themeFill="accent6" w:themeFillTint="66"/>
            <w:vAlign w:val="center"/>
          </w:tcPr>
          <w:p w14:paraId="562BEB32" w14:textId="2FDBAF59" w:rsidR="00864BA5" w:rsidRPr="000763A2" w:rsidRDefault="00B965F9" w:rsidP="00864BA5">
            <w:pPr>
              <w:jc w:val="right"/>
              <w:rPr>
                <w:rFonts w:cs="Arial"/>
                <w:color w:val="000000"/>
                <w:szCs w:val="22"/>
              </w:rPr>
            </w:pPr>
            <w:r>
              <w:rPr>
                <w:rFonts w:cs="Arial"/>
                <w:color w:val="000000"/>
                <w:szCs w:val="22"/>
              </w:rPr>
              <w:t>19,714</w:t>
            </w:r>
          </w:p>
        </w:tc>
      </w:tr>
      <w:tr w:rsidR="00864BA5" w:rsidRPr="000127EF" w14:paraId="2F0EA932" w14:textId="77777777" w:rsidTr="00E335D7">
        <w:trPr>
          <w:jc w:val="center"/>
        </w:trPr>
        <w:tc>
          <w:tcPr>
            <w:tcW w:w="1454" w:type="dxa"/>
            <w:tcBorders>
              <w:bottom w:val="nil"/>
            </w:tcBorders>
            <w:vAlign w:val="center"/>
          </w:tcPr>
          <w:p w14:paraId="63BA2DA8" w14:textId="602CE7EF" w:rsidR="00864BA5" w:rsidRPr="000127EF" w:rsidRDefault="00B965F9" w:rsidP="00FC1F62">
            <w:pPr>
              <w:jc w:val="right"/>
              <w:rPr>
                <w:rFonts w:cs="Arial"/>
                <w:i/>
                <w:color w:val="000000"/>
                <w:szCs w:val="22"/>
              </w:rPr>
            </w:pPr>
            <w:r>
              <w:rPr>
                <w:rFonts w:cs="Arial"/>
                <w:color w:val="000000"/>
                <w:szCs w:val="22"/>
              </w:rPr>
              <w:t>4</w:t>
            </w:r>
            <w:r w:rsidR="00FC1F62">
              <w:rPr>
                <w:rFonts w:cs="Arial"/>
                <w:color w:val="000000"/>
                <w:szCs w:val="22"/>
              </w:rPr>
              <w:t>2</w:t>
            </w:r>
            <w:r w:rsidR="00864BA5" w:rsidRPr="000127EF">
              <w:rPr>
                <w:rFonts w:cs="Arial"/>
                <w:color w:val="000000"/>
                <w:szCs w:val="22"/>
              </w:rPr>
              <w:t>,</w:t>
            </w:r>
            <w:r w:rsidR="00FC1F62">
              <w:rPr>
                <w:rFonts w:cs="Arial"/>
                <w:color w:val="000000"/>
                <w:szCs w:val="22"/>
              </w:rPr>
              <w:t>475</w:t>
            </w:r>
          </w:p>
        </w:tc>
        <w:tc>
          <w:tcPr>
            <w:tcW w:w="5634" w:type="dxa"/>
            <w:tcBorders>
              <w:bottom w:val="nil"/>
            </w:tcBorders>
          </w:tcPr>
          <w:p w14:paraId="78768422" w14:textId="77777777" w:rsidR="00864BA5" w:rsidRPr="000127EF" w:rsidRDefault="00864BA5" w:rsidP="00864BA5">
            <w:pPr>
              <w:ind w:left="198" w:hanging="56"/>
              <w:rPr>
                <w:rFonts w:cs="Arial"/>
                <w:szCs w:val="22"/>
                <w:lang w:val="en-US"/>
              </w:rPr>
            </w:pPr>
            <w:r w:rsidRPr="000127EF">
              <w:rPr>
                <w:rFonts w:cs="Arial"/>
                <w:szCs w:val="22"/>
                <w:lang w:val="en-US"/>
              </w:rPr>
              <w:t>Other Service Expenditure</w:t>
            </w:r>
          </w:p>
        </w:tc>
        <w:tc>
          <w:tcPr>
            <w:tcW w:w="1534" w:type="dxa"/>
            <w:tcBorders>
              <w:bottom w:val="nil"/>
            </w:tcBorders>
            <w:shd w:val="clear" w:color="auto" w:fill="C5E0B3" w:themeFill="accent6" w:themeFillTint="66"/>
            <w:vAlign w:val="center"/>
          </w:tcPr>
          <w:p w14:paraId="75B80116" w14:textId="53466058" w:rsidR="00864BA5" w:rsidRPr="000763A2" w:rsidRDefault="00B965F9" w:rsidP="007462B5">
            <w:pPr>
              <w:jc w:val="right"/>
              <w:rPr>
                <w:rFonts w:cs="Arial"/>
                <w:color w:val="000000"/>
                <w:szCs w:val="22"/>
              </w:rPr>
            </w:pPr>
            <w:r>
              <w:rPr>
                <w:rFonts w:cs="Arial"/>
                <w:color w:val="000000"/>
                <w:szCs w:val="22"/>
              </w:rPr>
              <w:t>40</w:t>
            </w:r>
            <w:r w:rsidR="000763A2" w:rsidRPr="000763A2">
              <w:rPr>
                <w:rFonts w:cs="Arial"/>
                <w:color w:val="000000"/>
                <w:szCs w:val="22"/>
              </w:rPr>
              <w:t>,</w:t>
            </w:r>
            <w:r w:rsidR="007462B5">
              <w:rPr>
                <w:rFonts w:cs="Arial"/>
                <w:color w:val="000000"/>
                <w:szCs w:val="22"/>
              </w:rPr>
              <w:t>205</w:t>
            </w:r>
          </w:p>
        </w:tc>
      </w:tr>
      <w:tr w:rsidR="00864BA5" w:rsidRPr="000127EF" w14:paraId="63EBDEB8" w14:textId="77777777" w:rsidTr="00E335D7">
        <w:trPr>
          <w:jc w:val="center"/>
        </w:trPr>
        <w:tc>
          <w:tcPr>
            <w:tcW w:w="1454" w:type="dxa"/>
            <w:tcBorders>
              <w:bottom w:val="nil"/>
            </w:tcBorders>
            <w:vAlign w:val="center"/>
          </w:tcPr>
          <w:p w14:paraId="607DB4E9" w14:textId="5907EFA9" w:rsidR="00864BA5" w:rsidRPr="000127EF" w:rsidRDefault="00864BA5" w:rsidP="00864BA5">
            <w:pPr>
              <w:jc w:val="right"/>
              <w:rPr>
                <w:rFonts w:cs="Arial"/>
                <w:i/>
                <w:color w:val="000000"/>
                <w:szCs w:val="22"/>
              </w:rPr>
            </w:pPr>
            <w:r w:rsidRPr="000127EF">
              <w:rPr>
                <w:rFonts w:cs="Arial"/>
                <w:color w:val="000000"/>
                <w:szCs w:val="22"/>
              </w:rPr>
              <w:t>8,108</w:t>
            </w:r>
          </w:p>
        </w:tc>
        <w:tc>
          <w:tcPr>
            <w:tcW w:w="5634" w:type="dxa"/>
            <w:tcBorders>
              <w:bottom w:val="nil"/>
            </w:tcBorders>
          </w:tcPr>
          <w:p w14:paraId="51922F00" w14:textId="77777777" w:rsidR="00864BA5" w:rsidRPr="000127EF" w:rsidRDefault="00864BA5" w:rsidP="00864BA5">
            <w:pPr>
              <w:ind w:left="198" w:hanging="56"/>
              <w:rPr>
                <w:rFonts w:cs="Arial"/>
                <w:szCs w:val="22"/>
                <w:lang w:val="en-US"/>
              </w:rPr>
            </w:pPr>
            <w:r w:rsidRPr="000127EF">
              <w:rPr>
                <w:rFonts w:cs="Arial"/>
                <w:szCs w:val="22"/>
                <w:lang w:val="en-US"/>
              </w:rPr>
              <w:t>Capital Charges</w:t>
            </w:r>
          </w:p>
        </w:tc>
        <w:tc>
          <w:tcPr>
            <w:tcW w:w="1534" w:type="dxa"/>
            <w:tcBorders>
              <w:bottom w:val="nil"/>
            </w:tcBorders>
            <w:shd w:val="clear" w:color="auto" w:fill="C5E0B3" w:themeFill="accent6" w:themeFillTint="66"/>
            <w:vAlign w:val="center"/>
          </w:tcPr>
          <w:p w14:paraId="70220377" w14:textId="7EF9C116" w:rsidR="00864BA5" w:rsidRPr="000763A2" w:rsidRDefault="000763A2" w:rsidP="00864BA5">
            <w:pPr>
              <w:jc w:val="right"/>
              <w:rPr>
                <w:rFonts w:cs="Arial"/>
                <w:color w:val="000000"/>
                <w:szCs w:val="22"/>
              </w:rPr>
            </w:pPr>
            <w:r w:rsidRPr="000763A2">
              <w:rPr>
                <w:rFonts w:cs="Arial"/>
                <w:color w:val="000000"/>
                <w:szCs w:val="22"/>
              </w:rPr>
              <w:t>3,543</w:t>
            </w:r>
          </w:p>
        </w:tc>
      </w:tr>
      <w:tr w:rsidR="00864BA5" w:rsidRPr="000127EF" w14:paraId="107CC98A" w14:textId="77777777" w:rsidTr="00E335D7">
        <w:trPr>
          <w:jc w:val="center"/>
        </w:trPr>
        <w:tc>
          <w:tcPr>
            <w:tcW w:w="1454" w:type="dxa"/>
            <w:tcBorders>
              <w:bottom w:val="nil"/>
            </w:tcBorders>
            <w:vAlign w:val="center"/>
          </w:tcPr>
          <w:p w14:paraId="6ACC27A9" w14:textId="35C2F5CE" w:rsidR="00864BA5" w:rsidRPr="000127EF" w:rsidRDefault="00864BA5" w:rsidP="00864BA5">
            <w:pPr>
              <w:jc w:val="right"/>
              <w:rPr>
                <w:rFonts w:cs="Arial"/>
                <w:i/>
                <w:color w:val="000000"/>
                <w:szCs w:val="22"/>
              </w:rPr>
            </w:pPr>
            <w:r w:rsidRPr="000127EF">
              <w:rPr>
                <w:rFonts w:cs="Arial"/>
                <w:color w:val="000000"/>
                <w:szCs w:val="22"/>
              </w:rPr>
              <w:t>2,068</w:t>
            </w:r>
          </w:p>
        </w:tc>
        <w:tc>
          <w:tcPr>
            <w:tcW w:w="5634" w:type="dxa"/>
            <w:tcBorders>
              <w:bottom w:val="nil"/>
            </w:tcBorders>
          </w:tcPr>
          <w:p w14:paraId="351A7109" w14:textId="77777777" w:rsidR="00864BA5" w:rsidRPr="000127EF" w:rsidRDefault="00864BA5" w:rsidP="00864BA5">
            <w:pPr>
              <w:ind w:left="198" w:hanging="56"/>
              <w:rPr>
                <w:rFonts w:cs="Arial"/>
                <w:szCs w:val="22"/>
                <w:lang w:val="en-US"/>
              </w:rPr>
            </w:pPr>
            <w:r w:rsidRPr="000127EF">
              <w:rPr>
                <w:rFonts w:cs="Arial"/>
                <w:szCs w:val="22"/>
                <w:lang w:val="en-US"/>
              </w:rPr>
              <w:t>Interest Payments</w:t>
            </w:r>
          </w:p>
        </w:tc>
        <w:tc>
          <w:tcPr>
            <w:tcW w:w="1534" w:type="dxa"/>
            <w:tcBorders>
              <w:bottom w:val="nil"/>
            </w:tcBorders>
            <w:shd w:val="clear" w:color="auto" w:fill="C5E0B3" w:themeFill="accent6" w:themeFillTint="66"/>
            <w:vAlign w:val="center"/>
          </w:tcPr>
          <w:p w14:paraId="526F3CD0" w14:textId="4E717243" w:rsidR="00864BA5" w:rsidRPr="000763A2" w:rsidRDefault="000763A2" w:rsidP="00864BA5">
            <w:pPr>
              <w:jc w:val="right"/>
              <w:rPr>
                <w:rFonts w:cs="Arial"/>
                <w:color w:val="000000"/>
                <w:szCs w:val="22"/>
              </w:rPr>
            </w:pPr>
            <w:r w:rsidRPr="000763A2">
              <w:rPr>
                <w:rFonts w:cs="Arial"/>
                <w:color w:val="000000"/>
                <w:szCs w:val="22"/>
              </w:rPr>
              <w:t>2,205</w:t>
            </w:r>
          </w:p>
        </w:tc>
      </w:tr>
      <w:tr w:rsidR="00864BA5" w:rsidRPr="000127EF" w14:paraId="1EE35F1F" w14:textId="77777777" w:rsidTr="00E335D7">
        <w:trPr>
          <w:jc w:val="center"/>
        </w:trPr>
        <w:tc>
          <w:tcPr>
            <w:tcW w:w="1454" w:type="dxa"/>
            <w:tcBorders>
              <w:bottom w:val="nil"/>
            </w:tcBorders>
            <w:vAlign w:val="center"/>
          </w:tcPr>
          <w:p w14:paraId="1E4C5BAC" w14:textId="68BEC2D6" w:rsidR="00864BA5" w:rsidRPr="000127EF" w:rsidRDefault="00864BA5" w:rsidP="00864BA5">
            <w:pPr>
              <w:jc w:val="right"/>
              <w:rPr>
                <w:rFonts w:cs="Arial"/>
                <w:i/>
                <w:color w:val="000000"/>
                <w:szCs w:val="22"/>
              </w:rPr>
            </w:pPr>
            <w:r w:rsidRPr="000127EF">
              <w:rPr>
                <w:rFonts w:cs="Arial"/>
                <w:color w:val="000000"/>
                <w:szCs w:val="22"/>
              </w:rPr>
              <w:t>732</w:t>
            </w:r>
          </w:p>
        </w:tc>
        <w:tc>
          <w:tcPr>
            <w:tcW w:w="5634" w:type="dxa"/>
            <w:tcBorders>
              <w:bottom w:val="nil"/>
            </w:tcBorders>
          </w:tcPr>
          <w:p w14:paraId="72659339" w14:textId="77777777" w:rsidR="00864BA5" w:rsidRPr="000127EF" w:rsidRDefault="00864BA5" w:rsidP="00864BA5">
            <w:pPr>
              <w:ind w:left="198" w:hanging="56"/>
              <w:rPr>
                <w:rFonts w:cs="Arial"/>
                <w:szCs w:val="22"/>
                <w:lang w:val="en-US"/>
              </w:rPr>
            </w:pPr>
            <w:r w:rsidRPr="000127EF">
              <w:rPr>
                <w:rFonts w:cs="Arial"/>
                <w:szCs w:val="22"/>
                <w:lang w:val="en-US"/>
              </w:rPr>
              <w:t>Precepts and Levies</w:t>
            </w:r>
          </w:p>
        </w:tc>
        <w:tc>
          <w:tcPr>
            <w:tcW w:w="1534" w:type="dxa"/>
            <w:tcBorders>
              <w:bottom w:val="nil"/>
            </w:tcBorders>
            <w:shd w:val="clear" w:color="auto" w:fill="C5E0B3" w:themeFill="accent6" w:themeFillTint="66"/>
            <w:vAlign w:val="center"/>
          </w:tcPr>
          <w:p w14:paraId="3DCDE552" w14:textId="7139452F" w:rsidR="00864BA5" w:rsidRPr="000763A2" w:rsidRDefault="000763A2" w:rsidP="00864BA5">
            <w:pPr>
              <w:jc w:val="right"/>
              <w:rPr>
                <w:rFonts w:cs="Arial"/>
                <w:color w:val="000000"/>
                <w:szCs w:val="22"/>
              </w:rPr>
            </w:pPr>
            <w:r w:rsidRPr="000763A2">
              <w:rPr>
                <w:rFonts w:cs="Arial"/>
                <w:color w:val="000000"/>
                <w:szCs w:val="22"/>
              </w:rPr>
              <w:t>746</w:t>
            </w:r>
          </w:p>
        </w:tc>
      </w:tr>
      <w:tr w:rsidR="00864BA5" w:rsidRPr="000127EF" w14:paraId="6B8EF4CC" w14:textId="77777777" w:rsidTr="00E335D7">
        <w:trPr>
          <w:jc w:val="center"/>
        </w:trPr>
        <w:tc>
          <w:tcPr>
            <w:tcW w:w="1454" w:type="dxa"/>
            <w:tcBorders>
              <w:bottom w:val="nil"/>
            </w:tcBorders>
            <w:vAlign w:val="center"/>
          </w:tcPr>
          <w:p w14:paraId="13C4E40F" w14:textId="77176E22" w:rsidR="00864BA5" w:rsidRPr="000127EF" w:rsidRDefault="00864BA5" w:rsidP="00864BA5">
            <w:pPr>
              <w:jc w:val="right"/>
              <w:rPr>
                <w:rFonts w:cs="Arial"/>
                <w:i/>
                <w:color w:val="000000"/>
                <w:szCs w:val="22"/>
              </w:rPr>
            </w:pPr>
            <w:r w:rsidRPr="000127EF">
              <w:rPr>
                <w:rFonts w:cs="Arial"/>
                <w:color w:val="000000"/>
                <w:szCs w:val="22"/>
              </w:rPr>
              <w:t>(32)</w:t>
            </w:r>
          </w:p>
        </w:tc>
        <w:tc>
          <w:tcPr>
            <w:tcW w:w="5634" w:type="dxa"/>
            <w:tcBorders>
              <w:bottom w:val="nil"/>
            </w:tcBorders>
          </w:tcPr>
          <w:p w14:paraId="036DC4FB" w14:textId="77777777" w:rsidR="00864BA5" w:rsidRPr="000127EF" w:rsidRDefault="00864BA5" w:rsidP="00864BA5">
            <w:pPr>
              <w:ind w:left="198" w:hanging="56"/>
              <w:rPr>
                <w:rFonts w:cs="Arial"/>
                <w:szCs w:val="22"/>
                <w:lang w:val="en-US"/>
              </w:rPr>
            </w:pPr>
            <w:r w:rsidRPr="000127EF">
              <w:rPr>
                <w:rFonts w:cs="Arial"/>
                <w:szCs w:val="22"/>
                <w:lang w:val="en-US"/>
              </w:rPr>
              <w:t>Gain on the Disposal of Assets</w:t>
            </w:r>
          </w:p>
        </w:tc>
        <w:tc>
          <w:tcPr>
            <w:tcW w:w="1534" w:type="dxa"/>
            <w:tcBorders>
              <w:bottom w:val="nil"/>
            </w:tcBorders>
            <w:shd w:val="clear" w:color="auto" w:fill="C5E0B3" w:themeFill="accent6" w:themeFillTint="66"/>
            <w:vAlign w:val="center"/>
          </w:tcPr>
          <w:p w14:paraId="252A8722" w14:textId="3D201BE7" w:rsidR="00864BA5" w:rsidRPr="000763A2" w:rsidRDefault="000763A2" w:rsidP="00864BA5">
            <w:pPr>
              <w:jc w:val="right"/>
              <w:rPr>
                <w:rFonts w:cs="Arial"/>
                <w:color w:val="000000"/>
                <w:szCs w:val="22"/>
              </w:rPr>
            </w:pPr>
            <w:r w:rsidRPr="000763A2">
              <w:rPr>
                <w:rFonts w:cs="Arial"/>
                <w:color w:val="000000"/>
                <w:szCs w:val="22"/>
              </w:rPr>
              <w:t>(136)</w:t>
            </w:r>
          </w:p>
        </w:tc>
      </w:tr>
      <w:tr w:rsidR="00864BA5" w:rsidRPr="000127EF" w14:paraId="44BE554E" w14:textId="77777777" w:rsidTr="00F310DA">
        <w:trPr>
          <w:jc w:val="center"/>
        </w:trPr>
        <w:tc>
          <w:tcPr>
            <w:tcW w:w="1454" w:type="dxa"/>
            <w:tcBorders>
              <w:top w:val="single" w:sz="4" w:space="0" w:color="auto"/>
              <w:bottom w:val="nil"/>
            </w:tcBorders>
            <w:vAlign w:val="center"/>
          </w:tcPr>
          <w:p w14:paraId="665220F5" w14:textId="3A40B0E2" w:rsidR="00864BA5" w:rsidRPr="000127EF" w:rsidRDefault="00FC1F62" w:rsidP="00F766BE">
            <w:pPr>
              <w:jc w:val="right"/>
              <w:rPr>
                <w:b/>
                <w:i/>
              </w:rPr>
            </w:pPr>
            <w:r>
              <w:rPr>
                <w:b/>
                <w:i/>
              </w:rPr>
              <w:t>69,479</w:t>
            </w:r>
          </w:p>
        </w:tc>
        <w:tc>
          <w:tcPr>
            <w:tcW w:w="5634" w:type="dxa"/>
            <w:tcBorders>
              <w:top w:val="nil"/>
              <w:bottom w:val="nil"/>
            </w:tcBorders>
          </w:tcPr>
          <w:p w14:paraId="77C731BD" w14:textId="77777777" w:rsidR="00864BA5" w:rsidRPr="000127EF" w:rsidRDefault="00864BA5" w:rsidP="00864BA5">
            <w:pPr>
              <w:rPr>
                <w:rFonts w:cs="Arial"/>
                <w:b/>
                <w:szCs w:val="22"/>
                <w:lang w:val="en-US"/>
              </w:rPr>
            </w:pPr>
            <w:r w:rsidRPr="000127EF">
              <w:rPr>
                <w:rFonts w:cs="Arial"/>
                <w:b/>
                <w:szCs w:val="22"/>
                <w:lang w:val="en-US"/>
              </w:rPr>
              <w:t>Total Expenditure</w:t>
            </w:r>
          </w:p>
        </w:tc>
        <w:tc>
          <w:tcPr>
            <w:tcW w:w="1534" w:type="dxa"/>
            <w:tcBorders>
              <w:top w:val="single" w:sz="4" w:space="0" w:color="auto"/>
              <w:bottom w:val="nil"/>
            </w:tcBorders>
            <w:shd w:val="clear" w:color="auto" w:fill="C5E0B3" w:themeFill="accent6" w:themeFillTint="66"/>
            <w:vAlign w:val="center"/>
          </w:tcPr>
          <w:p w14:paraId="2FCC1E97" w14:textId="46D96A3A" w:rsidR="00864BA5" w:rsidRPr="000763A2" w:rsidRDefault="00B965F9" w:rsidP="007462B5">
            <w:pPr>
              <w:jc w:val="right"/>
              <w:rPr>
                <w:rFonts w:cs="Arial"/>
                <w:b/>
                <w:bCs/>
                <w:color w:val="000000"/>
                <w:szCs w:val="22"/>
              </w:rPr>
            </w:pPr>
            <w:r>
              <w:rPr>
                <w:rFonts w:cs="Arial"/>
                <w:b/>
                <w:bCs/>
                <w:color w:val="000000"/>
                <w:szCs w:val="22"/>
              </w:rPr>
              <w:t>66</w:t>
            </w:r>
            <w:r w:rsidR="000763A2" w:rsidRPr="000763A2">
              <w:rPr>
                <w:rFonts w:cs="Arial"/>
                <w:b/>
                <w:bCs/>
                <w:color w:val="000000"/>
                <w:szCs w:val="22"/>
              </w:rPr>
              <w:t>,</w:t>
            </w:r>
            <w:r w:rsidR="007462B5">
              <w:rPr>
                <w:rFonts w:cs="Arial"/>
                <w:b/>
                <w:bCs/>
                <w:color w:val="000000"/>
                <w:szCs w:val="22"/>
              </w:rPr>
              <w:t>277</w:t>
            </w:r>
          </w:p>
        </w:tc>
      </w:tr>
      <w:tr w:rsidR="00864BA5" w:rsidRPr="000127EF" w14:paraId="0868FDF0" w14:textId="77777777" w:rsidTr="00F310DA">
        <w:trPr>
          <w:jc w:val="center"/>
        </w:trPr>
        <w:tc>
          <w:tcPr>
            <w:tcW w:w="1454" w:type="dxa"/>
            <w:tcBorders>
              <w:top w:val="nil"/>
              <w:bottom w:val="nil"/>
            </w:tcBorders>
            <w:vAlign w:val="center"/>
          </w:tcPr>
          <w:p w14:paraId="54DB71FE" w14:textId="77777777" w:rsidR="00864BA5" w:rsidRPr="000127EF" w:rsidRDefault="00864BA5" w:rsidP="00864BA5">
            <w:pPr>
              <w:jc w:val="right"/>
              <w:rPr>
                <w:i/>
              </w:rPr>
            </w:pPr>
          </w:p>
        </w:tc>
        <w:tc>
          <w:tcPr>
            <w:tcW w:w="5634" w:type="dxa"/>
            <w:tcBorders>
              <w:top w:val="nil"/>
              <w:bottom w:val="nil"/>
            </w:tcBorders>
          </w:tcPr>
          <w:p w14:paraId="01B10341" w14:textId="77777777" w:rsidR="00864BA5" w:rsidRPr="000127EF" w:rsidRDefault="00864BA5" w:rsidP="00864BA5">
            <w:pPr>
              <w:rPr>
                <w:rFonts w:cs="Arial"/>
                <w:b/>
                <w:szCs w:val="22"/>
                <w:lang w:val="en-US"/>
              </w:rPr>
            </w:pPr>
            <w:r w:rsidRPr="000127EF">
              <w:rPr>
                <w:rFonts w:cs="Arial"/>
                <w:b/>
                <w:szCs w:val="22"/>
                <w:lang w:val="en-US"/>
              </w:rPr>
              <w:t>Income</w:t>
            </w:r>
          </w:p>
        </w:tc>
        <w:tc>
          <w:tcPr>
            <w:tcW w:w="1534" w:type="dxa"/>
            <w:tcBorders>
              <w:top w:val="nil"/>
              <w:bottom w:val="nil"/>
            </w:tcBorders>
            <w:shd w:val="clear" w:color="auto" w:fill="C5E0B3" w:themeFill="accent6" w:themeFillTint="66"/>
            <w:vAlign w:val="center"/>
          </w:tcPr>
          <w:p w14:paraId="7ED69041" w14:textId="77777777" w:rsidR="00864BA5" w:rsidRPr="000763A2" w:rsidRDefault="00864BA5" w:rsidP="00864BA5">
            <w:pPr>
              <w:jc w:val="right"/>
              <w:rPr>
                <w:rFonts w:cs="Arial"/>
                <w:color w:val="000000"/>
                <w:szCs w:val="22"/>
              </w:rPr>
            </w:pPr>
          </w:p>
        </w:tc>
      </w:tr>
      <w:tr w:rsidR="00864BA5" w:rsidRPr="000127EF" w14:paraId="74998159" w14:textId="77777777" w:rsidTr="00E335D7">
        <w:trPr>
          <w:jc w:val="center"/>
        </w:trPr>
        <w:tc>
          <w:tcPr>
            <w:tcW w:w="1454" w:type="dxa"/>
            <w:tcBorders>
              <w:top w:val="nil"/>
              <w:bottom w:val="nil"/>
            </w:tcBorders>
            <w:vAlign w:val="center"/>
          </w:tcPr>
          <w:p w14:paraId="3EE28F05" w14:textId="39ABB31C" w:rsidR="00864BA5" w:rsidRPr="000127EF" w:rsidRDefault="00B965F9" w:rsidP="00B965F9">
            <w:pPr>
              <w:jc w:val="right"/>
              <w:rPr>
                <w:rFonts w:cs="Arial"/>
                <w:i/>
                <w:color w:val="000000"/>
                <w:szCs w:val="22"/>
              </w:rPr>
            </w:pPr>
            <w:r>
              <w:rPr>
                <w:rFonts w:cs="Arial"/>
                <w:color w:val="000000"/>
                <w:szCs w:val="22"/>
              </w:rPr>
              <w:t>(5</w:t>
            </w:r>
            <w:r w:rsidR="00864BA5" w:rsidRPr="000127EF">
              <w:rPr>
                <w:rFonts w:cs="Arial"/>
                <w:color w:val="000000"/>
                <w:szCs w:val="22"/>
              </w:rPr>
              <w:t>,5</w:t>
            </w:r>
            <w:r w:rsidR="00FC1F62">
              <w:rPr>
                <w:rFonts w:cs="Arial"/>
                <w:color w:val="000000"/>
                <w:szCs w:val="22"/>
              </w:rPr>
              <w:t>09</w:t>
            </w:r>
            <w:r w:rsidR="00864BA5" w:rsidRPr="000127EF">
              <w:rPr>
                <w:rFonts w:cs="Arial"/>
                <w:color w:val="000000"/>
                <w:szCs w:val="22"/>
              </w:rPr>
              <w:t>)</w:t>
            </w:r>
          </w:p>
        </w:tc>
        <w:tc>
          <w:tcPr>
            <w:tcW w:w="5634" w:type="dxa"/>
            <w:tcBorders>
              <w:top w:val="nil"/>
              <w:bottom w:val="nil"/>
            </w:tcBorders>
          </w:tcPr>
          <w:p w14:paraId="14957A73" w14:textId="77777777" w:rsidR="00864BA5" w:rsidRPr="000127EF" w:rsidRDefault="00864BA5" w:rsidP="00864BA5">
            <w:pPr>
              <w:ind w:left="198" w:hanging="56"/>
              <w:rPr>
                <w:rFonts w:cs="Arial"/>
                <w:szCs w:val="22"/>
                <w:lang w:val="en-US"/>
              </w:rPr>
            </w:pPr>
            <w:r w:rsidRPr="000127EF">
              <w:rPr>
                <w:rFonts w:cs="Arial"/>
                <w:szCs w:val="22"/>
                <w:lang w:val="en-US"/>
              </w:rPr>
              <w:t>Fee, Charges and other Service Income</w:t>
            </w:r>
          </w:p>
        </w:tc>
        <w:tc>
          <w:tcPr>
            <w:tcW w:w="1534" w:type="dxa"/>
            <w:tcBorders>
              <w:top w:val="nil"/>
              <w:bottom w:val="nil"/>
            </w:tcBorders>
            <w:shd w:val="clear" w:color="auto" w:fill="C5E0B3" w:themeFill="accent6" w:themeFillTint="66"/>
            <w:vAlign w:val="center"/>
          </w:tcPr>
          <w:p w14:paraId="45875A21" w14:textId="6BD51F61" w:rsidR="00864BA5" w:rsidRPr="000763A2" w:rsidRDefault="00B965F9" w:rsidP="007462B5">
            <w:pPr>
              <w:jc w:val="right"/>
              <w:rPr>
                <w:rFonts w:cs="Arial"/>
                <w:color w:val="000000"/>
                <w:szCs w:val="22"/>
              </w:rPr>
            </w:pPr>
            <w:r>
              <w:rPr>
                <w:rFonts w:cs="Arial"/>
                <w:color w:val="000000"/>
                <w:szCs w:val="22"/>
              </w:rPr>
              <w:t>(</w:t>
            </w:r>
            <w:r w:rsidR="007462B5">
              <w:rPr>
                <w:rFonts w:cs="Arial"/>
                <w:color w:val="000000"/>
                <w:szCs w:val="22"/>
              </w:rPr>
              <w:t>6,007</w:t>
            </w:r>
            <w:r w:rsidR="000763A2" w:rsidRPr="000763A2">
              <w:rPr>
                <w:rFonts w:cs="Arial"/>
                <w:color w:val="000000"/>
                <w:szCs w:val="22"/>
              </w:rPr>
              <w:t>)</w:t>
            </w:r>
          </w:p>
        </w:tc>
      </w:tr>
      <w:tr w:rsidR="00864BA5" w:rsidRPr="000127EF" w14:paraId="3D924903" w14:textId="77777777" w:rsidTr="00E335D7">
        <w:trPr>
          <w:jc w:val="center"/>
        </w:trPr>
        <w:tc>
          <w:tcPr>
            <w:tcW w:w="1454" w:type="dxa"/>
            <w:tcBorders>
              <w:top w:val="nil"/>
              <w:bottom w:val="nil"/>
            </w:tcBorders>
            <w:vAlign w:val="center"/>
          </w:tcPr>
          <w:p w14:paraId="4004199C" w14:textId="529BD9C0" w:rsidR="00864BA5" w:rsidRPr="000127EF" w:rsidRDefault="00864BA5" w:rsidP="00864BA5">
            <w:pPr>
              <w:jc w:val="right"/>
              <w:rPr>
                <w:rFonts w:cs="Arial"/>
                <w:i/>
                <w:color w:val="000000"/>
                <w:szCs w:val="22"/>
              </w:rPr>
            </w:pPr>
            <w:r w:rsidRPr="000127EF">
              <w:rPr>
                <w:rFonts w:cs="Arial"/>
                <w:color w:val="000000"/>
                <w:szCs w:val="22"/>
              </w:rPr>
              <w:t>(312)</w:t>
            </w:r>
          </w:p>
        </w:tc>
        <w:tc>
          <w:tcPr>
            <w:tcW w:w="5634" w:type="dxa"/>
            <w:tcBorders>
              <w:top w:val="nil"/>
              <w:bottom w:val="nil"/>
            </w:tcBorders>
          </w:tcPr>
          <w:p w14:paraId="78574D43" w14:textId="77777777" w:rsidR="00864BA5" w:rsidRPr="000127EF" w:rsidRDefault="00864BA5" w:rsidP="00864BA5">
            <w:pPr>
              <w:ind w:left="198" w:hanging="56"/>
              <w:rPr>
                <w:rFonts w:cs="Arial"/>
                <w:szCs w:val="22"/>
                <w:lang w:val="en-US"/>
              </w:rPr>
            </w:pPr>
            <w:r w:rsidRPr="000127EF">
              <w:rPr>
                <w:rFonts w:cs="Arial"/>
                <w:szCs w:val="22"/>
                <w:lang w:val="en-US"/>
              </w:rPr>
              <w:t>Interest &amp; Investment Income</w:t>
            </w:r>
          </w:p>
        </w:tc>
        <w:tc>
          <w:tcPr>
            <w:tcW w:w="1534" w:type="dxa"/>
            <w:tcBorders>
              <w:top w:val="nil"/>
              <w:bottom w:val="nil"/>
            </w:tcBorders>
            <w:shd w:val="clear" w:color="auto" w:fill="C5E0B3" w:themeFill="accent6" w:themeFillTint="66"/>
            <w:vAlign w:val="center"/>
          </w:tcPr>
          <w:p w14:paraId="483BEA24" w14:textId="0C7983C2" w:rsidR="00864BA5" w:rsidRPr="000763A2" w:rsidRDefault="000763A2" w:rsidP="00864BA5">
            <w:pPr>
              <w:jc w:val="right"/>
              <w:rPr>
                <w:rFonts w:cs="Arial"/>
                <w:color w:val="000000"/>
                <w:szCs w:val="22"/>
              </w:rPr>
            </w:pPr>
            <w:r w:rsidRPr="000763A2">
              <w:rPr>
                <w:rFonts w:cs="Arial"/>
                <w:color w:val="000000"/>
                <w:szCs w:val="22"/>
              </w:rPr>
              <w:t>(397)</w:t>
            </w:r>
          </w:p>
        </w:tc>
      </w:tr>
      <w:tr w:rsidR="00864BA5" w:rsidRPr="000127EF" w14:paraId="2394B768" w14:textId="77777777" w:rsidTr="00E335D7">
        <w:trPr>
          <w:jc w:val="center"/>
        </w:trPr>
        <w:tc>
          <w:tcPr>
            <w:tcW w:w="1454" w:type="dxa"/>
            <w:tcBorders>
              <w:top w:val="nil"/>
              <w:left w:val="single" w:sz="18" w:space="0" w:color="A8D08D" w:themeColor="accent6" w:themeTint="99"/>
              <w:bottom w:val="nil"/>
            </w:tcBorders>
            <w:vAlign w:val="center"/>
          </w:tcPr>
          <w:p w14:paraId="3007BB14" w14:textId="7C23575B" w:rsidR="00864BA5" w:rsidRPr="000127EF" w:rsidRDefault="00864BA5" w:rsidP="00864BA5">
            <w:pPr>
              <w:jc w:val="right"/>
              <w:rPr>
                <w:rFonts w:cs="Arial"/>
                <w:i/>
                <w:color w:val="000000"/>
                <w:szCs w:val="22"/>
              </w:rPr>
            </w:pPr>
            <w:r w:rsidRPr="000127EF">
              <w:rPr>
                <w:rFonts w:cs="Arial"/>
                <w:color w:val="000000"/>
                <w:szCs w:val="22"/>
              </w:rPr>
              <w:t>(36,629)</w:t>
            </w:r>
          </w:p>
        </w:tc>
        <w:tc>
          <w:tcPr>
            <w:tcW w:w="5634" w:type="dxa"/>
            <w:tcBorders>
              <w:top w:val="nil"/>
              <w:bottom w:val="nil"/>
            </w:tcBorders>
          </w:tcPr>
          <w:p w14:paraId="33A0B094" w14:textId="77777777" w:rsidR="00864BA5" w:rsidRPr="000127EF" w:rsidRDefault="00864BA5" w:rsidP="00864BA5">
            <w:pPr>
              <w:ind w:left="198" w:hanging="56"/>
              <w:rPr>
                <w:rFonts w:cs="Arial"/>
                <w:szCs w:val="22"/>
                <w:lang w:val="en-US"/>
              </w:rPr>
            </w:pPr>
            <w:r w:rsidRPr="000127EF">
              <w:rPr>
                <w:rFonts w:cs="Arial"/>
                <w:szCs w:val="22"/>
                <w:lang w:val="en-US"/>
              </w:rPr>
              <w:t>Income from Council Tax and Business Rates</w:t>
            </w:r>
          </w:p>
        </w:tc>
        <w:tc>
          <w:tcPr>
            <w:tcW w:w="1534" w:type="dxa"/>
            <w:tcBorders>
              <w:top w:val="nil"/>
              <w:bottom w:val="nil"/>
              <w:right w:val="single" w:sz="18" w:space="0" w:color="A8D08D" w:themeColor="accent6" w:themeTint="99"/>
            </w:tcBorders>
            <w:shd w:val="clear" w:color="auto" w:fill="C5E0B3" w:themeFill="accent6" w:themeFillTint="66"/>
            <w:vAlign w:val="center"/>
          </w:tcPr>
          <w:p w14:paraId="36A2EE17" w14:textId="2CC0613A" w:rsidR="00864BA5" w:rsidRPr="000763A2" w:rsidRDefault="000763A2" w:rsidP="00864BA5">
            <w:pPr>
              <w:jc w:val="right"/>
              <w:rPr>
                <w:rFonts w:cs="Arial"/>
                <w:color w:val="000000"/>
                <w:szCs w:val="22"/>
              </w:rPr>
            </w:pPr>
            <w:r w:rsidRPr="000763A2">
              <w:rPr>
                <w:rFonts w:cs="Arial"/>
                <w:color w:val="000000"/>
                <w:szCs w:val="22"/>
              </w:rPr>
              <w:t>(38,840)</w:t>
            </w:r>
          </w:p>
        </w:tc>
      </w:tr>
      <w:tr w:rsidR="00864BA5" w:rsidRPr="000127EF" w14:paraId="5BAFD262" w14:textId="77777777" w:rsidTr="00E335D7">
        <w:trPr>
          <w:jc w:val="center"/>
        </w:trPr>
        <w:tc>
          <w:tcPr>
            <w:tcW w:w="1454" w:type="dxa"/>
            <w:tcBorders>
              <w:top w:val="nil"/>
              <w:bottom w:val="single" w:sz="4" w:space="0" w:color="auto"/>
            </w:tcBorders>
            <w:vAlign w:val="center"/>
          </w:tcPr>
          <w:p w14:paraId="1B4CDC76" w14:textId="6082FB90" w:rsidR="00864BA5" w:rsidRPr="000127EF" w:rsidRDefault="00864BA5" w:rsidP="00864BA5">
            <w:pPr>
              <w:jc w:val="right"/>
              <w:rPr>
                <w:rFonts w:cs="Arial"/>
                <w:i/>
                <w:color w:val="000000"/>
                <w:szCs w:val="22"/>
              </w:rPr>
            </w:pPr>
            <w:r w:rsidRPr="000127EF">
              <w:rPr>
                <w:rFonts w:cs="Arial"/>
                <w:color w:val="000000"/>
                <w:szCs w:val="22"/>
              </w:rPr>
              <w:t>(23,879)</w:t>
            </w:r>
          </w:p>
        </w:tc>
        <w:tc>
          <w:tcPr>
            <w:tcW w:w="5634" w:type="dxa"/>
            <w:tcBorders>
              <w:top w:val="nil"/>
              <w:bottom w:val="nil"/>
            </w:tcBorders>
          </w:tcPr>
          <w:p w14:paraId="6EB25FE0" w14:textId="77777777" w:rsidR="00864BA5" w:rsidRPr="000127EF" w:rsidRDefault="00864BA5" w:rsidP="00864BA5">
            <w:pPr>
              <w:ind w:left="198" w:hanging="56"/>
              <w:rPr>
                <w:rFonts w:cs="Arial"/>
                <w:szCs w:val="22"/>
                <w:lang w:val="en-US"/>
              </w:rPr>
            </w:pPr>
            <w:r w:rsidRPr="000127EF">
              <w:rPr>
                <w:rFonts w:cs="Arial"/>
                <w:szCs w:val="22"/>
                <w:lang w:val="en-US"/>
              </w:rPr>
              <w:t>Government Grants &amp; Contributions</w:t>
            </w:r>
          </w:p>
        </w:tc>
        <w:tc>
          <w:tcPr>
            <w:tcW w:w="1534" w:type="dxa"/>
            <w:tcBorders>
              <w:top w:val="nil"/>
              <w:bottom w:val="single" w:sz="4" w:space="0" w:color="auto"/>
            </w:tcBorders>
            <w:shd w:val="clear" w:color="auto" w:fill="C5E0B3" w:themeFill="accent6" w:themeFillTint="66"/>
            <w:vAlign w:val="center"/>
          </w:tcPr>
          <w:p w14:paraId="4C14F961" w14:textId="6B5EA6F0" w:rsidR="00864BA5" w:rsidRPr="000763A2" w:rsidRDefault="000763A2" w:rsidP="00864BA5">
            <w:pPr>
              <w:jc w:val="right"/>
              <w:rPr>
                <w:rFonts w:cs="Arial"/>
                <w:color w:val="000000"/>
                <w:szCs w:val="22"/>
              </w:rPr>
            </w:pPr>
            <w:r w:rsidRPr="000763A2">
              <w:rPr>
                <w:rFonts w:cs="Arial"/>
                <w:color w:val="000000"/>
                <w:szCs w:val="22"/>
              </w:rPr>
              <w:t>(21,176)</w:t>
            </w:r>
          </w:p>
        </w:tc>
      </w:tr>
      <w:tr w:rsidR="00864BA5" w:rsidRPr="000127EF" w14:paraId="2F93E9FA" w14:textId="77777777" w:rsidTr="00F310DA">
        <w:trPr>
          <w:jc w:val="center"/>
        </w:trPr>
        <w:tc>
          <w:tcPr>
            <w:tcW w:w="1454" w:type="dxa"/>
            <w:tcBorders>
              <w:top w:val="single" w:sz="4" w:space="0" w:color="auto"/>
              <w:bottom w:val="nil"/>
            </w:tcBorders>
            <w:vAlign w:val="center"/>
          </w:tcPr>
          <w:p w14:paraId="0326D2C5" w14:textId="71E226E4" w:rsidR="00864BA5" w:rsidRPr="000127EF" w:rsidRDefault="00094777" w:rsidP="00FC1F62">
            <w:pPr>
              <w:jc w:val="right"/>
              <w:rPr>
                <w:b/>
                <w:i/>
              </w:rPr>
            </w:pPr>
            <w:r>
              <w:rPr>
                <w:b/>
              </w:rPr>
              <w:fldChar w:fldCharType="begin"/>
            </w:r>
            <w:r>
              <w:rPr>
                <w:b/>
              </w:rPr>
              <w:instrText xml:space="preserve"> =SUM(a12:a15) </w:instrText>
            </w:r>
            <w:r>
              <w:rPr>
                <w:b/>
              </w:rPr>
              <w:fldChar w:fldCharType="separate"/>
            </w:r>
            <w:r w:rsidR="00FC1F62">
              <w:rPr>
                <w:b/>
                <w:noProof/>
              </w:rPr>
              <w:t>(66</w:t>
            </w:r>
            <w:r>
              <w:rPr>
                <w:b/>
                <w:noProof/>
              </w:rPr>
              <w:t>,</w:t>
            </w:r>
            <w:r w:rsidR="00FC1F62">
              <w:rPr>
                <w:b/>
                <w:noProof/>
              </w:rPr>
              <w:t>329</w:t>
            </w:r>
            <w:r>
              <w:rPr>
                <w:b/>
                <w:noProof/>
              </w:rPr>
              <w:t>)</w:t>
            </w:r>
            <w:r>
              <w:rPr>
                <w:b/>
              </w:rPr>
              <w:fldChar w:fldCharType="end"/>
            </w:r>
          </w:p>
        </w:tc>
        <w:tc>
          <w:tcPr>
            <w:tcW w:w="5634" w:type="dxa"/>
            <w:tcBorders>
              <w:top w:val="nil"/>
              <w:bottom w:val="nil"/>
            </w:tcBorders>
          </w:tcPr>
          <w:p w14:paraId="037088E4" w14:textId="77777777" w:rsidR="00864BA5" w:rsidRPr="000127EF" w:rsidRDefault="00864BA5" w:rsidP="00864BA5">
            <w:pPr>
              <w:rPr>
                <w:rFonts w:cs="Arial"/>
                <w:b/>
                <w:szCs w:val="22"/>
                <w:lang w:val="en-US"/>
              </w:rPr>
            </w:pPr>
            <w:r w:rsidRPr="000127EF">
              <w:rPr>
                <w:rFonts w:cs="Arial"/>
                <w:b/>
                <w:szCs w:val="22"/>
                <w:lang w:val="en-US"/>
              </w:rPr>
              <w:t>Total Income</w:t>
            </w:r>
          </w:p>
        </w:tc>
        <w:tc>
          <w:tcPr>
            <w:tcW w:w="1534" w:type="dxa"/>
            <w:tcBorders>
              <w:top w:val="single" w:sz="4" w:space="0" w:color="auto"/>
              <w:bottom w:val="nil"/>
            </w:tcBorders>
            <w:shd w:val="clear" w:color="auto" w:fill="C5E0B3" w:themeFill="accent6" w:themeFillTint="66"/>
            <w:vAlign w:val="center"/>
          </w:tcPr>
          <w:p w14:paraId="0F404496" w14:textId="2D0BE40B" w:rsidR="00864BA5" w:rsidRPr="000763A2" w:rsidRDefault="007462B5" w:rsidP="00B965F9">
            <w:pPr>
              <w:jc w:val="right"/>
              <w:rPr>
                <w:rFonts w:cs="Arial"/>
                <w:b/>
                <w:bCs/>
                <w:color w:val="000000"/>
                <w:szCs w:val="22"/>
              </w:rPr>
            </w:pPr>
            <w:r>
              <w:rPr>
                <w:rFonts w:cs="Arial"/>
                <w:b/>
                <w:bCs/>
                <w:color w:val="000000"/>
                <w:szCs w:val="22"/>
              </w:rPr>
              <w:t>(66,420</w:t>
            </w:r>
            <w:r w:rsidR="000763A2" w:rsidRPr="000763A2">
              <w:rPr>
                <w:rFonts w:cs="Arial"/>
                <w:b/>
                <w:bCs/>
                <w:color w:val="000000"/>
                <w:szCs w:val="22"/>
              </w:rPr>
              <w:t>)</w:t>
            </w:r>
          </w:p>
        </w:tc>
      </w:tr>
      <w:tr w:rsidR="00864BA5" w:rsidRPr="000127EF" w14:paraId="27CB75B1" w14:textId="77777777" w:rsidTr="00F310DA">
        <w:trPr>
          <w:jc w:val="center"/>
        </w:trPr>
        <w:tc>
          <w:tcPr>
            <w:tcW w:w="1454" w:type="dxa"/>
            <w:tcBorders>
              <w:top w:val="single" w:sz="8" w:space="0" w:color="auto"/>
              <w:bottom w:val="single" w:sz="8" w:space="0" w:color="auto"/>
            </w:tcBorders>
            <w:vAlign w:val="center"/>
          </w:tcPr>
          <w:p w14:paraId="5883EEF4" w14:textId="367F13E2" w:rsidR="00864BA5" w:rsidRPr="000127EF" w:rsidRDefault="00B965F9" w:rsidP="00864BA5">
            <w:pPr>
              <w:jc w:val="right"/>
              <w:rPr>
                <w:b/>
                <w:i/>
              </w:rPr>
            </w:pPr>
            <w:r>
              <w:rPr>
                <w:b/>
                <w:i/>
              </w:rPr>
              <w:t>3,150</w:t>
            </w:r>
          </w:p>
        </w:tc>
        <w:tc>
          <w:tcPr>
            <w:tcW w:w="5634" w:type="dxa"/>
            <w:tcBorders>
              <w:bottom w:val="nil"/>
            </w:tcBorders>
          </w:tcPr>
          <w:p w14:paraId="5872E1A4" w14:textId="77777777" w:rsidR="00864BA5" w:rsidRPr="000127EF" w:rsidRDefault="00864BA5" w:rsidP="00864BA5">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vAlign w:val="center"/>
          </w:tcPr>
          <w:p w14:paraId="4A472E63" w14:textId="47A78813" w:rsidR="00864BA5" w:rsidRPr="000763A2" w:rsidRDefault="000763A2" w:rsidP="00864BA5">
            <w:pPr>
              <w:jc w:val="right"/>
              <w:rPr>
                <w:rFonts w:cs="Arial"/>
                <w:b/>
                <w:bCs/>
                <w:color w:val="000000"/>
                <w:szCs w:val="22"/>
              </w:rPr>
            </w:pPr>
            <w:r w:rsidRPr="000763A2">
              <w:rPr>
                <w:rFonts w:cs="Arial"/>
                <w:b/>
                <w:bCs/>
                <w:color w:val="000000"/>
                <w:szCs w:val="22"/>
              </w:rPr>
              <w:t>(143)</w:t>
            </w:r>
          </w:p>
        </w:tc>
      </w:tr>
      <w:tr w:rsidR="00A33C0E" w:rsidRPr="000127EF" w14:paraId="614AA81A" w14:textId="77777777" w:rsidTr="0080134D">
        <w:trPr>
          <w:trHeight w:hRule="exact" w:val="142"/>
          <w:jc w:val="center"/>
        </w:trPr>
        <w:tc>
          <w:tcPr>
            <w:tcW w:w="1454" w:type="dxa"/>
            <w:tcBorders>
              <w:top w:val="nil"/>
            </w:tcBorders>
          </w:tcPr>
          <w:p w14:paraId="436EC617" w14:textId="77777777" w:rsidR="00A33C0E" w:rsidRPr="000127EF" w:rsidRDefault="00A33C0E" w:rsidP="00A33C0E">
            <w:pPr>
              <w:jc w:val="right"/>
              <w:rPr>
                <w:i/>
                <w:sz w:val="12"/>
                <w:szCs w:val="12"/>
              </w:rPr>
            </w:pPr>
          </w:p>
        </w:tc>
        <w:tc>
          <w:tcPr>
            <w:tcW w:w="5634" w:type="dxa"/>
            <w:tcBorders>
              <w:top w:val="nil"/>
            </w:tcBorders>
          </w:tcPr>
          <w:p w14:paraId="0BB24271" w14:textId="77777777" w:rsidR="00A33C0E" w:rsidRPr="000127EF" w:rsidRDefault="00A33C0E" w:rsidP="00A33C0E">
            <w:pPr>
              <w:jc w:val="both"/>
              <w:rPr>
                <w:sz w:val="12"/>
                <w:szCs w:val="12"/>
              </w:rPr>
            </w:pPr>
          </w:p>
        </w:tc>
        <w:tc>
          <w:tcPr>
            <w:tcW w:w="1534" w:type="dxa"/>
            <w:tcBorders>
              <w:top w:val="nil"/>
            </w:tcBorders>
          </w:tcPr>
          <w:p w14:paraId="50AB939C" w14:textId="77777777" w:rsidR="00A33C0E" w:rsidRPr="000127EF" w:rsidRDefault="00A33C0E" w:rsidP="00A33C0E">
            <w:pPr>
              <w:jc w:val="right"/>
              <w:rPr>
                <w:sz w:val="12"/>
                <w:szCs w:val="12"/>
              </w:rPr>
            </w:pPr>
          </w:p>
        </w:tc>
      </w:tr>
    </w:tbl>
    <w:p w14:paraId="081FE4E2" w14:textId="77777777" w:rsidR="0044187B" w:rsidRPr="000127EF" w:rsidRDefault="0044187B" w:rsidP="0044187B">
      <w:pPr>
        <w:rPr>
          <w:sz w:val="20"/>
        </w:rPr>
      </w:pPr>
    </w:p>
    <w:p w14:paraId="4A9C7A1B" w14:textId="77777777" w:rsidR="00B93473" w:rsidRPr="000127EF" w:rsidRDefault="00B93473" w:rsidP="00B93473"/>
    <w:p w14:paraId="70054D00" w14:textId="77777777" w:rsidR="00336387" w:rsidRPr="000127EF" w:rsidRDefault="00336387" w:rsidP="00B93473">
      <w:pPr>
        <w:spacing w:before="120"/>
        <w:jc w:val="both"/>
      </w:pPr>
    </w:p>
    <w:p w14:paraId="1667E81F" w14:textId="77777777" w:rsidR="0044187B" w:rsidRPr="000127EF" w:rsidRDefault="0044187B" w:rsidP="0044187B">
      <w:pPr>
        <w:pStyle w:val="Heading1"/>
        <w:ind w:left="426"/>
        <w:rPr>
          <w:sz w:val="22"/>
          <w:szCs w:val="22"/>
        </w:rPr>
      </w:pPr>
    </w:p>
    <w:p w14:paraId="2B40AF20" w14:textId="77777777" w:rsidR="0044187B" w:rsidRPr="000127EF" w:rsidRDefault="0044187B" w:rsidP="0044187B">
      <w:pPr>
        <w:pStyle w:val="Heading1"/>
        <w:ind w:left="426"/>
        <w:rPr>
          <w:sz w:val="22"/>
          <w:szCs w:val="22"/>
        </w:rPr>
      </w:pPr>
    </w:p>
    <w:p w14:paraId="6B8B2B80" w14:textId="77777777" w:rsidR="0044187B" w:rsidRPr="000127EF" w:rsidRDefault="0044187B" w:rsidP="0044187B"/>
    <w:p w14:paraId="5510B546" w14:textId="77777777" w:rsidR="0044187B" w:rsidRPr="000127EF" w:rsidRDefault="0044187B" w:rsidP="0044187B">
      <w:pPr>
        <w:sectPr w:rsidR="0044187B" w:rsidRPr="000127EF" w:rsidSect="00EF4F91">
          <w:pgSz w:w="16840" w:h="11907" w:orient="landscape" w:code="9"/>
          <w:pgMar w:top="709" w:right="1135" w:bottom="992" w:left="851" w:header="567" w:footer="851" w:gutter="0"/>
          <w:paperSrc w:first="7" w:other="7"/>
          <w:cols w:space="720"/>
          <w:docGrid w:linePitch="299"/>
        </w:sectPr>
      </w:pPr>
    </w:p>
    <w:p w14:paraId="7D072E4B" w14:textId="77777777" w:rsidR="00791B59" w:rsidRPr="000127EF" w:rsidRDefault="00791B59" w:rsidP="00504E82">
      <w:pPr>
        <w:pStyle w:val="Heading1"/>
        <w:numPr>
          <w:ilvl w:val="0"/>
          <w:numId w:val="8"/>
        </w:numPr>
        <w:ind w:left="426"/>
        <w:rPr>
          <w:sz w:val="22"/>
          <w:szCs w:val="22"/>
        </w:rPr>
      </w:pPr>
      <w:r w:rsidRPr="000127EF">
        <w:rPr>
          <w:sz w:val="22"/>
          <w:szCs w:val="22"/>
        </w:rPr>
        <w:lastRenderedPageBreak/>
        <w:t>Members Allowances</w:t>
      </w:r>
    </w:p>
    <w:p w14:paraId="1787FAB8" w14:textId="77777777" w:rsidR="00791B59" w:rsidRPr="000127EF" w:rsidRDefault="00791B59" w:rsidP="00791B59">
      <w:pPr>
        <w:spacing w:after="240"/>
        <w:jc w:val="both"/>
        <w:rPr>
          <w:rFonts w:cs="Arial"/>
          <w:bCs/>
          <w:szCs w:val="22"/>
        </w:rPr>
      </w:pPr>
      <w:r w:rsidRPr="000127EF">
        <w:rPr>
          <w:rFonts w:cs="Arial"/>
          <w:bCs/>
          <w:szCs w:val="22"/>
        </w:rPr>
        <w:t>The following amounts were paid to members of the Council.</w:t>
      </w:r>
    </w:p>
    <w:tbl>
      <w:tblPr>
        <w:tblStyle w:val="TableGrid"/>
        <w:tblW w:w="8505"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25"/>
        <w:gridCol w:w="5661"/>
        <w:gridCol w:w="1419"/>
      </w:tblGrid>
      <w:tr w:rsidR="00006D38" w:rsidRPr="000127EF" w14:paraId="7C16EF60" w14:textId="77777777" w:rsidTr="00A80E72">
        <w:trPr>
          <w:jc w:val="center"/>
        </w:trPr>
        <w:tc>
          <w:tcPr>
            <w:tcW w:w="1425" w:type="dxa"/>
          </w:tcPr>
          <w:p w14:paraId="56AA27E7" w14:textId="5149A762" w:rsidR="00006D38" w:rsidRPr="000127EF" w:rsidRDefault="00864BA5" w:rsidP="001F2D6B">
            <w:pPr>
              <w:jc w:val="center"/>
              <w:rPr>
                <w:b/>
              </w:rPr>
            </w:pPr>
            <w:r>
              <w:rPr>
                <w:b/>
              </w:rPr>
              <w:t>2018/19</w:t>
            </w:r>
          </w:p>
        </w:tc>
        <w:tc>
          <w:tcPr>
            <w:tcW w:w="5661" w:type="dxa"/>
            <w:vAlign w:val="center"/>
          </w:tcPr>
          <w:p w14:paraId="58C9B88F" w14:textId="77777777" w:rsidR="00006D38" w:rsidRPr="000127EF" w:rsidRDefault="00006D38" w:rsidP="00433B19">
            <w:pPr>
              <w:jc w:val="center"/>
              <w:rPr>
                <w:b/>
              </w:rPr>
            </w:pPr>
            <w:r w:rsidRPr="000127EF">
              <w:rPr>
                <w:b/>
              </w:rPr>
              <w:t>Members Allowances</w:t>
            </w:r>
          </w:p>
        </w:tc>
        <w:tc>
          <w:tcPr>
            <w:tcW w:w="1419" w:type="dxa"/>
          </w:tcPr>
          <w:p w14:paraId="4DBA3884" w14:textId="54DEB861" w:rsidR="009B4536" w:rsidRPr="00734E53" w:rsidRDefault="00864BA5" w:rsidP="009B4536">
            <w:pPr>
              <w:jc w:val="center"/>
              <w:rPr>
                <w:b/>
              </w:rPr>
            </w:pPr>
            <w:r w:rsidRPr="00734E53">
              <w:rPr>
                <w:b/>
              </w:rPr>
              <w:t>2019/20</w:t>
            </w:r>
          </w:p>
        </w:tc>
      </w:tr>
      <w:tr w:rsidR="00006D38" w:rsidRPr="000127EF" w14:paraId="29686408" w14:textId="77777777" w:rsidTr="00A80E72">
        <w:trPr>
          <w:jc w:val="center"/>
        </w:trPr>
        <w:tc>
          <w:tcPr>
            <w:tcW w:w="1425" w:type="dxa"/>
          </w:tcPr>
          <w:p w14:paraId="16EA2466" w14:textId="77777777" w:rsidR="00006D38" w:rsidRPr="000127EF" w:rsidRDefault="00006D38" w:rsidP="001F2D6B">
            <w:pPr>
              <w:jc w:val="center"/>
              <w:rPr>
                <w:b/>
                <w:i/>
              </w:rPr>
            </w:pPr>
            <w:r w:rsidRPr="000127EF">
              <w:rPr>
                <w:b/>
                <w:i/>
              </w:rPr>
              <w:t>£000</w:t>
            </w:r>
          </w:p>
        </w:tc>
        <w:tc>
          <w:tcPr>
            <w:tcW w:w="5661" w:type="dxa"/>
          </w:tcPr>
          <w:p w14:paraId="2F830D89" w14:textId="77777777" w:rsidR="00006D38" w:rsidRPr="000127EF" w:rsidRDefault="00006D38" w:rsidP="00433B19">
            <w:pPr>
              <w:jc w:val="center"/>
              <w:rPr>
                <w:b/>
              </w:rPr>
            </w:pPr>
          </w:p>
        </w:tc>
        <w:tc>
          <w:tcPr>
            <w:tcW w:w="1419" w:type="dxa"/>
            <w:shd w:val="clear" w:color="auto" w:fill="C5E0B3" w:themeFill="accent6" w:themeFillTint="66"/>
          </w:tcPr>
          <w:p w14:paraId="51AB0840" w14:textId="77777777" w:rsidR="00006D38" w:rsidRPr="00734E53" w:rsidRDefault="00006D38" w:rsidP="00433B19">
            <w:pPr>
              <w:jc w:val="center"/>
              <w:rPr>
                <w:b/>
              </w:rPr>
            </w:pPr>
            <w:r w:rsidRPr="00734E53">
              <w:rPr>
                <w:b/>
              </w:rPr>
              <w:t>£000</w:t>
            </w:r>
          </w:p>
        </w:tc>
      </w:tr>
      <w:tr w:rsidR="00864BA5" w:rsidRPr="000127EF" w14:paraId="08781F5A" w14:textId="77777777" w:rsidTr="00F01CA5">
        <w:trPr>
          <w:trHeight w:val="188"/>
          <w:jc w:val="center"/>
        </w:trPr>
        <w:tc>
          <w:tcPr>
            <w:tcW w:w="1425" w:type="dxa"/>
          </w:tcPr>
          <w:p w14:paraId="24D24626" w14:textId="34653372" w:rsidR="00864BA5" w:rsidRPr="000127EF" w:rsidRDefault="00864BA5" w:rsidP="00864BA5">
            <w:pPr>
              <w:jc w:val="right"/>
              <w:rPr>
                <w:i/>
              </w:rPr>
            </w:pPr>
            <w:r w:rsidRPr="000127EF">
              <w:t>95</w:t>
            </w:r>
          </w:p>
        </w:tc>
        <w:tc>
          <w:tcPr>
            <w:tcW w:w="5661" w:type="dxa"/>
          </w:tcPr>
          <w:p w14:paraId="31D9DEF8" w14:textId="77777777" w:rsidR="00864BA5" w:rsidRPr="000127EF" w:rsidRDefault="00864BA5" w:rsidP="00864BA5">
            <w:pPr>
              <w:jc w:val="both"/>
            </w:pPr>
            <w:r w:rsidRPr="000127EF">
              <w:t>Basic allowances</w:t>
            </w:r>
          </w:p>
        </w:tc>
        <w:tc>
          <w:tcPr>
            <w:tcW w:w="1419" w:type="dxa"/>
            <w:shd w:val="clear" w:color="auto" w:fill="C5E0B3" w:themeFill="accent6" w:themeFillTint="66"/>
          </w:tcPr>
          <w:p w14:paraId="0E4BAEA8" w14:textId="1769FFE9" w:rsidR="00864BA5" w:rsidRPr="00734E53" w:rsidRDefault="00734E53" w:rsidP="00864BA5">
            <w:pPr>
              <w:jc w:val="right"/>
            </w:pPr>
            <w:r w:rsidRPr="00734E53">
              <w:t>100</w:t>
            </w:r>
          </w:p>
        </w:tc>
      </w:tr>
      <w:tr w:rsidR="00864BA5" w:rsidRPr="000127EF" w14:paraId="2AD04260" w14:textId="77777777" w:rsidTr="00A80E72">
        <w:trPr>
          <w:jc w:val="center"/>
        </w:trPr>
        <w:tc>
          <w:tcPr>
            <w:tcW w:w="1425" w:type="dxa"/>
          </w:tcPr>
          <w:p w14:paraId="03577BA4" w14:textId="4E6CA332" w:rsidR="00864BA5" w:rsidRPr="000127EF" w:rsidRDefault="00864BA5" w:rsidP="00864BA5">
            <w:pPr>
              <w:jc w:val="right"/>
              <w:rPr>
                <w:i/>
              </w:rPr>
            </w:pPr>
            <w:r w:rsidRPr="000127EF">
              <w:t>72</w:t>
            </w:r>
          </w:p>
        </w:tc>
        <w:tc>
          <w:tcPr>
            <w:tcW w:w="5661" w:type="dxa"/>
          </w:tcPr>
          <w:p w14:paraId="4E2F020B" w14:textId="77777777" w:rsidR="00864BA5" w:rsidRPr="000127EF" w:rsidRDefault="00864BA5" w:rsidP="00864BA5">
            <w:pPr>
              <w:jc w:val="both"/>
            </w:pPr>
            <w:r w:rsidRPr="000127EF">
              <w:t xml:space="preserve">Special responsibility allowances </w:t>
            </w:r>
          </w:p>
        </w:tc>
        <w:tc>
          <w:tcPr>
            <w:tcW w:w="1419" w:type="dxa"/>
            <w:shd w:val="clear" w:color="auto" w:fill="C5E0B3" w:themeFill="accent6" w:themeFillTint="66"/>
          </w:tcPr>
          <w:p w14:paraId="7C6E3410" w14:textId="727066DE" w:rsidR="00864BA5" w:rsidRPr="00734E53" w:rsidRDefault="00734E53" w:rsidP="00864BA5">
            <w:pPr>
              <w:jc w:val="right"/>
            </w:pPr>
            <w:r w:rsidRPr="00734E53">
              <w:t>64</w:t>
            </w:r>
          </w:p>
        </w:tc>
      </w:tr>
      <w:tr w:rsidR="00864BA5" w:rsidRPr="000127EF" w14:paraId="63DED887" w14:textId="77777777" w:rsidTr="00A80E72">
        <w:trPr>
          <w:jc w:val="center"/>
        </w:trPr>
        <w:tc>
          <w:tcPr>
            <w:tcW w:w="1425" w:type="dxa"/>
            <w:tcBorders>
              <w:bottom w:val="single" w:sz="8" w:space="0" w:color="auto"/>
            </w:tcBorders>
          </w:tcPr>
          <w:p w14:paraId="128F1A65" w14:textId="5EA4C2AF" w:rsidR="00864BA5" w:rsidRPr="000127EF" w:rsidRDefault="00864BA5" w:rsidP="00864BA5">
            <w:pPr>
              <w:jc w:val="right"/>
              <w:rPr>
                <w:i/>
              </w:rPr>
            </w:pPr>
            <w:r w:rsidRPr="000127EF">
              <w:t>14</w:t>
            </w:r>
          </w:p>
        </w:tc>
        <w:tc>
          <w:tcPr>
            <w:tcW w:w="5661" w:type="dxa"/>
          </w:tcPr>
          <w:p w14:paraId="16F44D0A" w14:textId="77777777" w:rsidR="00864BA5" w:rsidRPr="000127EF" w:rsidRDefault="00864BA5" w:rsidP="00864BA5">
            <w:pPr>
              <w:jc w:val="both"/>
            </w:pPr>
            <w:r w:rsidRPr="000127EF">
              <w:t>Expenses</w:t>
            </w:r>
          </w:p>
        </w:tc>
        <w:tc>
          <w:tcPr>
            <w:tcW w:w="1419" w:type="dxa"/>
            <w:tcBorders>
              <w:bottom w:val="single" w:sz="8" w:space="0" w:color="auto"/>
            </w:tcBorders>
            <w:shd w:val="clear" w:color="auto" w:fill="C5E0B3" w:themeFill="accent6" w:themeFillTint="66"/>
          </w:tcPr>
          <w:p w14:paraId="353C42E3" w14:textId="496E5DD6" w:rsidR="00864BA5" w:rsidRPr="00734E53" w:rsidRDefault="00734E53" w:rsidP="00864BA5">
            <w:pPr>
              <w:jc w:val="right"/>
            </w:pPr>
            <w:r w:rsidRPr="00734E53">
              <w:t>10</w:t>
            </w:r>
          </w:p>
        </w:tc>
      </w:tr>
      <w:tr w:rsidR="00864BA5" w:rsidRPr="000127EF" w14:paraId="66ECCE8F" w14:textId="77777777" w:rsidTr="00A80E72">
        <w:trPr>
          <w:jc w:val="center"/>
        </w:trPr>
        <w:tc>
          <w:tcPr>
            <w:tcW w:w="1425" w:type="dxa"/>
            <w:tcBorders>
              <w:top w:val="single" w:sz="8" w:space="0" w:color="auto"/>
            </w:tcBorders>
          </w:tcPr>
          <w:p w14:paraId="7725999E" w14:textId="2A1BC2CB" w:rsidR="00864BA5" w:rsidRPr="000127EF" w:rsidRDefault="00D31AB5" w:rsidP="00864BA5">
            <w:pPr>
              <w:jc w:val="right"/>
              <w:rPr>
                <w:b/>
                <w:i/>
              </w:rPr>
            </w:pPr>
            <w:r>
              <w:rPr>
                <w:b/>
                <w:i/>
              </w:rPr>
              <w:fldChar w:fldCharType="begin"/>
            </w:r>
            <w:r>
              <w:rPr>
                <w:b/>
                <w:i/>
              </w:rPr>
              <w:instrText xml:space="preserve"> =SUM(a3:a5) </w:instrText>
            </w:r>
            <w:r>
              <w:rPr>
                <w:b/>
                <w:i/>
              </w:rPr>
              <w:fldChar w:fldCharType="separate"/>
            </w:r>
            <w:r>
              <w:rPr>
                <w:b/>
                <w:i/>
                <w:noProof/>
              </w:rPr>
              <w:t>181</w:t>
            </w:r>
            <w:r>
              <w:rPr>
                <w:b/>
                <w:i/>
              </w:rPr>
              <w:fldChar w:fldCharType="end"/>
            </w:r>
          </w:p>
        </w:tc>
        <w:tc>
          <w:tcPr>
            <w:tcW w:w="5661" w:type="dxa"/>
          </w:tcPr>
          <w:p w14:paraId="788335C9" w14:textId="77777777" w:rsidR="00864BA5" w:rsidRPr="000127EF" w:rsidRDefault="00864BA5" w:rsidP="00864BA5">
            <w:pPr>
              <w:jc w:val="both"/>
              <w:rPr>
                <w:b/>
              </w:rPr>
            </w:pPr>
            <w:r w:rsidRPr="000127EF">
              <w:rPr>
                <w:b/>
              </w:rPr>
              <w:t>Members allowances</w:t>
            </w:r>
          </w:p>
        </w:tc>
        <w:tc>
          <w:tcPr>
            <w:tcW w:w="1419" w:type="dxa"/>
            <w:tcBorders>
              <w:top w:val="single" w:sz="8" w:space="0" w:color="auto"/>
            </w:tcBorders>
            <w:shd w:val="clear" w:color="auto" w:fill="C5E0B3" w:themeFill="accent6" w:themeFillTint="66"/>
          </w:tcPr>
          <w:p w14:paraId="5CB355BB" w14:textId="2824D59D" w:rsidR="00864BA5" w:rsidRPr="00734E53" w:rsidRDefault="00734E53" w:rsidP="00864BA5">
            <w:pPr>
              <w:jc w:val="right"/>
              <w:rPr>
                <w:b/>
              </w:rPr>
            </w:pPr>
            <w:r w:rsidRPr="00734E53">
              <w:rPr>
                <w:b/>
              </w:rPr>
              <w:t>17</w:t>
            </w:r>
            <w:r w:rsidR="00324A80">
              <w:rPr>
                <w:b/>
              </w:rPr>
              <w:t>4</w:t>
            </w:r>
          </w:p>
        </w:tc>
      </w:tr>
      <w:tr w:rsidR="00A33C0E" w:rsidRPr="000127EF" w14:paraId="3888263E" w14:textId="77777777" w:rsidTr="00A80E72">
        <w:trPr>
          <w:jc w:val="center"/>
        </w:trPr>
        <w:tc>
          <w:tcPr>
            <w:tcW w:w="1425" w:type="dxa"/>
            <w:tcBorders>
              <w:top w:val="single" w:sz="4" w:space="0" w:color="auto"/>
            </w:tcBorders>
          </w:tcPr>
          <w:p w14:paraId="25BD25CF" w14:textId="77777777" w:rsidR="00A33C0E" w:rsidRPr="000127EF" w:rsidRDefault="00A33C0E" w:rsidP="00A33C0E">
            <w:pPr>
              <w:jc w:val="right"/>
              <w:rPr>
                <w:i/>
                <w:sz w:val="12"/>
                <w:szCs w:val="12"/>
              </w:rPr>
            </w:pPr>
          </w:p>
        </w:tc>
        <w:tc>
          <w:tcPr>
            <w:tcW w:w="5661" w:type="dxa"/>
          </w:tcPr>
          <w:p w14:paraId="64603237" w14:textId="77777777" w:rsidR="00A33C0E" w:rsidRPr="000127EF" w:rsidRDefault="00A33C0E" w:rsidP="00A33C0E">
            <w:pPr>
              <w:jc w:val="both"/>
              <w:rPr>
                <w:sz w:val="12"/>
                <w:szCs w:val="12"/>
              </w:rPr>
            </w:pPr>
          </w:p>
        </w:tc>
        <w:tc>
          <w:tcPr>
            <w:tcW w:w="1419" w:type="dxa"/>
            <w:tcBorders>
              <w:top w:val="single" w:sz="4" w:space="0" w:color="auto"/>
            </w:tcBorders>
          </w:tcPr>
          <w:p w14:paraId="597354C6" w14:textId="77777777" w:rsidR="00A33C0E" w:rsidRPr="000127EF" w:rsidRDefault="00A33C0E" w:rsidP="00A33C0E">
            <w:pPr>
              <w:jc w:val="right"/>
              <w:rPr>
                <w:sz w:val="12"/>
                <w:szCs w:val="12"/>
              </w:rPr>
            </w:pPr>
          </w:p>
        </w:tc>
      </w:tr>
    </w:tbl>
    <w:p w14:paraId="5A2FEB18" w14:textId="77777777" w:rsidR="00A80E72" w:rsidRPr="000127EF" w:rsidRDefault="00A80E72" w:rsidP="00A80E72">
      <w:pPr>
        <w:pStyle w:val="Heading1"/>
        <w:numPr>
          <w:ilvl w:val="0"/>
          <w:numId w:val="8"/>
        </w:numPr>
        <w:ind w:left="426"/>
        <w:rPr>
          <w:sz w:val="22"/>
          <w:szCs w:val="22"/>
        </w:rPr>
      </w:pPr>
      <w:r w:rsidRPr="000127EF">
        <w:rPr>
          <w:sz w:val="22"/>
          <w:szCs w:val="22"/>
        </w:rPr>
        <w:t>Related Parties</w:t>
      </w:r>
    </w:p>
    <w:p w14:paraId="7B5AD800" w14:textId="77777777" w:rsidR="00A80E72" w:rsidRPr="00684AB3" w:rsidRDefault="00A80E72" w:rsidP="009171A6">
      <w:pPr>
        <w:spacing w:after="120"/>
        <w:jc w:val="both"/>
      </w:pPr>
      <w:r w:rsidRPr="00684AB3">
        <w:t>The authority is required to disclose material transactions with related parties, i.e. bodies or individuals that have the potential to control or influence the authority or to be controlled or influenced by it.  Disclosure of these transactions allows readers to assess the extent to which the authority might have been constrained in its ability to operate independently or might have secured the ability to limit another party’s ability to bargain freely with the authority.</w:t>
      </w:r>
    </w:p>
    <w:p w14:paraId="671D617F" w14:textId="77777777" w:rsidR="00A80E72" w:rsidRPr="00684AB3" w:rsidRDefault="00A80E72" w:rsidP="00AD2D42">
      <w:pPr>
        <w:pStyle w:val="Title"/>
        <w:spacing w:after="160"/>
        <w:jc w:val="left"/>
        <w:rPr>
          <w:rFonts w:ascii="Arial" w:hAnsi="Arial" w:cs="Arial"/>
          <w:bCs w:val="0"/>
          <w:sz w:val="22"/>
          <w:szCs w:val="22"/>
          <w:u w:val="none"/>
        </w:rPr>
      </w:pPr>
      <w:r w:rsidRPr="00684AB3">
        <w:rPr>
          <w:rFonts w:ascii="Arial" w:hAnsi="Arial" w:cs="Arial"/>
          <w:bCs w:val="0"/>
          <w:sz w:val="22"/>
          <w:szCs w:val="22"/>
          <w:u w:val="none"/>
        </w:rPr>
        <w:t>Central Government</w:t>
      </w:r>
    </w:p>
    <w:p w14:paraId="6D323BBF" w14:textId="3FB3A212" w:rsidR="00A80E72" w:rsidRPr="00684AB3" w:rsidRDefault="00A80E72" w:rsidP="009171A6">
      <w:pPr>
        <w:spacing w:after="120"/>
        <w:jc w:val="both"/>
      </w:pPr>
      <w:r w:rsidRPr="00684AB3">
        <w:t xml:space="preserve">Central </w:t>
      </w:r>
      <w:r w:rsidR="00AA4F4D" w:rsidRPr="00684AB3">
        <w:t>Government has effective influence</w:t>
      </w:r>
      <w:r w:rsidRPr="00684AB3">
        <w:t xml:space="preserve"> over the general operations of the authority; it is responsible for providing the statutory framework within which the authority operates, provides the </w:t>
      </w:r>
      <w:r w:rsidR="00AA4F4D" w:rsidRPr="00684AB3">
        <w:t>majority</w:t>
      </w:r>
      <w:r w:rsidRPr="00684AB3">
        <w:t xml:space="preserve"> of its funding in the form of grants and prescribes the terms of many of the transactions that the authority has with other parties, e.g. council tax bills and housing benefits.  Grants received from Government departments are set out in the subjective analysis in Note </w:t>
      </w:r>
      <w:r w:rsidR="00DF5E1B" w:rsidRPr="00684AB3">
        <w:t xml:space="preserve">1 </w:t>
      </w:r>
      <w:r w:rsidRPr="00684AB3">
        <w:t>on reporting for resources allocation decisions.  Grant rece</w:t>
      </w:r>
      <w:r w:rsidR="00864BA5" w:rsidRPr="00684AB3">
        <w:t>ipts outstanding at 31 March 2020</w:t>
      </w:r>
      <w:r w:rsidRPr="00684AB3">
        <w:t xml:space="preserve"> are shown in Note </w:t>
      </w:r>
      <w:r w:rsidR="004B5680" w:rsidRPr="00684AB3">
        <w:t>1</w:t>
      </w:r>
      <w:r w:rsidR="00AD2D42" w:rsidRPr="00684AB3">
        <w:t>2</w:t>
      </w:r>
      <w:r w:rsidRPr="00684AB3">
        <w:t>.</w:t>
      </w:r>
    </w:p>
    <w:p w14:paraId="3B2AFCD5" w14:textId="77777777" w:rsidR="00A80E72" w:rsidRPr="00684AB3" w:rsidRDefault="00A80E72" w:rsidP="00AD2D42">
      <w:pPr>
        <w:pStyle w:val="Title"/>
        <w:spacing w:after="160"/>
        <w:jc w:val="left"/>
        <w:rPr>
          <w:rFonts w:ascii="Arial" w:hAnsi="Arial" w:cs="Arial"/>
          <w:bCs w:val="0"/>
          <w:sz w:val="22"/>
          <w:szCs w:val="22"/>
          <w:u w:val="none"/>
        </w:rPr>
      </w:pPr>
      <w:r w:rsidRPr="00684AB3">
        <w:rPr>
          <w:rFonts w:ascii="Arial" w:hAnsi="Arial" w:cs="Arial"/>
          <w:bCs w:val="0"/>
          <w:sz w:val="22"/>
          <w:szCs w:val="22"/>
          <w:u w:val="none"/>
        </w:rPr>
        <w:t>Members of the Council</w:t>
      </w:r>
    </w:p>
    <w:p w14:paraId="7B324753" w14:textId="16167E47" w:rsidR="00A80E72" w:rsidRPr="00684AB3" w:rsidRDefault="00A80E72" w:rsidP="009171A6">
      <w:pPr>
        <w:spacing w:after="120"/>
        <w:jc w:val="both"/>
      </w:pPr>
      <w:r w:rsidRPr="00684AB3">
        <w:t>Members of the Council have direct control over the authority’s financial and operating policies.  The total o</w:t>
      </w:r>
      <w:r w:rsidR="00864BA5" w:rsidRPr="00684AB3">
        <w:t>f Members allowances paid in 2019/20</w:t>
      </w:r>
      <w:r w:rsidRPr="00684AB3">
        <w:t xml:space="preserve"> is shown in Note </w:t>
      </w:r>
      <w:r w:rsidR="003128FB" w:rsidRPr="00684AB3">
        <w:t>2</w:t>
      </w:r>
      <w:r w:rsidR="00864BA5" w:rsidRPr="00684AB3">
        <w:t>. During 2019/20</w:t>
      </w:r>
      <w:r w:rsidRPr="00684AB3">
        <w:t>, no significant works and services were commissioned from parties where Members had an interest.</w:t>
      </w:r>
    </w:p>
    <w:p w14:paraId="52E73416" w14:textId="77777777" w:rsidR="00A80E72" w:rsidRPr="00684AB3" w:rsidRDefault="00A80E72" w:rsidP="009171A6">
      <w:pPr>
        <w:spacing w:after="120"/>
        <w:jc w:val="both"/>
      </w:pPr>
      <w:r w:rsidRPr="00684AB3">
        <w:t>Grants and other exchanges were made between the authority and a number of voluntary organisations upon which the authority’s Members served as trustees or similar.  In most cases Members had been appointed by the authority to the organisation concerned to represent the authority’s interests and oversee the use of the authority’s funds.</w:t>
      </w:r>
    </w:p>
    <w:p w14:paraId="0AC6106E" w14:textId="77777777" w:rsidR="00A80E72" w:rsidRPr="00684AB3" w:rsidRDefault="00A80E72" w:rsidP="009171A6">
      <w:pPr>
        <w:spacing w:after="120"/>
        <w:jc w:val="both"/>
      </w:pPr>
      <w:r w:rsidRPr="00684AB3">
        <w:t>Members make an annual declaration of any and declare interests in any items under discussion at meetings of the Council or any of its committees or panels or Cabinet.  Details of all these transactions are recorded in the Register of Members Interest, which is open to public inspection at the coun</w:t>
      </w:r>
      <w:r w:rsidR="00FF2194" w:rsidRPr="00684AB3">
        <w:t>cil offices during office hours and can be viewed on the Councils Website.</w:t>
      </w:r>
    </w:p>
    <w:p w14:paraId="6B70F6AB" w14:textId="77777777" w:rsidR="00A80E72" w:rsidRPr="00684AB3" w:rsidRDefault="00A80E72" w:rsidP="00A80E72">
      <w:pPr>
        <w:pStyle w:val="Title"/>
        <w:spacing w:after="240"/>
        <w:jc w:val="left"/>
        <w:rPr>
          <w:rFonts w:ascii="Arial" w:hAnsi="Arial" w:cs="Arial"/>
          <w:bCs w:val="0"/>
          <w:sz w:val="22"/>
          <w:szCs w:val="22"/>
          <w:u w:val="none"/>
        </w:rPr>
      </w:pPr>
      <w:r w:rsidRPr="00684AB3">
        <w:rPr>
          <w:rFonts w:ascii="Arial" w:hAnsi="Arial" w:cs="Arial"/>
          <w:bCs w:val="0"/>
          <w:sz w:val="22"/>
          <w:szCs w:val="22"/>
          <w:u w:val="none"/>
        </w:rPr>
        <w:t>Officers of the Council</w:t>
      </w:r>
    </w:p>
    <w:p w14:paraId="67B3EC7D" w14:textId="24BC629B" w:rsidR="00A80E72" w:rsidRPr="000127EF" w:rsidRDefault="00A80E72" w:rsidP="009171A6">
      <w:pPr>
        <w:spacing w:after="120"/>
        <w:jc w:val="both"/>
      </w:pPr>
      <w:r w:rsidRPr="00684AB3">
        <w:t>Officers who have any influence over the authority's financial operations are required to make an annual declaration of any material transactions they or their immediate family have with the authority.  There are no tran</w:t>
      </w:r>
      <w:r w:rsidR="00864BA5" w:rsidRPr="00684AB3">
        <w:t>sactions in 2019/20</w:t>
      </w:r>
      <w:r w:rsidRPr="00684AB3">
        <w:t xml:space="preserve"> that are considered material and would require their disclosure.</w:t>
      </w:r>
    </w:p>
    <w:p w14:paraId="7C8466AD" w14:textId="77777777" w:rsidR="00756C1C" w:rsidRPr="000127EF" w:rsidRDefault="00756C1C" w:rsidP="00504E82">
      <w:pPr>
        <w:pStyle w:val="Heading1"/>
        <w:numPr>
          <w:ilvl w:val="0"/>
          <w:numId w:val="8"/>
        </w:numPr>
        <w:ind w:left="426"/>
        <w:rPr>
          <w:sz w:val="22"/>
          <w:szCs w:val="22"/>
        </w:rPr>
        <w:sectPr w:rsidR="00756C1C" w:rsidRPr="000127EF" w:rsidSect="0044187B">
          <w:pgSz w:w="11907" w:h="16840" w:code="9"/>
          <w:pgMar w:top="1135" w:right="992" w:bottom="1440" w:left="709" w:header="567" w:footer="851" w:gutter="0"/>
          <w:paperSrc w:first="7" w:other="7"/>
          <w:cols w:space="720"/>
          <w:docGrid w:linePitch="299"/>
        </w:sectPr>
      </w:pPr>
    </w:p>
    <w:p w14:paraId="7E63F0EE" w14:textId="77777777" w:rsidR="00791B59" w:rsidRPr="000127EF" w:rsidRDefault="00791B59" w:rsidP="00504E82">
      <w:pPr>
        <w:pStyle w:val="Heading1"/>
        <w:numPr>
          <w:ilvl w:val="0"/>
          <w:numId w:val="8"/>
        </w:numPr>
        <w:ind w:left="426"/>
        <w:rPr>
          <w:sz w:val="22"/>
          <w:szCs w:val="22"/>
        </w:rPr>
      </w:pPr>
      <w:r w:rsidRPr="000127EF">
        <w:rPr>
          <w:sz w:val="22"/>
          <w:szCs w:val="22"/>
        </w:rPr>
        <w:lastRenderedPageBreak/>
        <w:t>Officers Remuneration</w:t>
      </w:r>
    </w:p>
    <w:p w14:paraId="5B1EE4DA" w14:textId="1FE522A6" w:rsidR="00791B59" w:rsidRDefault="00791B59" w:rsidP="009171A6">
      <w:pPr>
        <w:spacing w:after="120"/>
        <w:jc w:val="both"/>
        <w:rPr>
          <w:rFonts w:cs="Arial"/>
          <w:bCs/>
          <w:szCs w:val="22"/>
        </w:rPr>
      </w:pPr>
      <w:r w:rsidRPr="000127EF">
        <w:rPr>
          <w:rFonts w:cs="Arial"/>
          <w:bCs/>
          <w:szCs w:val="22"/>
        </w:rPr>
        <w:t>The following table shows the remuneration paid to the Council’s senior employees</w:t>
      </w:r>
      <w:r w:rsidR="00DE0C4D">
        <w:rPr>
          <w:rFonts w:cs="Arial"/>
          <w:bCs/>
          <w:szCs w:val="22"/>
        </w:rPr>
        <w:t>, either those who report to the head of paid service (Chief Executive) or officers who hold statutory positions</w:t>
      </w:r>
      <w:r w:rsidRPr="000127EF">
        <w:rPr>
          <w:rFonts w:cs="Arial"/>
          <w:bCs/>
          <w:szCs w:val="22"/>
        </w:rPr>
        <w:t>.</w:t>
      </w:r>
    </w:p>
    <w:tbl>
      <w:tblPr>
        <w:tblW w:w="10632" w:type="dxa"/>
        <w:tblInd w:w="-15" w:type="dxa"/>
        <w:tblLook w:val="04A0" w:firstRow="1" w:lastRow="0" w:firstColumn="1" w:lastColumn="0" w:noHBand="0" w:noVBand="1"/>
      </w:tblPr>
      <w:tblGrid>
        <w:gridCol w:w="15"/>
        <w:gridCol w:w="2302"/>
        <w:gridCol w:w="1229"/>
        <w:gridCol w:w="1229"/>
        <w:gridCol w:w="1229"/>
        <w:gridCol w:w="1651"/>
        <w:gridCol w:w="1559"/>
        <w:gridCol w:w="146"/>
        <w:gridCol w:w="1272"/>
      </w:tblGrid>
      <w:tr w:rsidR="004D7AC0" w:rsidRPr="00A43471" w14:paraId="63334A57" w14:textId="77777777" w:rsidTr="004D7AC0">
        <w:trPr>
          <w:gridBefore w:val="1"/>
          <w:wBefore w:w="15" w:type="dxa"/>
          <w:trHeight w:val="735"/>
        </w:trPr>
        <w:tc>
          <w:tcPr>
            <w:tcW w:w="2302" w:type="dxa"/>
            <w:tcBorders>
              <w:top w:val="single" w:sz="12" w:space="0" w:color="C4D79B"/>
              <w:left w:val="single" w:sz="12" w:space="0" w:color="C4D79B"/>
              <w:bottom w:val="nil"/>
              <w:right w:val="nil"/>
            </w:tcBorders>
            <w:shd w:val="clear" w:color="auto" w:fill="auto"/>
            <w:vAlign w:val="center"/>
            <w:hideMark/>
          </w:tcPr>
          <w:p w14:paraId="3CE014BC" w14:textId="77777777" w:rsidR="004D7AC0" w:rsidRPr="00A43471" w:rsidRDefault="004D7AC0" w:rsidP="004D7AC0">
            <w:pPr>
              <w:jc w:val="center"/>
              <w:rPr>
                <w:rFonts w:cs="Arial"/>
                <w:b/>
                <w:bCs/>
                <w:color w:val="000000"/>
                <w:szCs w:val="22"/>
                <w:lang w:eastAsia="en-GB"/>
              </w:rPr>
            </w:pPr>
            <w:r w:rsidRPr="00A43471">
              <w:rPr>
                <w:rFonts w:cs="Arial"/>
                <w:b/>
                <w:bCs/>
                <w:color w:val="000000"/>
                <w:szCs w:val="22"/>
                <w:lang w:eastAsia="en-GB"/>
              </w:rPr>
              <w:t>Officers Remuneration</w:t>
            </w:r>
          </w:p>
        </w:tc>
        <w:tc>
          <w:tcPr>
            <w:tcW w:w="1229" w:type="dxa"/>
            <w:tcBorders>
              <w:top w:val="single" w:sz="12" w:space="0" w:color="C4D79B"/>
              <w:left w:val="nil"/>
              <w:bottom w:val="nil"/>
              <w:right w:val="nil"/>
            </w:tcBorders>
            <w:shd w:val="clear" w:color="auto" w:fill="auto"/>
            <w:noWrap/>
            <w:vAlign w:val="center"/>
            <w:hideMark/>
          </w:tcPr>
          <w:p w14:paraId="7B884BEF" w14:textId="77777777" w:rsidR="004D7AC0" w:rsidRPr="00A43471" w:rsidRDefault="004D7AC0" w:rsidP="004D7AC0">
            <w:pPr>
              <w:jc w:val="center"/>
              <w:rPr>
                <w:rFonts w:cs="Arial"/>
                <w:b/>
                <w:bCs/>
                <w:color w:val="000000"/>
                <w:szCs w:val="22"/>
                <w:lang w:eastAsia="en-GB"/>
              </w:rPr>
            </w:pPr>
            <w:r w:rsidRPr="00A43471">
              <w:rPr>
                <w:rFonts w:cs="Arial"/>
                <w:b/>
                <w:bCs/>
                <w:color w:val="000000"/>
                <w:szCs w:val="22"/>
                <w:lang w:eastAsia="en-GB"/>
              </w:rPr>
              <w:t>Year</w:t>
            </w:r>
          </w:p>
        </w:tc>
        <w:tc>
          <w:tcPr>
            <w:tcW w:w="1229" w:type="dxa"/>
            <w:tcBorders>
              <w:top w:val="single" w:sz="12" w:space="0" w:color="C4D79B"/>
              <w:left w:val="nil"/>
              <w:bottom w:val="nil"/>
              <w:right w:val="nil"/>
            </w:tcBorders>
            <w:shd w:val="clear" w:color="auto" w:fill="auto"/>
            <w:noWrap/>
            <w:vAlign w:val="center"/>
            <w:hideMark/>
          </w:tcPr>
          <w:p w14:paraId="36D5FCEC" w14:textId="77777777" w:rsidR="004D7AC0" w:rsidRPr="00A43471" w:rsidRDefault="004D7AC0" w:rsidP="004D7AC0">
            <w:pPr>
              <w:jc w:val="center"/>
              <w:rPr>
                <w:rFonts w:cs="Arial"/>
                <w:b/>
                <w:bCs/>
                <w:color w:val="000000"/>
                <w:szCs w:val="22"/>
                <w:lang w:eastAsia="en-GB"/>
              </w:rPr>
            </w:pPr>
            <w:r w:rsidRPr="00A43471">
              <w:rPr>
                <w:rFonts w:cs="Arial"/>
                <w:b/>
                <w:bCs/>
                <w:color w:val="000000"/>
                <w:szCs w:val="22"/>
                <w:lang w:eastAsia="en-GB"/>
              </w:rPr>
              <w:t>Salary</w:t>
            </w:r>
          </w:p>
        </w:tc>
        <w:tc>
          <w:tcPr>
            <w:tcW w:w="1229" w:type="dxa"/>
            <w:tcBorders>
              <w:top w:val="single" w:sz="12" w:space="0" w:color="C4D79B"/>
              <w:left w:val="nil"/>
              <w:bottom w:val="nil"/>
              <w:right w:val="nil"/>
            </w:tcBorders>
            <w:shd w:val="clear" w:color="auto" w:fill="auto"/>
            <w:vAlign w:val="center"/>
            <w:hideMark/>
          </w:tcPr>
          <w:p w14:paraId="4A54AF31" w14:textId="77777777" w:rsidR="004D7AC0" w:rsidRPr="00A43471" w:rsidRDefault="004D7AC0" w:rsidP="004D7AC0">
            <w:pPr>
              <w:jc w:val="center"/>
              <w:rPr>
                <w:rFonts w:cs="Arial"/>
                <w:b/>
                <w:bCs/>
                <w:color w:val="000000"/>
                <w:szCs w:val="22"/>
                <w:lang w:eastAsia="en-GB"/>
              </w:rPr>
            </w:pPr>
            <w:r w:rsidRPr="00A43471">
              <w:rPr>
                <w:rFonts w:cs="Arial"/>
                <w:b/>
                <w:bCs/>
                <w:color w:val="000000"/>
                <w:szCs w:val="22"/>
                <w:lang w:eastAsia="en-GB"/>
              </w:rPr>
              <w:t>Agency/ Recharge</w:t>
            </w:r>
          </w:p>
        </w:tc>
        <w:tc>
          <w:tcPr>
            <w:tcW w:w="1651" w:type="dxa"/>
            <w:tcBorders>
              <w:top w:val="single" w:sz="12" w:space="0" w:color="C4D79B"/>
              <w:left w:val="nil"/>
              <w:bottom w:val="nil"/>
              <w:right w:val="nil"/>
            </w:tcBorders>
            <w:shd w:val="clear" w:color="auto" w:fill="auto"/>
            <w:vAlign w:val="center"/>
            <w:hideMark/>
          </w:tcPr>
          <w:p w14:paraId="2DD1D341" w14:textId="77777777" w:rsidR="004D7AC0" w:rsidRPr="00A43471" w:rsidRDefault="004D7AC0" w:rsidP="004D7AC0">
            <w:pPr>
              <w:jc w:val="center"/>
              <w:rPr>
                <w:rFonts w:cs="Arial"/>
                <w:b/>
                <w:bCs/>
                <w:color w:val="000000"/>
                <w:szCs w:val="22"/>
                <w:lang w:eastAsia="en-GB"/>
              </w:rPr>
            </w:pPr>
            <w:r w:rsidRPr="00A43471">
              <w:rPr>
                <w:rFonts w:cs="Arial"/>
                <w:b/>
                <w:bCs/>
                <w:color w:val="000000"/>
                <w:szCs w:val="22"/>
                <w:lang w:eastAsia="en-GB"/>
              </w:rPr>
              <w:t>Expense Allowance</w:t>
            </w:r>
          </w:p>
        </w:tc>
        <w:tc>
          <w:tcPr>
            <w:tcW w:w="1559" w:type="dxa"/>
            <w:tcBorders>
              <w:top w:val="single" w:sz="12" w:space="0" w:color="C4D79B"/>
              <w:left w:val="nil"/>
              <w:bottom w:val="nil"/>
              <w:right w:val="nil"/>
            </w:tcBorders>
            <w:shd w:val="clear" w:color="auto" w:fill="auto"/>
            <w:vAlign w:val="center"/>
            <w:hideMark/>
          </w:tcPr>
          <w:p w14:paraId="65A22008" w14:textId="77777777" w:rsidR="004D7AC0" w:rsidRPr="00A43471" w:rsidRDefault="004D7AC0" w:rsidP="004D7AC0">
            <w:pPr>
              <w:jc w:val="center"/>
              <w:rPr>
                <w:rFonts w:cs="Arial"/>
                <w:b/>
                <w:bCs/>
                <w:color w:val="000000"/>
                <w:szCs w:val="22"/>
                <w:lang w:eastAsia="en-GB"/>
              </w:rPr>
            </w:pPr>
            <w:r w:rsidRPr="00A43471">
              <w:rPr>
                <w:rFonts w:cs="Arial"/>
                <w:b/>
                <w:bCs/>
                <w:color w:val="000000"/>
                <w:szCs w:val="22"/>
                <w:lang w:eastAsia="en-GB"/>
              </w:rPr>
              <w:t>Pension Contribution</w:t>
            </w:r>
          </w:p>
        </w:tc>
        <w:tc>
          <w:tcPr>
            <w:tcW w:w="1418" w:type="dxa"/>
            <w:gridSpan w:val="2"/>
            <w:tcBorders>
              <w:top w:val="single" w:sz="12" w:space="0" w:color="C4D79B"/>
              <w:left w:val="nil"/>
              <w:bottom w:val="nil"/>
              <w:right w:val="single" w:sz="12" w:space="0" w:color="C4D79B"/>
            </w:tcBorders>
            <w:shd w:val="clear" w:color="auto" w:fill="auto"/>
            <w:noWrap/>
            <w:vAlign w:val="center"/>
            <w:hideMark/>
          </w:tcPr>
          <w:p w14:paraId="17B3AE52" w14:textId="77777777" w:rsidR="004D7AC0" w:rsidRPr="00A43471" w:rsidRDefault="004D7AC0" w:rsidP="004D7AC0">
            <w:pPr>
              <w:jc w:val="center"/>
              <w:rPr>
                <w:rFonts w:cs="Arial"/>
                <w:b/>
                <w:bCs/>
                <w:color w:val="000000"/>
                <w:szCs w:val="22"/>
                <w:lang w:eastAsia="en-GB"/>
              </w:rPr>
            </w:pPr>
            <w:r w:rsidRPr="00A43471">
              <w:rPr>
                <w:rFonts w:cs="Arial"/>
                <w:b/>
                <w:bCs/>
                <w:color w:val="000000"/>
                <w:szCs w:val="22"/>
                <w:lang w:eastAsia="en-GB"/>
              </w:rPr>
              <w:t>Total</w:t>
            </w:r>
          </w:p>
        </w:tc>
      </w:tr>
      <w:tr w:rsidR="004D7AC0" w:rsidRPr="00A43471" w14:paraId="62E7DBEB" w14:textId="77777777" w:rsidTr="00A43471">
        <w:trPr>
          <w:gridBefore w:val="1"/>
          <w:wBefore w:w="15" w:type="dxa"/>
          <w:trHeight w:val="218"/>
        </w:trPr>
        <w:tc>
          <w:tcPr>
            <w:tcW w:w="2302" w:type="dxa"/>
            <w:vMerge w:val="restart"/>
            <w:tcBorders>
              <w:top w:val="nil"/>
              <w:left w:val="single" w:sz="12" w:space="0" w:color="C4D79B"/>
              <w:bottom w:val="dashed" w:sz="8" w:space="0" w:color="C4D79B"/>
              <w:right w:val="nil"/>
            </w:tcBorders>
            <w:shd w:val="clear" w:color="auto" w:fill="auto"/>
            <w:vAlign w:val="center"/>
            <w:hideMark/>
          </w:tcPr>
          <w:p w14:paraId="41B7E18B" w14:textId="77777777" w:rsidR="004D7AC0" w:rsidRPr="00A43471" w:rsidRDefault="004D7AC0" w:rsidP="004D7AC0">
            <w:pPr>
              <w:rPr>
                <w:rFonts w:cs="Arial"/>
                <w:color w:val="000000"/>
                <w:szCs w:val="22"/>
                <w:lang w:eastAsia="en-GB"/>
              </w:rPr>
            </w:pPr>
            <w:r w:rsidRPr="00A43471">
              <w:rPr>
                <w:rFonts w:cs="Arial"/>
                <w:color w:val="000000"/>
                <w:szCs w:val="22"/>
                <w:lang w:eastAsia="en-GB"/>
              </w:rPr>
              <w:t>Chief Executive</w:t>
            </w:r>
          </w:p>
        </w:tc>
        <w:tc>
          <w:tcPr>
            <w:tcW w:w="1229" w:type="dxa"/>
            <w:tcBorders>
              <w:top w:val="nil"/>
              <w:left w:val="nil"/>
              <w:bottom w:val="nil"/>
              <w:right w:val="nil"/>
            </w:tcBorders>
            <w:shd w:val="clear" w:color="auto" w:fill="auto"/>
            <w:noWrap/>
            <w:vAlign w:val="bottom"/>
            <w:hideMark/>
          </w:tcPr>
          <w:p w14:paraId="46546797" w14:textId="77777777" w:rsidR="004D7AC0" w:rsidRPr="00A43471" w:rsidRDefault="004D7AC0" w:rsidP="004D7AC0">
            <w:pPr>
              <w:rPr>
                <w:rFonts w:cs="Arial"/>
                <w:color w:val="000000"/>
                <w:szCs w:val="22"/>
                <w:lang w:eastAsia="en-GB"/>
              </w:rPr>
            </w:pPr>
            <w:r w:rsidRPr="00A43471">
              <w:rPr>
                <w:rFonts w:cs="Arial"/>
                <w:color w:val="000000"/>
                <w:szCs w:val="22"/>
                <w:lang w:eastAsia="en-GB"/>
              </w:rPr>
              <w:t>2019/20</w:t>
            </w:r>
          </w:p>
        </w:tc>
        <w:tc>
          <w:tcPr>
            <w:tcW w:w="1229" w:type="dxa"/>
            <w:tcBorders>
              <w:top w:val="nil"/>
              <w:left w:val="nil"/>
              <w:bottom w:val="nil"/>
              <w:right w:val="nil"/>
            </w:tcBorders>
            <w:shd w:val="clear" w:color="auto" w:fill="auto"/>
            <w:noWrap/>
            <w:vAlign w:val="bottom"/>
            <w:hideMark/>
          </w:tcPr>
          <w:p w14:paraId="2F16DA62" w14:textId="06FDBE84" w:rsidR="004D7AC0" w:rsidRPr="00A43471" w:rsidRDefault="00A43471" w:rsidP="00A43471">
            <w:pPr>
              <w:rPr>
                <w:rFonts w:cs="Arial"/>
                <w:color w:val="000000"/>
                <w:szCs w:val="22"/>
                <w:lang w:eastAsia="en-GB"/>
              </w:rPr>
            </w:pPr>
            <w:r>
              <w:rPr>
                <w:rFonts w:cs="Arial"/>
                <w:color w:val="000000"/>
                <w:szCs w:val="22"/>
                <w:lang w:eastAsia="en-GB"/>
              </w:rPr>
              <w:t>1</w:t>
            </w:r>
            <w:r w:rsidR="004D7AC0" w:rsidRPr="00A43471">
              <w:rPr>
                <w:rFonts w:cs="Arial"/>
                <w:color w:val="000000"/>
                <w:szCs w:val="22"/>
                <w:lang w:eastAsia="en-GB"/>
              </w:rPr>
              <w:t xml:space="preserve">32,664 </w:t>
            </w:r>
          </w:p>
        </w:tc>
        <w:tc>
          <w:tcPr>
            <w:tcW w:w="1229" w:type="dxa"/>
            <w:tcBorders>
              <w:top w:val="nil"/>
              <w:left w:val="nil"/>
              <w:bottom w:val="nil"/>
              <w:right w:val="nil"/>
            </w:tcBorders>
            <w:shd w:val="clear" w:color="auto" w:fill="auto"/>
            <w:noWrap/>
            <w:vAlign w:val="bottom"/>
            <w:hideMark/>
          </w:tcPr>
          <w:p w14:paraId="1AC4A2DE" w14:textId="77777777" w:rsidR="004D7AC0" w:rsidRPr="00A43471" w:rsidRDefault="004D7AC0" w:rsidP="004D7AC0">
            <w:pPr>
              <w:rPr>
                <w:rFonts w:cs="Arial"/>
                <w:color w:val="000000"/>
                <w:szCs w:val="22"/>
                <w:lang w:eastAsia="en-GB"/>
              </w:rPr>
            </w:pPr>
          </w:p>
        </w:tc>
        <w:tc>
          <w:tcPr>
            <w:tcW w:w="1651" w:type="dxa"/>
            <w:tcBorders>
              <w:top w:val="nil"/>
              <w:left w:val="nil"/>
              <w:bottom w:val="nil"/>
              <w:right w:val="nil"/>
            </w:tcBorders>
            <w:shd w:val="clear" w:color="auto" w:fill="auto"/>
            <w:noWrap/>
            <w:vAlign w:val="bottom"/>
            <w:hideMark/>
          </w:tcPr>
          <w:p w14:paraId="04A8DA25"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316 </w:t>
            </w:r>
          </w:p>
        </w:tc>
        <w:tc>
          <w:tcPr>
            <w:tcW w:w="1559" w:type="dxa"/>
            <w:tcBorders>
              <w:top w:val="nil"/>
              <w:left w:val="nil"/>
              <w:bottom w:val="nil"/>
              <w:right w:val="nil"/>
            </w:tcBorders>
            <w:shd w:val="clear" w:color="auto" w:fill="auto"/>
            <w:noWrap/>
            <w:vAlign w:val="bottom"/>
            <w:hideMark/>
          </w:tcPr>
          <w:p w14:paraId="5CC57975" w14:textId="321A086A" w:rsidR="004D7AC0" w:rsidRPr="00A43471" w:rsidRDefault="004D7AC0" w:rsidP="004D7AC0">
            <w:pPr>
              <w:rPr>
                <w:rFonts w:cs="Arial"/>
                <w:color w:val="000000"/>
                <w:szCs w:val="22"/>
                <w:lang w:eastAsia="en-GB"/>
              </w:rPr>
            </w:pPr>
            <w:r w:rsidRPr="00A43471">
              <w:rPr>
                <w:rFonts w:cs="Arial"/>
                <w:color w:val="000000"/>
                <w:szCs w:val="22"/>
                <w:lang w:eastAsia="en-GB"/>
              </w:rPr>
              <w:t xml:space="preserve">31,441 </w:t>
            </w:r>
          </w:p>
        </w:tc>
        <w:tc>
          <w:tcPr>
            <w:tcW w:w="1418" w:type="dxa"/>
            <w:gridSpan w:val="2"/>
            <w:tcBorders>
              <w:top w:val="nil"/>
              <w:left w:val="nil"/>
              <w:bottom w:val="nil"/>
              <w:right w:val="single" w:sz="12" w:space="0" w:color="C4D79B"/>
            </w:tcBorders>
            <w:shd w:val="clear" w:color="000000" w:fill="C4D79B"/>
            <w:noWrap/>
            <w:vAlign w:val="bottom"/>
            <w:hideMark/>
          </w:tcPr>
          <w:p w14:paraId="1ED16A4D" w14:textId="18764A77" w:rsidR="004D7AC0" w:rsidRPr="00A43471" w:rsidRDefault="004D7AC0" w:rsidP="004D7AC0">
            <w:pPr>
              <w:rPr>
                <w:rFonts w:cs="Arial"/>
                <w:color w:val="000000"/>
                <w:szCs w:val="22"/>
                <w:lang w:eastAsia="en-GB"/>
              </w:rPr>
            </w:pPr>
            <w:r w:rsidRPr="00A43471">
              <w:rPr>
                <w:rFonts w:cs="Arial"/>
                <w:color w:val="000000"/>
                <w:szCs w:val="22"/>
                <w:lang w:eastAsia="en-GB"/>
              </w:rPr>
              <w:t xml:space="preserve">164,421 </w:t>
            </w:r>
          </w:p>
        </w:tc>
      </w:tr>
      <w:tr w:rsidR="004D7AC0" w:rsidRPr="00A43471" w14:paraId="199991E8" w14:textId="77777777" w:rsidTr="00A43471">
        <w:trPr>
          <w:gridBefore w:val="1"/>
          <w:wBefore w:w="15" w:type="dxa"/>
          <w:trHeight w:val="34"/>
        </w:trPr>
        <w:tc>
          <w:tcPr>
            <w:tcW w:w="2302" w:type="dxa"/>
            <w:vMerge/>
            <w:tcBorders>
              <w:top w:val="nil"/>
              <w:left w:val="single" w:sz="12" w:space="0" w:color="C4D79B"/>
              <w:bottom w:val="dashed" w:sz="8" w:space="0" w:color="C4D79B"/>
              <w:right w:val="nil"/>
            </w:tcBorders>
            <w:vAlign w:val="center"/>
            <w:hideMark/>
          </w:tcPr>
          <w:p w14:paraId="73ECBF4D" w14:textId="77777777" w:rsidR="004D7AC0" w:rsidRPr="00A43471" w:rsidRDefault="004D7AC0" w:rsidP="004D7AC0">
            <w:pPr>
              <w:rPr>
                <w:rFonts w:cs="Arial"/>
                <w:color w:val="000000"/>
                <w:szCs w:val="22"/>
                <w:lang w:eastAsia="en-GB"/>
              </w:rPr>
            </w:pPr>
          </w:p>
        </w:tc>
        <w:tc>
          <w:tcPr>
            <w:tcW w:w="1229" w:type="dxa"/>
            <w:tcBorders>
              <w:top w:val="nil"/>
              <w:left w:val="nil"/>
              <w:bottom w:val="dashed" w:sz="8" w:space="0" w:color="C4D79B"/>
              <w:right w:val="nil"/>
            </w:tcBorders>
            <w:shd w:val="clear" w:color="auto" w:fill="auto"/>
            <w:noWrap/>
            <w:vAlign w:val="bottom"/>
            <w:hideMark/>
          </w:tcPr>
          <w:p w14:paraId="5C73F39E"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dashed" w:sz="8" w:space="0" w:color="C4D79B"/>
              <w:right w:val="nil"/>
            </w:tcBorders>
            <w:shd w:val="clear" w:color="auto" w:fill="auto"/>
            <w:noWrap/>
            <w:vAlign w:val="bottom"/>
            <w:hideMark/>
          </w:tcPr>
          <w:p w14:paraId="6755DDF8" w14:textId="33C17806" w:rsidR="004D7AC0" w:rsidRPr="00A43471" w:rsidRDefault="004D7AC0" w:rsidP="004D7AC0">
            <w:pPr>
              <w:rPr>
                <w:rFonts w:cs="Arial"/>
                <w:color w:val="000000"/>
                <w:szCs w:val="22"/>
                <w:lang w:eastAsia="en-GB"/>
              </w:rPr>
            </w:pPr>
            <w:r w:rsidRPr="00A43471">
              <w:rPr>
                <w:rFonts w:cs="Arial"/>
                <w:color w:val="000000"/>
                <w:szCs w:val="22"/>
                <w:lang w:eastAsia="en-GB"/>
              </w:rPr>
              <w:t xml:space="preserve">128,502 </w:t>
            </w:r>
          </w:p>
        </w:tc>
        <w:tc>
          <w:tcPr>
            <w:tcW w:w="1229" w:type="dxa"/>
            <w:tcBorders>
              <w:top w:val="nil"/>
              <w:left w:val="nil"/>
              <w:bottom w:val="dashed" w:sz="8" w:space="0" w:color="C4D79B"/>
              <w:right w:val="nil"/>
            </w:tcBorders>
            <w:shd w:val="clear" w:color="auto" w:fill="auto"/>
            <w:noWrap/>
            <w:vAlign w:val="bottom"/>
            <w:hideMark/>
          </w:tcPr>
          <w:p w14:paraId="643170AC"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651" w:type="dxa"/>
            <w:tcBorders>
              <w:top w:val="nil"/>
              <w:left w:val="nil"/>
              <w:bottom w:val="dashed" w:sz="8" w:space="0" w:color="C4D79B"/>
              <w:right w:val="nil"/>
            </w:tcBorders>
            <w:shd w:val="clear" w:color="auto" w:fill="auto"/>
            <w:noWrap/>
            <w:vAlign w:val="bottom"/>
            <w:hideMark/>
          </w:tcPr>
          <w:p w14:paraId="57BC60CE"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350 </w:t>
            </w:r>
          </w:p>
        </w:tc>
        <w:tc>
          <w:tcPr>
            <w:tcW w:w="1559" w:type="dxa"/>
            <w:tcBorders>
              <w:top w:val="nil"/>
              <w:left w:val="nil"/>
              <w:bottom w:val="dashed" w:sz="8" w:space="0" w:color="C4D79B"/>
              <w:right w:val="nil"/>
            </w:tcBorders>
            <w:shd w:val="clear" w:color="auto" w:fill="auto"/>
            <w:noWrap/>
            <w:vAlign w:val="bottom"/>
            <w:hideMark/>
          </w:tcPr>
          <w:p w14:paraId="70DAB55F" w14:textId="0F333882" w:rsidR="004D7AC0" w:rsidRPr="00A43471" w:rsidRDefault="004D7AC0" w:rsidP="004D7AC0">
            <w:pPr>
              <w:rPr>
                <w:rFonts w:cs="Arial"/>
                <w:color w:val="000000"/>
                <w:szCs w:val="22"/>
                <w:lang w:eastAsia="en-GB"/>
              </w:rPr>
            </w:pPr>
            <w:r w:rsidRPr="00A43471">
              <w:rPr>
                <w:rFonts w:cs="Arial"/>
                <w:color w:val="000000"/>
                <w:szCs w:val="22"/>
                <w:lang w:eastAsia="en-GB"/>
              </w:rPr>
              <w:t xml:space="preserve">29,170 </w:t>
            </w:r>
          </w:p>
        </w:tc>
        <w:tc>
          <w:tcPr>
            <w:tcW w:w="1418" w:type="dxa"/>
            <w:gridSpan w:val="2"/>
            <w:tcBorders>
              <w:top w:val="nil"/>
              <w:left w:val="nil"/>
              <w:bottom w:val="nil"/>
              <w:right w:val="single" w:sz="12" w:space="0" w:color="C4D79B"/>
            </w:tcBorders>
            <w:shd w:val="clear" w:color="000000" w:fill="C4D79B"/>
            <w:noWrap/>
            <w:vAlign w:val="bottom"/>
            <w:hideMark/>
          </w:tcPr>
          <w:p w14:paraId="116CE4FE" w14:textId="311F7F82" w:rsidR="004D7AC0" w:rsidRPr="00A43471" w:rsidRDefault="004D7AC0" w:rsidP="004D7AC0">
            <w:pPr>
              <w:rPr>
                <w:rFonts w:cs="Arial"/>
                <w:color w:val="000000"/>
                <w:szCs w:val="22"/>
                <w:lang w:eastAsia="en-GB"/>
              </w:rPr>
            </w:pPr>
            <w:r w:rsidRPr="00A43471">
              <w:rPr>
                <w:rFonts w:cs="Arial"/>
                <w:color w:val="000000"/>
                <w:szCs w:val="22"/>
                <w:lang w:eastAsia="en-GB"/>
              </w:rPr>
              <w:t xml:space="preserve">158,022 </w:t>
            </w:r>
          </w:p>
        </w:tc>
      </w:tr>
      <w:tr w:rsidR="004D7AC0" w:rsidRPr="00A43471" w14:paraId="351F2FF2" w14:textId="77777777" w:rsidTr="00A43471">
        <w:trPr>
          <w:gridBefore w:val="1"/>
          <w:wBefore w:w="15" w:type="dxa"/>
          <w:trHeight w:val="510"/>
        </w:trPr>
        <w:tc>
          <w:tcPr>
            <w:tcW w:w="2302" w:type="dxa"/>
            <w:vMerge w:val="restart"/>
            <w:tcBorders>
              <w:top w:val="nil"/>
              <w:left w:val="single" w:sz="12" w:space="0" w:color="C4D79B"/>
              <w:bottom w:val="dashed" w:sz="8" w:space="0" w:color="C4D79B"/>
              <w:right w:val="nil"/>
            </w:tcBorders>
            <w:shd w:val="clear" w:color="auto" w:fill="auto"/>
            <w:vAlign w:val="center"/>
            <w:hideMark/>
          </w:tcPr>
          <w:p w14:paraId="337F3C83"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Strategic Director of Peoples and Deputy Chief Executive (1) </w:t>
            </w:r>
          </w:p>
        </w:tc>
        <w:tc>
          <w:tcPr>
            <w:tcW w:w="1229" w:type="dxa"/>
            <w:tcBorders>
              <w:top w:val="nil"/>
              <w:left w:val="nil"/>
              <w:bottom w:val="nil"/>
              <w:right w:val="nil"/>
            </w:tcBorders>
            <w:shd w:val="clear" w:color="auto" w:fill="auto"/>
            <w:noWrap/>
            <w:vAlign w:val="center"/>
            <w:hideMark/>
          </w:tcPr>
          <w:p w14:paraId="33412F27" w14:textId="77777777" w:rsidR="004D7AC0" w:rsidRPr="00A43471" w:rsidRDefault="004D7AC0" w:rsidP="00A43471">
            <w:pPr>
              <w:rPr>
                <w:rFonts w:cs="Arial"/>
                <w:color w:val="000000"/>
                <w:szCs w:val="22"/>
                <w:lang w:eastAsia="en-GB"/>
              </w:rPr>
            </w:pPr>
            <w:r w:rsidRPr="00A43471">
              <w:rPr>
                <w:rFonts w:cs="Arial"/>
                <w:color w:val="000000"/>
                <w:szCs w:val="22"/>
                <w:lang w:eastAsia="en-GB"/>
              </w:rPr>
              <w:t>2019/20</w:t>
            </w:r>
          </w:p>
        </w:tc>
        <w:tc>
          <w:tcPr>
            <w:tcW w:w="1229" w:type="dxa"/>
            <w:tcBorders>
              <w:top w:val="nil"/>
              <w:left w:val="nil"/>
              <w:bottom w:val="nil"/>
              <w:right w:val="nil"/>
            </w:tcBorders>
            <w:shd w:val="clear" w:color="auto" w:fill="auto"/>
            <w:noWrap/>
            <w:vAlign w:val="center"/>
            <w:hideMark/>
          </w:tcPr>
          <w:p w14:paraId="66BAC288" w14:textId="206B6FFA" w:rsidR="004D7AC0" w:rsidRPr="00A43471" w:rsidRDefault="004D7AC0" w:rsidP="00A43471">
            <w:pPr>
              <w:rPr>
                <w:rFonts w:cs="Arial"/>
                <w:color w:val="000000"/>
                <w:szCs w:val="22"/>
                <w:lang w:eastAsia="en-GB"/>
              </w:rPr>
            </w:pPr>
          </w:p>
        </w:tc>
        <w:tc>
          <w:tcPr>
            <w:tcW w:w="1229" w:type="dxa"/>
            <w:tcBorders>
              <w:top w:val="nil"/>
              <w:left w:val="nil"/>
              <w:bottom w:val="nil"/>
              <w:right w:val="nil"/>
            </w:tcBorders>
            <w:shd w:val="clear" w:color="auto" w:fill="auto"/>
            <w:noWrap/>
            <w:vAlign w:val="center"/>
            <w:hideMark/>
          </w:tcPr>
          <w:p w14:paraId="25C5D3AB" w14:textId="77777777" w:rsidR="004D7AC0" w:rsidRPr="00A43471" w:rsidRDefault="004D7AC0" w:rsidP="00A43471">
            <w:pPr>
              <w:rPr>
                <w:rFonts w:cs="Arial"/>
                <w:color w:val="000000"/>
                <w:szCs w:val="22"/>
                <w:lang w:eastAsia="en-GB"/>
              </w:rPr>
            </w:pPr>
            <w:r w:rsidRPr="00A43471">
              <w:rPr>
                <w:rFonts w:cs="Arial"/>
                <w:color w:val="000000"/>
                <w:szCs w:val="22"/>
                <w:lang w:eastAsia="en-GB"/>
              </w:rPr>
              <w:t> </w:t>
            </w:r>
          </w:p>
        </w:tc>
        <w:tc>
          <w:tcPr>
            <w:tcW w:w="1651" w:type="dxa"/>
            <w:tcBorders>
              <w:top w:val="nil"/>
              <w:left w:val="nil"/>
              <w:bottom w:val="nil"/>
              <w:right w:val="nil"/>
            </w:tcBorders>
            <w:shd w:val="clear" w:color="auto" w:fill="auto"/>
            <w:noWrap/>
            <w:vAlign w:val="center"/>
            <w:hideMark/>
          </w:tcPr>
          <w:p w14:paraId="31560F0E" w14:textId="77777777" w:rsidR="004D7AC0" w:rsidRPr="00A43471" w:rsidRDefault="004D7AC0" w:rsidP="00A43471">
            <w:pPr>
              <w:rPr>
                <w:rFonts w:cs="Arial"/>
                <w:color w:val="000000"/>
                <w:szCs w:val="22"/>
                <w:lang w:eastAsia="en-GB"/>
              </w:rPr>
            </w:pPr>
            <w:r w:rsidRPr="00A43471">
              <w:rPr>
                <w:rFonts w:cs="Arial"/>
                <w:color w:val="000000"/>
                <w:szCs w:val="22"/>
                <w:lang w:eastAsia="en-GB"/>
              </w:rPr>
              <w:t> </w:t>
            </w:r>
          </w:p>
        </w:tc>
        <w:tc>
          <w:tcPr>
            <w:tcW w:w="1559" w:type="dxa"/>
            <w:tcBorders>
              <w:top w:val="nil"/>
              <w:left w:val="nil"/>
              <w:bottom w:val="nil"/>
              <w:right w:val="nil"/>
            </w:tcBorders>
            <w:shd w:val="clear" w:color="auto" w:fill="auto"/>
            <w:noWrap/>
            <w:vAlign w:val="center"/>
            <w:hideMark/>
          </w:tcPr>
          <w:p w14:paraId="4D8C4DF3" w14:textId="77777777" w:rsidR="004D7AC0" w:rsidRPr="00A43471" w:rsidRDefault="004D7AC0" w:rsidP="00A43471">
            <w:pPr>
              <w:rPr>
                <w:rFonts w:cs="Arial"/>
                <w:color w:val="000000"/>
                <w:szCs w:val="22"/>
                <w:lang w:eastAsia="en-GB"/>
              </w:rPr>
            </w:pPr>
            <w:r w:rsidRPr="00A43471">
              <w:rPr>
                <w:rFonts w:cs="Arial"/>
                <w:color w:val="000000"/>
                <w:szCs w:val="22"/>
                <w:lang w:eastAsia="en-GB"/>
              </w:rPr>
              <w:t> </w:t>
            </w:r>
          </w:p>
        </w:tc>
        <w:tc>
          <w:tcPr>
            <w:tcW w:w="1418" w:type="dxa"/>
            <w:gridSpan w:val="2"/>
            <w:tcBorders>
              <w:top w:val="dashed" w:sz="4" w:space="0" w:color="76933C"/>
              <w:left w:val="nil"/>
              <w:bottom w:val="nil"/>
              <w:right w:val="single" w:sz="12" w:space="0" w:color="C4D79B"/>
            </w:tcBorders>
            <w:shd w:val="clear" w:color="000000" w:fill="C4D79B"/>
            <w:noWrap/>
            <w:vAlign w:val="center"/>
            <w:hideMark/>
          </w:tcPr>
          <w:p w14:paraId="1A973028" w14:textId="004D5776" w:rsidR="004D7AC0" w:rsidRPr="00A43471" w:rsidRDefault="004D7AC0" w:rsidP="00A43471">
            <w:pPr>
              <w:rPr>
                <w:rFonts w:cs="Arial"/>
                <w:color w:val="000000"/>
                <w:szCs w:val="22"/>
                <w:lang w:eastAsia="en-GB"/>
              </w:rPr>
            </w:pPr>
            <w:r w:rsidRPr="00A43471">
              <w:rPr>
                <w:rFonts w:cs="Arial"/>
                <w:color w:val="000000"/>
                <w:szCs w:val="22"/>
                <w:lang w:eastAsia="en-GB"/>
              </w:rPr>
              <w:t xml:space="preserve">-   </w:t>
            </w:r>
          </w:p>
        </w:tc>
      </w:tr>
      <w:tr w:rsidR="004D7AC0" w:rsidRPr="00A43471" w14:paraId="5F81CE14" w14:textId="77777777" w:rsidTr="00A43471">
        <w:trPr>
          <w:gridBefore w:val="1"/>
          <w:wBefore w:w="15" w:type="dxa"/>
          <w:trHeight w:val="143"/>
        </w:trPr>
        <w:tc>
          <w:tcPr>
            <w:tcW w:w="2302" w:type="dxa"/>
            <w:vMerge/>
            <w:tcBorders>
              <w:top w:val="nil"/>
              <w:left w:val="single" w:sz="12" w:space="0" w:color="C4D79B"/>
              <w:bottom w:val="dashed" w:sz="8" w:space="0" w:color="C4D79B"/>
              <w:right w:val="nil"/>
            </w:tcBorders>
            <w:vAlign w:val="center"/>
            <w:hideMark/>
          </w:tcPr>
          <w:p w14:paraId="087F2059" w14:textId="77777777" w:rsidR="004D7AC0" w:rsidRPr="00A43471" w:rsidRDefault="004D7AC0" w:rsidP="004D7AC0">
            <w:pPr>
              <w:rPr>
                <w:rFonts w:cs="Arial"/>
                <w:color w:val="000000"/>
                <w:szCs w:val="22"/>
                <w:lang w:eastAsia="en-GB"/>
              </w:rPr>
            </w:pPr>
          </w:p>
        </w:tc>
        <w:tc>
          <w:tcPr>
            <w:tcW w:w="1229" w:type="dxa"/>
            <w:tcBorders>
              <w:top w:val="nil"/>
              <w:left w:val="nil"/>
              <w:bottom w:val="dashed" w:sz="8" w:space="0" w:color="C4D79B"/>
              <w:right w:val="nil"/>
            </w:tcBorders>
            <w:shd w:val="clear" w:color="auto" w:fill="auto"/>
            <w:noWrap/>
            <w:vAlign w:val="bottom"/>
            <w:hideMark/>
          </w:tcPr>
          <w:p w14:paraId="1008AA1C"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dashed" w:sz="8" w:space="0" w:color="C4D79B"/>
              <w:right w:val="nil"/>
            </w:tcBorders>
            <w:shd w:val="clear" w:color="auto" w:fill="auto"/>
            <w:noWrap/>
            <w:vAlign w:val="bottom"/>
            <w:hideMark/>
          </w:tcPr>
          <w:p w14:paraId="3772BB5B" w14:textId="77A189E9" w:rsidR="004D7AC0" w:rsidRPr="00A43471" w:rsidRDefault="004D7AC0" w:rsidP="004D7AC0">
            <w:pPr>
              <w:rPr>
                <w:rFonts w:cs="Arial"/>
                <w:color w:val="000000"/>
                <w:szCs w:val="22"/>
                <w:lang w:eastAsia="en-GB"/>
              </w:rPr>
            </w:pPr>
            <w:r w:rsidRPr="00A43471">
              <w:rPr>
                <w:rFonts w:cs="Arial"/>
                <w:color w:val="000000"/>
                <w:szCs w:val="22"/>
                <w:lang w:eastAsia="en-GB"/>
              </w:rPr>
              <w:t xml:space="preserve">79,716 </w:t>
            </w:r>
          </w:p>
        </w:tc>
        <w:tc>
          <w:tcPr>
            <w:tcW w:w="1229" w:type="dxa"/>
            <w:tcBorders>
              <w:top w:val="nil"/>
              <w:left w:val="nil"/>
              <w:bottom w:val="dashed" w:sz="8" w:space="0" w:color="C4D79B"/>
              <w:right w:val="nil"/>
            </w:tcBorders>
            <w:shd w:val="clear" w:color="auto" w:fill="auto"/>
            <w:noWrap/>
            <w:vAlign w:val="bottom"/>
            <w:hideMark/>
          </w:tcPr>
          <w:p w14:paraId="478A5AF7"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651" w:type="dxa"/>
            <w:tcBorders>
              <w:top w:val="nil"/>
              <w:left w:val="nil"/>
              <w:bottom w:val="dashed" w:sz="8" w:space="0" w:color="C4D79B"/>
              <w:right w:val="nil"/>
            </w:tcBorders>
            <w:shd w:val="clear" w:color="auto" w:fill="auto"/>
            <w:noWrap/>
            <w:vAlign w:val="bottom"/>
            <w:hideMark/>
          </w:tcPr>
          <w:p w14:paraId="21D08575"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34 </w:t>
            </w:r>
          </w:p>
        </w:tc>
        <w:tc>
          <w:tcPr>
            <w:tcW w:w="1559" w:type="dxa"/>
            <w:tcBorders>
              <w:top w:val="nil"/>
              <w:left w:val="nil"/>
              <w:bottom w:val="dashed" w:sz="8" w:space="0" w:color="C4D79B"/>
              <w:right w:val="nil"/>
            </w:tcBorders>
            <w:shd w:val="clear" w:color="auto" w:fill="auto"/>
            <w:noWrap/>
            <w:vAlign w:val="bottom"/>
            <w:hideMark/>
          </w:tcPr>
          <w:p w14:paraId="579C972B" w14:textId="7F6FCCC4" w:rsidR="004D7AC0" w:rsidRPr="00A43471" w:rsidRDefault="004D7AC0" w:rsidP="004D7AC0">
            <w:pPr>
              <w:rPr>
                <w:rFonts w:cs="Arial"/>
                <w:color w:val="000000"/>
                <w:szCs w:val="22"/>
                <w:lang w:eastAsia="en-GB"/>
              </w:rPr>
            </w:pPr>
            <w:r w:rsidRPr="00A43471">
              <w:rPr>
                <w:rFonts w:cs="Arial"/>
                <w:color w:val="000000"/>
                <w:szCs w:val="22"/>
                <w:lang w:eastAsia="en-GB"/>
              </w:rPr>
              <w:t xml:space="preserve">18,095 </w:t>
            </w:r>
          </w:p>
        </w:tc>
        <w:tc>
          <w:tcPr>
            <w:tcW w:w="1418" w:type="dxa"/>
            <w:gridSpan w:val="2"/>
            <w:tcBorders>
              <w:top w:val="nil"/>
              <w:left w:val="nil"/>
              <w:bottom w:val="dashed" w:sz="4" w:space="0" w:color="76933C"/>
              <w:right w:val="single" w:sz="12" w:space="0" w:color="C4D79B"/>
            </w:tcBorders>
            <w:shd w:val="clear" w:color="000000" w:fill="C4D79B"/>
            <w:noWrap/>
            <w:vAlign w:val="bottom"/>
            <w:hideMark/>
          </w:tcPr>
          <w:p w14:paraId="2D603945" w14:textId="1FA46EF6" w:rsidR="004D7AC0" w:rsidRPr="00A43471" w:rsidRDefault="004D7AC0" w:rsidP="004D7AC0">
            <w:pPr>
              <w:rPr>
                <w:rFonts w:cs="Arial"/>
                <w:color w:val="000000"/>
                <w:szCs w:val="22"/>
                <w:lang w:eastAsia="en-GB"/>
              </w:rPr>
            </w:pPr>
            <w:r w:rsidRPr="00A43471">
              <w:rPr>
                <w:rFonts w:cs="Arial"/>
                <w:color w:val="000000"/>
                <w:szCs w:val="22"/>
                <w:lang w:eastAsia="en-GB"/>
              </w:rPr>
              <w:t xml:space="preserve">97,845 </w:t>
            </w:r>
          </w:p>
        </w:tc>
      </w:tr>
      <w:tr w:rsidR="004D7AC0" w:rsidRPr="00A43471" w14:paraId="5E46F7E6" w14:textId="77777777" w:rsidTr="00A43471">
        <w:trPr>
          <w:gridBefore w:val="1"/>
          <w:wBefore w:w="15" w:type="dxa"/>
          <w:trHeight w:val="289"/>
        </w:trPr>
        <w:tc>
          <w:tcPr>
            <w:tcW w:w="2302" w:type="dxa"/>
            <w:vMerge w:val="restart"/>
            <w:tcBorders>
              <w:top w:val="nil"/>
              <w:left w:val="single" w:sz="12" w:space="0" w:color="C4D79B"/>
              <w:bottom w:val="dashed" w:sz="8" w:space="0" w:color="C4D79B"/>
              <w:right w:val="nil"/>
            </w:tcBorders>
            <w:shd w:val="clear" w:color="auto" w:fill="auto"/>
            <w:vAlign w:val="center"/>
            <w:hideMark/>
          </w:tcPr>
          <w:p w14:paraId="11CBB015" w14:textId="77777777" w:rsidR="004D7AC0" w:rsidRPr="00A43471" w:rsidRDefault="004D7AC0" w:rsidP="004D7AC0">
            <w:pPr>
              <w:rPr>
                <w:rFonts w:cs="Arial"/>
                <w:color w:val="000000"/>
                <w:szCs w:val="22"/>
                <w:lang w:eastAsia="en-GB"/>
              </w:rPr>
            </w:pPr>
            <w:r w:rsidRPr="00A43471">
              <w:rPr>
                <w:rFonts w:cs="Arial"/>
                <w:color w:val="000000"/>
                <w:szCs w:val="22"/>
                <w:lang w:eastAsia="en-GB"/>
              </w:rPr>
              <w:t>Strategic Director of Peoples (2)</w:t>
            </w:r>
          </w:p>
        </w:tc>
        <w:tc>
          <w:tcPr>
            <w:tcW w:w="1229" w:type="dxa"/>
            <w:tcBorders>
              <w:top w:val="nil"/>
              <w:left w:val="nil"/>
              <w:bottom w:val="nil"/>
              <w:right w:val="nil"/>
            </w:tcBorders>
            <w:shd w:val="clear" w:color="auto" w:fill="auto"/>
            <w:noWrap/>
            <w:vAlign w:val="bottom"/>
            <w:hideMark/>
          </w:tcPr>
          <w:p w14:paraId="4E2ECECC" w14:textId="77777777" w:rsidR="004D7AC0" w:rsidRPr="00A43471" w:rsidRDefault="004D7AC0" w:rsidP="004D7AC0">
            <w:pPr>
              <w:rPr>
                <w:rFonts w:cs="Arial"/>
                <w:color w:val="000000"/>
                <w:szCs w:val="22"/>
                <w:lang w:eastAsia="en-GB"/>
              </w:rPr>
            </w:pPr>
            <w:r w:rsidRPr="00A43471">
              <w:rPr>
                <w:rFonts w:cs="Arial"/>
                <w:color w:val="000000"/>
                <w:szCs w:val="22"/>
                <w:lang w:eastAsia="en-GB"/>
              </w:rPr>
              <w:t>2019/20</w:t>
            </w:r>
          </w:p>
        </w:tc>
        <w:tc>
          <w:tcPr>
            <w:tcW w:w="1229" w:type="dxa"/>
            <w:tcBorders>
              <w:top w:val="nil"/>
              <w:left w:val="nil"/>
              <w:bottom w:val="nil"/>
              <w:right w:val="nil"/>
            </w:tcBorders>
            <w:shd w:val="clear" w:color="auto" w:fill="auto"/>
            <w:noWrap/>
            <w:vAlign w:val="bottom"/>
            <w:hideMark/>
          </w:tcPr>
          <w:p w14:paraId="74C058A6" w14:textId="65D417CB" w:rsidR="004D7AC0" w:rsidRPr="00A43471" w:rsidRDefault="004D7AC0" w:rsidP="004D7AC0">
            <w:pPr>
              <w:rPr>
                <w:rFonts w:cs="Arial"/>
                <w:color w:val="000000"/>
                <w:szCs w:val="22"/>
                <w:lang w:eastAsia="en-GB"/>
              </w:rPr>
            </w:pPr>
            <w:r w:rsidRPr="00A43471">
              <w:rPr>
                <w:rFonts w:cs="Arial"/>
                <w:color w:val="000000"/>
                <w:szCs w:val="22"/>
                <w:lang w:eastAsia="en-GB"/>
              </w:rPr>
              <w:t xml:space="preserve">102,280 </w:t>
            </w:r>
          </w:p>
        </w:tc>
        <w:tc>
          <w:tcPr>
            <w:tcW w:w="1229" w:type="dxa"/>
            <w:tcBorders>
              <w:top w:val="nil"/>
              <w:left w:val="nil"/>
              <w:bottom w:val="nil"/>
              <w:right w:val="nil"/>
            </w:tcBorders>
            <w:shd w:val="clear" w:color="auto" w:fill="auto"/>
            <w:noWrap/>
            <w:vAlign w:val="bottom"/>
            <w:hideMark/>
          </w:tcPr>
          <w:p w14:paraId="1215D1C4" w14:textId="77777777" w:rsidR="004D7AC0" w:rsidRPr="00A43471" w:rsidRDefault="004D7AC0" w:rsidP="004D7AC0">
            <w:pPr>
              <w:rPr>
                <w:rFonts w:cs="Arial"/>
                <w:color w:val="000000"/>
                <w:szCs w:val="22"/>
                <w:lang w:eastAsia="en-GB"/>
              </w:rPr>
            </w:pPr>
          </w:p>
        </w:tc>
        <w:tc>
          <w:tcPr>
            <w:tcW w:w="1651" w:type="dxa"/>
            <w:tcBorders>
              <w:top w:val="nil"/>
              <w:left w:val="nil"/>
              <w:bottom w:val="nil"/>
              <w:right w:val="nil"/>
            </w:tcBorders>
            <w:shd w:val="clear" w:color="auto" w:fill="auto"/>
            <w:noWrap/>
            <w:vAlign w:val="bottom"/>
            <w:hideMark/>
          </w:tcPr>
          <w:p w14:paraId="6A1D109C"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959 </w:t>
            </w:r>
          </w:p>
        </w:tc>
        <w:tc>
          <w:tcPr>
            <w:tcW w:w="1559" w:type="dxa"/>
            <w:tcBorders>
              <w:top w:val="nil"/>
              <w:left w:val="nil"/>
              <w:bottom w:val="nil"/>
              <w:right w:val="nil"/>
            </w:tcBorders>
            <w:shd w:val="clear" w:color="auto" w:fill="auto"/>
            <w:noWrap/>
            <w:vAlign w:val="bottom"/>
            <w:hideMark/>
          </w:tcPr>
          <w:p w14:paraId="78132AA7" w14:textId="7FFDB507" w:rsidR="004D7AC0" w:rsidRPr="00A43471" w:rsidRDefault="004D7AC0" w:rsidP="004D7AC0">
            <w:pPr>
              <w:rPr>
                <w:rFonts w:cs="Arial"/>
                <w:color w:val="000000"/>
                <w:szCs w:val="22"/>
                <w:lang w:eastAsia="en-GB"/>
              </w:rPr>
            </w:pPr>
            <w:r w:rsidRPr="00A43471">
              <w:rPr>
                <w:rFonts w:cs="Arial"/>
                <w:color w:val="000000"/>
                <w:szCs w:val="22"/>
                <w:lang w:eastAsia="en-GB"/>
              </w:rPr>
              <w:t xml:space="preserve">24,240 </w:t>
            </w:r>
          </w:p>
        </w:tc>
        <w:tc>
          <w:tcPr>
            <w:tcW w:w="1418" w:type="dxa"/>
            <w:gridSpan w:val="2"/>
            <w:tcBorders>
              <w:top w:val="nil"/>
              <w:left w:val="nil"/>
              <w:bottom w:val="nil"/>
              <w:right w:val="single" w:sz="12" w:space="0" w:color="C4D79B"/>
            </w:tcBorders>
            <w:shd w:val="clear" w:color="000000" w:fill="C4D79B"/>
            <w:noWrap/>
            <w:vAlign w:val="bottom"/>
            <w:hideMark/>
          </w:tcPr>
          <w:p w14:paraId="12583DC9" w14:textId="1BB56B17" w:rsidR="004D7AC0" w:rsidRPr="00A43471" w:rsidRDefault="00A43471" w:rsidP="004D7AC0">
            <w:pPr>
              <w:rPr>
                <w:rFonts w:cs="Arial"/>
                <w:color w:val="000000"/>
                <w:szCs w:val="22"/>
                <w:lang w:eastAsia="en-GB"/>
              </w:rPr>
            </w:pPr>
            <w:r>
              <w:rPr>
                <w:rFonts w:cs="Arial"/>
                <w:color w:val="000000"/>
                <w:szCs w:val="22"/>
                <w:lang w:eastAsia="en-GB"/>
              </w:rPr>
              <w:t>1</w:t>
            </w:r>
            <w:r w:rsidR="004D7AC0" w:rsidRPr="00A43471">
              <w:rPr>
                <w:rFonts w:cs="Arial"/>
                <w:color w:val="000000"/>
                <w:szCs w:val="22"/>
                <w:lang w:eastAsia="en-GB"/>
              </w:rPr>
              <w:t xml:space="preserve">27,479 </w:t>
            </w:r>
          </w:p>
        </w:tc>
      </w:tr>
      <w:tr w:rsidR="004D7AC0" w:rsidRPr="00A43471" w14:paraId="5D55CD36" w14:textId="77777777" w:rsidTr="00A43471">
        <w:trPr>
          <w:gridBefore w:val="1"/>
          <w:wBefore w:w="15" w:type="dxa"/>
          <w:trHeight w:val="264"/>
        </w:trPr>
        <w:tc>
          <w:tcPr>
            <w:tcW w:w="2302" w:type="dxa"/>
            <w:vMerge/>
            <w:tcBorders>
              <w:top w:val="nil"/>
              <w:left w:val="single" w:sz="12" w:space="0" w:color="C4D79B"/>
              <w:bottom w:val="dashed" w:sz="8" w:space="0" w:color="C4D79B"/>
              <w:right w:val="nil"/>
            </w:tcBorders>
            <w:vAlign w:val="center"/>
            <w:hideMark/>
          </w:tcPr>
          <w:p w14:paraId="63A10F04" w14:textId="77777777" w:rsidR="004D7AC0" w:rsidRPr="00A43471" w:rsidRDefault="004D7AC0" w:rsidP="004D7AC0">
            <w:pPr>
              <w:rPr>
                <w:rFonts w:cs="Arial"/>
                <w:color w:val="000000"/>
                <w:szCs w:val="22"/>
                <w:lang w:eastAsia="en-GB"/>
              </w:rPr>
            </w:pPr>
          </w:p>
        </w:tc>
        <w:tc>
          <w:tcPr>
            <w:tcW w:w="1229" w:type="dxa"/>
            <w:tcBorders>
              <w:top w:val="nil"/>
              <w:left w:val="nil"/>
              <w:bottom w:val="dashed" w:sz="8" w:space="0" w:color="C4D79B"/>
              <w:right w:val="nil"/>
            </w:tcBorders>
            <w:shd w:val="clear" w:color="auto" w:fill="auto"/>
            <w:noWrap/>
            <w:vAlign w:val="bottom"/>
            <w:hideMark/>
          </w:tcPr>
          <w:p w14:paraId="34C9EBD6"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dashed" w:sz="8" w:space="0" w:color="C4D79B"/>
              <w:right w:val="nil"/>
            </w:tcBorders>
            <w:shd w:val="clear" w:color="auto" w:fill="auto"/>
            <w:noWrap/>
            <w:vAlign w:val="bottom"/>
            <w:hideMark/>
          </w:tcPr>
          <w:p w14:paraId="41695359" w14:textId="4E03D071" w:rsidR="004D7AC0" w:rsidRPr="00A43471" w:rsidRDefault="004D7AC0" w:rsidP="004D7AC0">
            <w:pPr>
              <w:rPr>
                <w:rFonts w:cs="Arial"/>
                <w:color w:val="000000"/>
                <w:szCs w:val="22"/>
                <w:lang w:eastAsia="en-GB"/>
              </w:rPr>
            </w:pPr>
            <w:r w:rsidRPr="00A43471">
              <w:rPr>
                <w:rFonts w:cs="Arial"/>
                <w:color w:val="000000"/>
                <w:szCs w:val="22"/>
                <w:lang w:eastAsia="en-GB"/>
              </w:rPr>
              <w:t xml:space="preserve">86,734 </w:t>
            </w:r>
          </w:p>
        </w:tc>
        <w:tc>
          <w:tcPr>
            <w:tcW w:w="1229" w:type="dxa"/>
            <w:tcBorders>
              <w:top w:val="nil"/>
              <w:left w:val="nil"/>
              <w:bottom w:val="dashed" w:sz="8" w:space="0" w:color="C4D79B"/>
              <w:right w:val="nil"/>
            </w:tcBorders>
            <w:shd w:val="clear" w:color="auto" w:fill="auto"/>
            <w:noWrap/>
            <w:vAlign w:val="bottom"/>
            <w:hideMark/>
          </w:tcPr>
          <w:p w14:paraId="00AF58AC"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651" w:type="dxa"/>
            <w:tcBorders>
              <w:top w:val="nil"/>
              <w:left w:val="nil"/>
              <w:bottom w:val="dashed" w:sz="8" w:space="0" w:color="C4D79B"/>
              <w:right w:val="nil"/>
            </w:tcBorders>
            <w:shd w:val="clear" w:color="auto" w:fill="auto"/>
            <w:noWrap/>
            <w:vAlign w:val="bottom"/>
            <w:hideMark/>
          </w:tcPr>
          <w:p w14:paraId="61E98211"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559" w:type="dxa"/>
            <w:tcBorders>
              <w:top w:val="nil"/>
              <w:left w:val="nil"/>
              <w:bottom w:val="dashed" w:sz="8" w:space="0" w:color="C4D79B"/>
              <w:right w:val="nil"/>
            </w:tcBorders>
            <w:shd w:val="clear" w:color="auto" w:fill="auto"/>
            <w:noWrap/>
            <w:vAlign w:val="bottom"/>
            <w:hideMark/>
          </w:tcPr>
          <w:p w14:paraId="562FC03C" w14:textId="66DBDDC7" w:rsidR="004D7AC0" w:rsidRPr="00A43471" w:rsidRDefault="00A43471" w:rsidP="004D7AC0">
            <w:pPr>
              <w:rPr>
                <w:rFonts w:cs="Arial"/>
                <w:color w:val="000000"/>
                <w:szCs w:val="22"/>
                <w:lang w:eastAsia="en-GB"/>
              </w:rPr>
            </w:pPr>
            <w:r>
              <w:rPr>
                <w:rFonts w:cs="Arial"/>
                <w:color w:val="000000"/>
                <w:szCs w:val="22"/>
                <w:lang w:eastAsia="en-GB"/>
              </w:rPr>
              <w:t>1</w:t>
            </w:r>
            <w:r w:rsidR="004D7AC0" w:rsidRPr="00A43471">
              <w:rPr>
                <w:rFonts w:cs="Arial"/>
                <w:color w:val="000000"/>
                <w:szCs w:val="22"/>
                <w:lang w:eastAsia="en-GB"/>
              </w:rPr>
              <w:t xml:space="preserve">9,689 </w:t>
            </w:r>
          </w:p>
        </w:tc>
        <w:tc>
          <w:tcPr>
            <w:tcW w:w="1418" w:type="dxa"/>
            <w:gridSpan w:val="2"/>
            <w:tcBorders>
              <w:top w:val="nil"/>
              <w:left w:val="nil"/>
              <w:bottom w:val="nil"/>
              <w:right w:val="single" w:sz="12" w:space="0" w:color="C4D79B"/>
            </w:tcBorders>
            <w:shd w:val="clear" w:color="000000" w:fill="C4D79B"/>
            <w:noWrap/>
            <w:vAlign w:val="bottom"/>
            <w:hideMark/>
          </w:tcPr>
          <w:p w14:paraId="00EE9EFC" w14:textId="599E3199" w:rsidR="004D7AC0" w:rsidRPr="00A43471" w:rsidRDefault="004D7AC0" w:rsidP="004D7AC0">
            <w:pPr>
              <w:rPr>
                <w:rFonts w:cs="Arial"/>
                <w:color w:val="000000"/>
                <w:szCs w:val="22"/>
                <w:lang w:eastAsia="en-GB"/>
              </w:rPr>
            </w:pPr>
            <w:r w:rsidRPr="00A43471">
              <w:rPr>
                <w:rFonts w:cs="Arial"/>
                <w:color w:val="000000"/>
                <w:szCs w:val="22"/>
                <w:lang w:eastAsia="en-GB"/>
              </w:rPr>
              <w:t xml:space="preserve">106,422 </w:t>
            </w:r>
          </w:p>
        </w:tc>
      </w:tr>
      <w:tr w:rsidR="004D7AC0" w:rsidRPr="00A43471" w14:paraId="22BF95B1" w14:textId="77777777" w:rsidTr="00A43471">
        <w:trPr>
          <w:gridBefore w:val="1"/>
          <w:wBefore w:w="15" w:type="dxa"/>
          <w:trHeight w:val="127"/>
        </w:trPr>
        <w:tc>
          <w:tcPr>
            <w:tcW w:w="2302" w:type="dxa"/>
            <w:vMerge w:val="restart"/>
            <w:tcBorders>
              <w:top w:val="nil"/>
              <w:left w:val="single" w:sz="12" w:space="0" w:color="C4D79B"/>
              <w:bottom w:val="nil"/>
              <w:right w:val="nil"/>
            </w:tcBorders>
            <w:shd w:val="clear" w:color="auto" w:fill="auto"/>
            <w:vAlign w:val="center"/>
            <w:hideMark/>
          </w:tcPr>
          <w:p w14:paraId="3FAE7C24" w14:textId="77777777" w:rsidR="004D7AC0" w:rsidRPr="00A43471" w:rsidRDefault="004D7AC0" w:rsidP="004D7AC0">
            <w:pPr>
              <w:rPr>
                <w:rFonts w:cs="Arial"/>
                <w:color w:val="000000"/>
                <w:szCs w:val="22"/>
                <w:lang w:eastAsia="en-GB"/>
              </w:rPr>
            </w:pPr>
            <w:r w:rsidRPr="00A43471">
              <w:rPr>
                <w:rFonts w:cs="Arial"/>
                <w:color w:val="000000"/>
                <w:szCs w:val="22"/>
                <w:lang w:eastAsia="en-GB"/>
              </w:rPr>
              <w:t>Director of Places  (3) (Development &amp; Economy)</w:t>
            </w:r>
          </w:p>
        </w:tc>
        <w:tc>
          <w:tcPr>
            <w:tcW w:w="1229" w:type="dxa"/>
            <w:tcBorders>
              <w:top w:val="nil"/>
              <w:left w:val="nil"/>
              <w:bottom w:val="nil"/>
              <w:right w:val="nil"/>
            </w:tcBorders>
            <w:shd w:val="clear" w:color="auto" w:fill="auto"/>
            <w:noWrap/>
            <w:vAlign w:val="center"/>
            <w:hideMark/>
          </w:tcPr>
          <w:p w14:paraId="23DD491F" w14:textId="77777777" w:rsidR="004D7AC0" w:rsidRPr="00A43471" w:rsidRDefault="004D7AC0" w:rsidP="00A43471">
            <w:pPr>
              <w:rPr>
                <w:rFonts w:cs="Arial"/>
                <w:color w:val="000000"/>
                <w:szCs w:val="22"/>
                <w:lang w:eastAsia="en-GB"/>
              </w:rPr>
            </w:pPr>
            <w:r w:rsidRPr="00A43471">
              <w:rPr>
                <w:rFonts w:cs="Arial"/>
                <w:color w:val="000000"/>
                <w:szCs w:val="22"/>
                <w:lang w:eastAsia="en-GB"/>
              </w:rPr>
              <w:t>2019/20</w:t>
            </w:r>
          </w:p>
        </w:tc>
        <w:tc>
          <w:tcPr>
            <w:tcW w:w="1229" w:type="dxa"/>
            <w:tcBorders>
              <w:top w:val="nil"/>
              <w:left w:val="nil"/>
              <w:bottom w:val="nil"/>
              <w:right w:val="nil"/>
            </w:tcBorders>
            <w:shd w:val="clear" w:color="auto" w:fill="auto"/>
            <w:noWrap/>
            <w:vAlign w:val="center"/>
            <w:hideMark/>
          </w:tcPr>
          <w:p w14:paraId="7B4AEE25" w14:textId="77777777" w:rsidR="004D7AC0" w:rsidRPr="00A43471" w:rsidRDefault="004D7AC0" w:rsidP="00A43471">
            <w:pPr>
              <w:rPr>
                <w:rFonts w:cs="Arial"/>
                <w:color w:val="000000"/>
                <w:szCs w:val="22"/>
                <w:lang w:eastAsia="en-GB"/>
              </w:rPr>
            </w:pPr>
          </w:p>
        </w:tc>
        <w:tc>
          <w:tcPr>
            <w:tcW w:w="1229" w:type="dxa"/>
            <w:tcBorders>
              <w:top w:val="nil"/>
              <w:left w:val="nil"/>
              <w:bottom w:val="nil"/>
              <w:right w:val="nil"/>
            </w:tcBorders>
            <w:shd w:val="clear" w:color="auto" w:fill="auto"/>
            <w:noWrap/>
            <w:vAlign w:val="center"/>
            <w:hideMark/>
          </w:tcPr>
          <w:p w14:paraId="049EF103" w14:textId="77777777" w:rsidR="004D7AC0" w:rsidRPr="00A43471" w:rsidRDefault="004D7AC0" w:rsidP="00A43471">
            <w:pPr>
              <w:rPr>
                <w:rFonts w:cs="Arial"/>
                <w:szCs w:val="22"/>
                <w:lang w:eastAsia="en-GB"/>
              </w:rPr>
            </w:pPr>
          </w:p>
        </w:tc>
        <w:tc>
          <w:tcPr>
            <w:tcW w:w="1651" w:type="dxa"/>
            <w:tcBorders>
              <w:top w:val="nil"/>
              <w:left w:val="nil"/>
              <w:bottom w:val="nil"/>
              <w:right w:val="nil"/>
            </w:tcBorders>
            <w:shd w:val="clear" w:color="auto" w:fill="auto"/>
            <w:noWrap/>
            <w:vAlign w:val="center"/>
            <w:hideMark/>
          </w:tcPr>
          <w:p w14:paraId="6090C566" w14:textId="77777777" w:rsidR="004D7AC0" w:rsidRPr="00A43471" w:rsidRDefault="004D7AC0" w:rsidP="00A43471">
            <w:pPr>
              <w:rPr>
                <w:rFonts w:cs="Arial"/>
                <w:szCs w:val="22"/>
                <w:lang w:eastAsia="en-GB"/>
              </w:rPr>
            </w:pPr>
          </w:p>
        </w:tc>
        <w:tc>
          <w:tcPr>
            <w:tcW w:w="1559" w:type="dxa"/>
            <w:tcBorders>
              <w:top w:val="nil"/>
              <w:left w:val="nil"/>
              <w:bottom w:val="nil"/>
              <w:right w:val="nil"/>
            </w:tcBorders>
            <w:shd w:val="clear" w:color="auto" w:fill="auto"/>
            <w:noWrap/>
            <w:vAlign w:val="center"/>
            <w:hideMark/>
          </w:tcPr>
          <w:p w14:paraId="2CF1B492" w14:textId="77777777" w:rsidR="004D7AC0" w:rsidRPr="00A43471" w:rsidRDefault="004D7AC0" w:rsidP="00A43471">
            <w:pPr>
              <w:rPr>
                <w:rFonts w:cs="Arial"/>
                <w:szCs w:val="22"/>
                <w:lang w:eastAsia="en-GB"/>
              </w:rPr>
            </w:pPr>
          </w:p>
        </w:tc>
        <w:tc>
          <w:tcPr>
            <w:tcW w:w="1418" w:type="dxa"/>
            <w:gridSpan w:val="2"/>
            <w:tcBorders>
              <w:top w:val="dashed" w:sz="4" w:space="0" w:color="76933C"/>
              <w:left w:val="nil"/>
              <w:bottom w:val="nil"/>
              <w:right w:val="single" w:sz="12" w:space="0" w:color="C4D79B"/>
            </w:tcBorders>
            <w:shd w:val="clear" w:color="000000" w:fill="C4D79B"/>
            <w:noWrap/>
            <w:vAlign w:val="center"/>
            <w:hideMark/>
          </w:tcPr>
          <w:p w14:paraId="4FA908B3" w14:textId="77777777" w:rsidR="004D7AC0" w:rsidRPr="00A43471" w:rsidRDefault="004D7AC0" w:rsidP="00A43471">
            <w:pPr>
              <w:rPr>
                <w:rFonts w:cs="Arial"/>
                <w:color w:val="000000"/>
                <w:szCs w:val="22"/>
                <w:lang w:eastAsia="en-GB"/>
              </w:rPr>
            </w:pPr>
            <w:r w:rsidRPr="00A43471">
              <w:rPr>
                <w:rFonts w:cs="Arial"/>
                <w:color w:val="000000"/>
                <w:szCs w:val="22"/>
                <w:lang w:eastAsia="en-GB"/>
              </w:rPr>
              <w:t xml:space="preserve">                     -   </w:t>
            </w:r>
          </w:p>
        </w:tc>
      </w:tr>
      <w:tr w:rsidR="004D7AC0" w:rsidRPr="00A43471" w14:paraId="23E7343A" w14:textId="77777777" w:rsidTr="00A43471">
        <w:trPr>
          <w:gridBefore w:val="1"/>
          <w:wBefore w:w="15" w:type="dxa"/>
          <w:trHeight w:val="141"/>
        </w:trPr>
        <w:tc>
          <w:tcPr>
            <w:tcW w:w="2302" w:type="dxa"/>
            <w:vMerge/>
            <w:tcBorders>
              <w:top w:val="nil"/>
              <w:left w:val="single" w:sz="12" w:space="0" w:color="C4D79B"/>
              <w:bottom w:val="nil"/>
              <w:right w:val="nil"/>
            </w:tcBorders>
            <w:vAlign w:val="center"/>
            <w:hideMark/>
          </w:tcPr>
          <w:p w14:paraId="2ADE78E6" w14:textId="77777777" w:rsidR="004D7AC0" w:rsidRPr="00A43471" w:rsidRDefault="004D7AC0" w:rsidP="004D7AC0">
            <w:pPr>
              <w:rPr>
                <w:rFonts w:cs="Arial"/>
                <w:color w:val="000000"/>
                <w:szCs w:val="22"/>
                <w:lang w:eastAsia="en-GB"/>
              </w:rPr>
            </w:pPr>
          </w:p>
        </w:tc>
        <w:tc>
          <w:tcPr>
            <w:tcW w:w="1229" w:type="dxa"/>
            <w:tcBorders>
              <w:top w:val="nil"/>
              <w:left w:val="nil"/>
              <w:bottom w:val="nil"/>
              <w:right w:val="nil"/>
            </w:tcBorders>
            <w:shd w:val="clear" w:color="auto" w:fill="auto"/>
            <w:noWrap/>
            <w:vAlign w:val="bottom"/>
            <w:hideMark/>
          </w:tcPr>
          <w:p w14:paraId="33D0E1FA"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nil"/>
              <w:right w:val="nil"/>
            </w:tcBorders>
            <w:shd w:val="clear" w:color="auto" w:fill="auto"/>
            <w:noWrap/>
            <w:vAlign w:val="bottom"/>
            <w:hideMark/>
          </w:tcPr>
          <w:p w14:paraId="6F7A062A" w14:textId="77777777" w:rsidR="004D7AC0" w:rsidRPr="00A43471" w:rsidRDefault="004D7AC0" w:rsidP="004D7AC0">
            <w:pPr>
              <w:rPr>
                <w:rFonts w:cs="Arial"/>
                <w:color w:val="000000"/>
                <w:szCs w:val="22"/>
                <w:lang w:eastAsia="en-GB"/>
              </w:rPr>
            </w:pPr>
          </w:p>
        </w:tc>
        <w:tc>
          <w:tcPr>
            <w:tcW w:w="1229" w:type="dxa"/>
            <w:tcBorders>
              <w:top w:val="nil"/>
              <w:left w:val="nil"/>
              <w:bottom w:val="nil"/>
              <w:right w:val="nil"/>
            </w:tcBorders>
            <w:shd w:val="clear" w:color="auto" w:fill="auto"/>
            <w:noWrap/>
            <w:vAlign w:val="bottom"/>
            <w:hideMark/>
          </w:tcPr>
          <w:p w14:paraId="374B6B00" w14:textId="1765A6DB" w:rsidR="004D7AC0" w:rsidRPr="00A43471" w:rsidRDefault="004D7AC0" w:rsidP="004D7AC0">
            <w:pPr>
              <w:rPr>
                <w:rFonts w:cs="Arial"/>
                <w:color w:val="000000"/>
                <w:szCs w:val="22"/>
                <w:lang w:eastAsia="en-GB"/>
              </w:rPr>
            </w:pPr>
            <w:r w:rsidRPr="00A43471">
              <w:rPr>
                <w:rFonts w:cs="Arial"/>
                <w:color w:val="000000"/>
                <w:szCs w:val="22"/>
                <w:lang w:eastAsia="en-GB"/>
              </w:rPr>
              <w:t xml:space="preserve">66,484 </w:t>
            </w:r>
          </w:p>
        </w:tc>
        <w:tc>
          <w:tcPr>
            <w:tcW w:w="1651" w:type="dxa"/>
            <w:tcBorders>
              <w:top w:val="nil"/>
              <w:left w:val="nil"/>
              <w:bottom w:val="nil"/>
              <w:right w:val="nil"/>
            </w:tcBorders>
            <w:shd w:val="clear" w:color="auto" w:fill="auto"/>
            <w:noWrap/>
            <w:vAlign w:val="bottom"/>
            <w:hideMark/>
          </w:tcPr>
          <w:p w14:paraId="6354AEA6" w14:textId="77777777" w:rsidR="004D7AC0" w:rsidRPr="00A43471" w:rsidRDefault="004D7AC0" w:rsidP="004D7AC0">
            <w:pPr>
              <w:rPr>
                <w:rFonts w:cs="Arial"/>
                <w:color w:val="000000"/>
                <w:szCs w:val="22"/>
                <w:lang w:eastAsia="en-GB"/>
              </w:rPr>
            </w:pPr>
          </w:p>
        </w:tc>
        <w:tc>
          <w:tcPr>
            <w:tcW w:w="1559" w:type="dxa"/>
            <w:tcBorders>
              <w:top w:val="nil"/>
              <w:left w:val="nil"/>
              <w:bottom w:val="nil"/>
              <w:right w:val="nil"/>
            </w:tcBorders>
            <w:shd w:val="clear" w:color="auto" w:fill="auto"/>
            <w:noWrap/>
            <w:vAlign w:val="bottom"/>
            <w:hideMark/>
          </w:tcPr>
          <w:p w14:paraId="42BCF35E" w14:textId="77777777" w:rsidR="004D7AC0" w:rsidRPr="00A43471" w:rsidRDefault="004D7AC0" w:rsidP="004D7AC0">
            <w:pPr>
              <w:rPr>
                <w:rFonts w:cs="Arial"/>
                <w:szCs w:val="22"/>
                <w:lang w:eastAsia="en-GB"/>
              </w:rPr>
            </w:pPr>
          </w:p>
        </w:tc>
        <w:tc>
          <w:tcPr>
            <w:tcW w:w="1418" w:type="dxa"/>
            <w:gridSpan w:val="2"/>
            <w:tcBorders>
              <w:top w:val="nil"/>
              <w:left w:val="nil"/>
              <w:bottom w:val="dashed" w:sz="4" w:space="0" w:color="76933C"/>
              <w:right w:val="single" w:sz="12" w:space="0" w:color="C4D79B"/>
            </w:tcBorders>
            <w:shd w:val="clear" w:color="000000" w:fill="C4D79B"/>
            <w:noWrap/>
            <w:vAlign w:val="bottom"/>
            <w:hideMark/>
          </w:tcPr>
          <w:p w14:paraId="65D1278D" w14:textId="42926B05" w:rsidR="004D7AC0" w:rsidRPr="00A43471" w:rsidRDefault="004D7AC0" w:rsidP="004D7AC0">
            <w:pPr>
              <w:rPr>
                <w:rFonts w:cs="Arial"/>
                <w:color w:val="000000"/>
                <w:szCs w:val="22"/>
                <w:lang w:eastAsia="en-GB"/>
              </w:rPr>
            </w:pPr>
            <w:r w:rsidRPr="00A43471">
              <w:rPr>
                <w:rFonts w:cs="Arial"/>
                <w:color w:val="000000"/>
                <w:szCs w:val="22"/>
                <w:lang w:eastAsia="en-GB"/>
              </w:rPr>
              <w:t xml:space="preserve">66,484 </w:t>
            </w:r>
          </w:p>
        </w:tc>
      </w:tr>
      <w:tr w:rsidR="004D7AC0" w:rsidRPr="00A43471" w14:paraId="43796217" w14:textId="77777777" w:rsidTr="00A43471">
        <w:trPr>
          <w:gridBefore w:val="1"/>
          <w:wBefore w:w="15" w:type="dxa"/>
          <w:trHeight w:val="525"/>
        </w:trPr>
        <w:tc>
          <w:tcPr>
            <w:tcW w:w="2302" w:type="dxa"/>
            <w:vMerge w:val="restart"/>
            <w:tcBorders>
              <w:top w:val="dashed" w:sz="8" w:space="0" w:color="C4D79B"/>
              <w:left w:val="single" w:sz="12" w:space="0" w:color="C4D79B"/>
              <w:bottom w:val="dashed" w:sz="8" w:space="0" w:color="C4D79B"/>
              <w:right w:val="nil"/>
            </w:tcBorders>
            <w:shd w:val="clear" w:color="auto" w:fill="auto"/>
            <w:vAlign w:val="center"/>
            <w:hideMark/>
          </w:tcPr>
          <w:p w14:paraId="77CB4D0A"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Director of Places (4) (Environment, Planning &amp; Transport) </w:t>
            </w:r>
          </w:p>
        </w:tc>
        <w:tc>
          <w:tcPr>
            <w:tcW w:w="1229" w:type="dxa"/>
            <w:tcBorders>
              <w:top w:val="dashed" w:sz="8" w:space="0" w:color="C4D79B"/>
              <w:left w:val="nil"/>
              <w:bottom w:val="nil"/>
              <w:right w:val="nil"/>
            </w:tcBorders>
            <w:shd w:val="clear" w:color="auto" w:fill="auto"/>
            <w:noWrap/>
            <w:vAlign w:val="bottom"/>
            <w:hideMark/>
          </w:tcPr>
          <w:p w14:paraId="4D576CC5" w14:textId="77777777" w:rsidR="004D7AC0" w:rsidRPr="00A43471" w:rsidRDefault="004D7AC0" w:rsidP="004D7AC0">
            <w:pPr>
              <w:rPr>
                <w:rFonts w:cs="Arial"/>
                <w:color w:val="000000"/>
                <w:szCs w:val="22"/>
                <w:lang w:eastAsia="en-GB"/>
              </w:rPr>
            </w:pPr>
            <w:r w:rsidRPr="00A43471">
              <w:rPr>
                <w:rFonts w:cs="Arial"/>
                <w:color w:val="000000"/>
                <w:szCs w:val="22"/>
                <w:lang w:eastAsia="en-GB"/>
              </w:rPr>
              <w:t>2019/20</w:t>
            </w:r>
          </w:p>
        </w:tc>
        <w:tc>
          <w:tcPr>
            <w:tcW w:w="1229" w:type="dxa"/>
            <w:tcBorders>
              <w:top w:val="dashed" w:sz="8" w:space="0" w:color="C4D79B"/>
              <w:left w:val="nil"/>
              <w:bottom w:val="nil"/>
              <w:right w:val="nil"/>
            </w:tcBorders>
            <w:shd w:val="clear" w:color="auto" w:fill="auto"/>
            <w:noWrap/>
            <w:vAlign w:val="bottom"/>
            <w:hideMark/>
          </w:tcPr>
          <w:p w14:paraId="2DF4B063"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229" w:type="dxa"/>
            <w:tcBorders>
              <w:top w:val="dashed" w:sz="8" w:space="0" w:color="C4D79B"/>
              <w:left w:val="nil"/>
              <w:bottom w:val="nil"/>
              <w:right w:val="nil"/>
            </w:tcBorders>
            <w:shd w:val="clear" w:color="auto" w:fill="auto"/>
            <w:noWrap/>
            <w:vAlign w:val="bottom"/>
            <w:hideMark/>
          </w:tcPr>
          <w:p w14:paraId="1F1F923F"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651" w:type="dxa"/>
            <w:tcBorders>
              <w:top w:val="dashed" w:sz="8" w:space="0" w:color="C4D79B"/>
              <w:left w:val="nil"/>
              <w:bottom w:val="nil"/>
              <w:right w:val="nil"/>
            </w:tcBorders>
            <w:shd w:val="clear" w:color="auto" w:fill="auto"/>
            <w:noWrap/>
            <w:vAlign w:val="bottom"/>
            <w:hideMark/>
          </w:tcPr>
          <w:p w14:paraId="193A2AEB"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559" w:type="dxa"/>
            <w:tcBorders>
              <w:top w:val="dashed" w:sz="8" w:space="0" w:color="C4D79B"/>
              <w:left w:val="nil"/>
              <w:bottom w:val="nil"/>
              <w:right w:val="nil"/>
            </w:tcBorders>
            <w:shd w:val="clear" w:color="auto" w:fill="auto"/>
            <w:noWrap/>
            <w:vAlign w:val="bottom"/>
            <w:hideMark/>
          </w:tcPr>
          <w:p w14:paraId="678D3D67"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418" w:type="dxa"/>
            <w:gridSpan w:val="2"/>
            <w:tcBorders>
              <w:top w:val="nil"/>
              <w:left w:val="nil"/>
              <w:right w:val="single" w:sz="12" w:space="0" w:color="C4D79B"/>
            </w:tcBorders>
            <w:shd w:val="clear" w:color="000000" w:fill="C4D79B"/>
            <w:noWrap/>
            <w:vAlign w:val="bottom"/>
            <w:hideMark/>
          </w:tcPr>
          <w:p w14:paraId="307995ED"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   </w:t>
            </w:r>
          </w:p>
        </w:tc>
      </w:tr>
      <w:tr w:rsidR="004D7AC0" w:rsidRPr="00A43471" w14:paraId="63278B7E" w14:textId="77777777" w:rsidTr="00A43471">
        <w:trPr>
          <w:gridBefore w:val="1"/>
          <w:wBefore w:w="15" w:type="dxa"/>
          <w:trHeight w:val="525"/>
        </w:trPr>
        <w:tc>
          <w:tcPr>
            <w:tcW w:w="2302" w:type="dxa"/>
            <w:vMerge/>
            <w:tcBorders>
              <w:top w:val="dashed" w:sz="8" w:space="0" w:color="C4D79B"/>
              <w:left w:val="single" w:sz="12" w:space="0" w:color="C4D79B"/>
              <w:bottom w:val="dashed" w:sz="8" w:space="0" w:color="C4D79B"/>
              <w:right w:val="nil"/>
            </w:tcBorders>
            <w:vAlign w:val="center"/>
            <w:hideMark/>
          </w:tcPr>
          <w:p w14:paraId="22B4E0A7" w14:textId="77777777" w:rsidR="004D7AC0" w:rsidRPr="00A43471" w:rsidRDefault="004D7AC0" w:rsidP="004D7AC0">
            <w:pPr>
              <w:rPr>
                <w:rFonts w:cs="Arial"/>
                <w:color w:val="000000"/>
                <w:szCs w:val="22"/>
                <w:lang w:eastAsia="en-GB"/>
              </w:rPr>
            </w:pPr>
          </w:p>
        </w:tc>
        <w:tc>
          <w:tcPr>
            <w:tcW w:w="1229" w:type="dxa"/>
            <w:tcBorders>
              <w:top w:val="nil"/>
              <w:left w:val="nil"/>
              <w:bottom w:val="dashed" w:sz="8" w:space="0" w:color="C4D79B"/>
              <w:right w:val="nil"/>
            </w:tcBorders>
            <w:shd w:val="clear" w:color="auto" w:fill="auto"/>
            <w:noWrap/>
            <w:vAlign w:val="bottom"/>
            <w:hideMark/>
          </w:tcPr>
          <w:p w14:paraId="101B2769"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dashed" w:sz="8" w:space="0" w:color="C4D79B"/>
              <w:right w:val="nil"/>
            </w:tcBorders>
            <w:shd w:val="clear" w:color="auto" w:fill="auto"/>
            <w:noWrap/>
            <w:vAlign w:val="bottom"/>
            <w:hideMark/>
          </w:tcPr>
          <w:p w14:paraId="7CC39838"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61,688 </w:t>
            </w:r>
          </w:p>
        </w:tc>
        <w:tc>
          <w:tcPr>
            <w:tcW w:w="1229" w:type="dxa"/>
            <w:tcBorders>
              <w:top w:val="nil"/>
              <w:left w:val="nil"/>
              <w:bottom w:val="dashed" w:sz="8" w:space="0" w:color="C4D79B"/>
              <w:right w:val="nil"/>
            </w:tcBorders>
            <w:shd w:val="clear" w:color="auto" w:fill="auto"/>
            <w:noWrap/>
            <w:vAlign w:val="bottom"/>
            <w:hideMark/>
          </w:tcPr>
          <w:p w14:paraId="76B39B92"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651" w:type="dxa"/>
            <w:tcBorders>
              <w:top w:val="nil"/>
              <w:left w:val="nil"/>
              <w:bottom w:val="dashed" w:sz="8" w:space="0" w:color="C4D79B"/>
              <w:right w:val="nil"/>
            </w:tcBorders>
            <w:shd w:val="clear" w:color="auto" w:fill="auto"/>
            <w:noWrap/>
            <w:vAlign w:val="bottom"/>
            <w:hideMark/>
          </w:tcPr>
          <w:p w14:paraId="63641A5C"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559" w:type="dxa"/>
            <w:tcBorders>
              <w:top w:val="nil"/>
              <w:left w:val="nil"/>
              <w:bottom w:val="dashed" w:sz="8" w:space="0" w:color="C4D79B"/>
              <w:right w:val="nil"/>
            </w:tcBorders>
            <w:shd w:val="clear" w:color="auto" w:fill="auto"/>
            <w:noWrap/>
            <w:vAlign w:val="bottom"/>
            <w:hideMark/>
          </w:tcPr>
          <w:p w14:paraId="12543209"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1,867 </w:t>
            </w:r>
          </w:p>
        </w:tc>
        <w:tc>
          <w:tcPr>
            <w:tcW w:w="1418" w:type="dxa"/>
            <w:gridSpan w:val="2"/>
            <w:tcBorders>
              <w:top w:val="nil"/>
              <w:left w:val="nil"/>
              <w:bottom w:val="single" w:sz="12" w:space="0" w:color="C4D79B"/>
              <w:right w:val="single" w:sz="12" w:space="0" w:color="C4D79B"/>
            </w:tcBorders>
            <w:shd w:val="clear" w:color="000000" w:fill="C4D79B"/>
            <w:noWrap/>
            <w:vAlign w:val="bottom"/>
            <w:hideMark/>
          </w:tcPr>
          <w:p w14:paraId="43104B5A"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63,555 </w:t>
            </w:r>
          </w:p>
        </w:tc>
      </w:tr>
      <w:tr w:rsidR="004D7AC0" w:rsidRPr="00A43471" w14:paraId="522338F3" w14:textId="77777777" w:rsidTr="00A43471">
        <w:trPr>
          <w:gridBefore w:val="1"/>
          <w:wBefore w:w="15" w:type="dxa"/>
          <w:trHeight w:val="224"/>
        </w:trPr>
        <w:tc>
          <w:tcPr>
            <w:tcW w:w="2302" w:type="dxa"/>
            <w:vMerge w:val="restart"/>
            <w:tcBorders>
              <w:top w:val="nil"/>
              <w:left w:val="single" w:sz="12" w:space="0" w:color="C4D79B"/>
              <w:bottom w:val="nil"/>
              <w:right w:val="nil"/>
            </w:tcBorders>
            <w:shd w:val="clear" w:color="auto" w:fill="auto"/>
            <w:vAlign w:val="center"/>
            <w:hideMark/>
          </w:tcPr>
          <w:p w14:paraId="7F1F4BC4" w14:textId="77777777" w:rsidR="004D7AC0" w:rsidRPr="00A43471" w:rsidRDefault="004D7AC0" w:rsidP="004D7AC0">
            <w:pPr>
              <w:rPr>
                <w:rFonts w:cs="Arial"/>
                <w:color w:val="000000"/>
                <w:szCs w:val="22"/>
                <w:lang w:eastAsia="en-GB"/>
              </w:rPr>
            </w:pPr>
            <w:r w:rsidRPr="00A43471">
              <w:rPr>
                <w:rFonts w:cs="Arial"/>
                <w:color w:val="000000"/>
                <w:szCs w:val="22"/>
                <w:lang w:eastAsia="en-GB"/>
              </w:rPr>
              <w:t>Strategic Director of Places (5)</w:t>
            </w:r>
          </w:p>
        </w:tc>
        <w:tc>
          <w:tcPr>
            <w:tcW w:w="1229" w:type="dxa"/>
            <w:tcBorders>
              <w:top w:val="nil"/>
              <w:left w:val="nil"/>
              <w:bottom w:val="nil"/>
              <w:right w:val="nil"/>
            </w:tcBorders>
            <w:shd w:val="clear" w:color="auto" w:fill="auto"/>
            <w:noWrap/>
            <w:vAlign w:val="bottom"/>
            <w:hideMark/>
          </w:tcPr>
          <w:p w14:paraId="6EAAAD17" w14:textId="77777777" w:rsidR="004D7AC0" w:rsidRPr="00A43471" w:rsidRDefault="004D7AC0" w:rsidP="004D7AC0">
            <w:pPr>
              <w:rPr>
                <w:rFonts w:cs="Arial"/>
                <w:color w:val="000000"/>
                <w:szCs w:val="22"/>
                <w:lang w:eastAsia="en-GB"/>
              </w:rPr>
            </w:pPr>
            <w:r w:rsidRPr="00A43471">
              <w:rPr>
                <w:rFonts w:cs="Arial"/>
                <w:color w:val="000000"/>
                <w:szCs w:val="22"/>
                <w:lang w:eastAsia="en-GB"/>
              </w:rPr>
              <w:t>2019/20</w:t>
            </w:r>
          </w:p>
        </w:tc>
        <w:tc>
          <w:tcPr>
            <w:tcW w:w="1229" w:type="dxa"/>
            <w:tcBorders>
              <w:top w:val="nil"/>
              <w:left w:val="nil"/>
              <w:bottom w:val="nil"/>
              <w:right w:val="nil"/>
            </w:tcBorders>
            <w:shd w:val="clear" w:color="auto" w:fill="auto"/>
            <w:noWrap/>
            <w:vAlign w:val="bottom"/>
            <w:hideMark/>
          </w:tcPr>
          <w:p w14:paraId="24BF342F" w14:textId="43539152" w:rsidR="004D7AC0" w:rsidRPr="00A43471" w:rsidRDefault="004D7AC0" w:rsidP="004D7AC0">
            <w:pPr>
              <w:rPr>
                <w:rFonts w:cs="Arial"/>
                <w:color w:val="000000"/>
                <w:szCs w:val="22"/>
                <w:lang w:eastAsia="en-GB"/>
              </w:rPr>
            </w:pPr>
            <w:r w:rsidRPr="00A43471">
              <w:rPr>
                <w:rFonts w:cs="Arial"/>
                <w:color w:val="000000"/>
                <w:szCs w:val="22"/>
                <w:lang w:eastAsia="en-GB"/>
              </w:rPr>
              <w:t xml:space="preserve">106,432 </w:t>
            </w:r>
          </w:p>
        </w:tc>
        <w:tc>
          <w:tcPr>
            <w:tcW w:w="1229" w:type="dxa"/>
            <w:tcBorders>
              <w:top w:val="nil"/>
              <w:left w:val="nil"/>
              <w:bottom w:val="nil"/>
              <w:right w:val="nil"/>
            </w:tcBorders>
            <w:shd w:val="clear" w:color="auto" w:fill="auto"/>
            <w:noWrap/>
            <w:vAlign w:val="bottom"/>
            <w:hideMark/>
          </w:tcPr>
          <w:p w14:paraId="5641A70B" w14:textId="77777777" w:rsidR="004D7AC0" w:rsidRPr="00A43471" w:rsidRDefault="004D7AC0" w:rsidP="004D7AC0">
            <w:pPr>
              <w:rPr>
                <w:rFonts w:cs="Arial"/>
                <w:color w:val="000000"/>
                <w:szCs w:val="22"/>
                <w:lang w:eastAsia="en-GB"/>
              </w:rPr>
            </w:pPr>
          </w:p>
        </w:tc>
        <w:tc>
          <w:tcPr>
            <w:tcW w:w="1651" w:type="dxa"/>
            <w:tcBorders>
              <w:top w:val="nil"/>
              <w:left w:val="nil"/>
              <w:bottom w:val="nil"/>
              <w:right w:val="nil"/>
            </w:tcBorders>
            <w:shd w:val="clear" w:color="auto" w:fill="auto"/>
            <w:noWrap/>
            <w:vAlign w:val="bottom"/>
            <w:hideMark/>
          </w:tcPr>
          <w:p w14:paraId="2FB24523"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403 </w:t>
            </w:r>
          </w:p>
        </w:tc>
        <w:tc>
          <w:tcPr>
            <w:tcW w:w="1559" w:type="dxa"/>
            <w:tcBorders>
              <w:top w:val="nil"/>
              <w:left w:val="nil"/>
              <w:bottom w:val="nil"/>
              <w:right w:val="nil"/>
            </w:tcBorders>
            <w:shd w:val="clear" w:color="auto" w:fill="auto"/>
            <w:noWrap/>
            <w:vAlign w:val="bottom"/>
            <w:hideMark/>
          </w:tcPr>
          <w:p w14:paraId="65131805" w14:textId="5162BAA2" w:rsidR="004D7AC0" w:rsidRPr="00A43471" w:rsidRDefault="004D7AC0" w:rsidP="004D7AC0">
            <w:pPr>
              <w:rPr>
                <w:rFonts w:cs="Arial"/>
                <w:color w:val="000000"/>
                <w:szCs w:val="22"/>
                <w:lang w:eastAsia="en-GB"/>
              </w:rPr>
            </w:pPr>
            <w:r w:rsidRPr="00A43471">
              <w:rPr>
                <w:rFonts w:cs="Arial"/>
                <w:color w:val="000000"/>
                <w:szCs w:val="22"/>
                <w:lang w:eastAsia="en-GB"/>
              </w:rPr>
              <w:t xml:space="preserve">16,482 </w:t>
            </w:r>
          </w:p>
        </w:tc>
        <w:tc>
          <w:tcPr>
            <w:tcW w:w="1418" w:type="dxa"/>
            <w:gridSpan w:val="2"/>
            <w:tcBorders>
              <w:top w:val="single" w:sz="12" w:space="0" w:color="C4D79B"/>
              <w:left w:val="nil"/>
              <w:bottom w:val="single" w:sz="12" w:space="0" w:color="C4D79B"/>
              <w:right w:val="single" w:sz="12" w:space="0" w:color="C4D79B"/>
            </w:tcBorders>
            <w:shd w:val="clear" w:color="000000" w:fill="C4D79B"/>
            <w:noWrap/>
            <w:vAlign w:val="bottom"/>
            <w:hideMark/>
          </w:tcPr>
          <w:p w14:paraId="288D5C86" w14:textId="4C583A48" w:rsidR="004D7AC0" w:rsidRPr="00A43471" w:rsidRDefault="004D7AC0" w:rsidP="004D7AC0">
            <w:pPr>
              <w:rPr>
                <w:rFonts w:cs="Arial"/>
                <w:color w:val="000000"/>
                <w:szCs w:val="22"/>
                <w:lang w:eastAsia="en-GB"/>
              </w:rPr>
            </w:pPr>
            <w:r w:rsidRPr="00A43471">
              <w:rPr>
                <w:rFonts w:cs="Arial"/>
                <w:color w:val="000000"/>
                <w:szCs w:val="22"/>
                <w:lang w:eastAsia="en-GB"/>
              </w:rPr>
              <w:t xml:space="preserve">123,317 </w:t>
            </w:r>
          </w:p>
        </w:tc>
      </w:tr>
      <w:tr w:rsidR="004D7AC0" w:rsidRPr="00A43471" w14:paraId="5B54A483" w14:textId="77777777" w:rsidTr="00A43471">
        <w:trPr>
          <w:gridBefore w:val="1"/>
          <w:wBefore w:w="15" w:type="dxa"/>
          <w:trHeight w:val="121"/>
        </w:trPr>
        <w:tc>
          <w:tcPr>
            <w:tcW w:w="2302" w:type="dxa"/>
            <w:vMerge/>
            <w:tcBorders>
              <w:top w:val="nil"/>
              <w:left w:val="single" w:sz="12" w:space="0" w:color="C4D79B"/>
              <w:bottom w:val="nil"/>
              <w:right w:val="nil"/>
            </w:tcBorders>
            <w:vAlign w:val="center"/>
            <w:hideMark/>
          </w:tcPr>
          <w:p w14:paraId="2C4CABEE" w14:textId="77777777" w:rsidR="004D7AC0" w:rsidRPr="00A43471" w:rsidRDefault="004D7AC0" w:rsidP="004D7AC0">
            <w:pPr>
              <w:rPr>
                <w:rFonts w:cs="Arial"/>
                <w:color w:val="000000"/>
                <w:szCs w:val="22"/>
                <w:lang w:eastAsia="en-GB"/>
              </w:rPr>
            </w:pPr>
          </w:p>
        </w:tc>
        <w:tc>
          <w:tcPr>
            <w:tcW w:w="1229" w:type="dxa"/>
            <w:tcBorders>
              <w:top w:val="nil"/>
              <w:left w:val="nil"/>
              <w:bottom w:val="nil"/>
              <w:right w:val="nil"/>
            </w:tcBorders>
            <w:shd w:val="clear" w:color="auto" w:fill="auto"/>
            <w:noWrap/>
            <w:vAlign w:val="bottom"/>
            <w:hideMark/>
          </w:tcPr>
          <w:p w14:paraId="146C8149"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nil"/>
              <w:right w:val="nil"/>
            </w:tcBorders>
            <w:shd w:val="clear" w:color="auto" w:fill="auto"/>
            <w:noWrap/>
            <w:vAlign w:val="bottom"/>
            <w:hideMark/>
          </w:tcPr>
          <w:p w14:paraId="21A88D5C" w14:textId="77777777" w:rsidR="004D7AC0" w:rsidRPr="00A43471" w:rsidRDefault="004D7AC0" w:rsidP="004D7AC0">
            <w:pPr>
              <w:rPr>
                <w:rFonts w:cs="Arial"/>
                <w:color w:val="000000"/>
                <w:szCs w:val="22"/>
                <w:lang w:eastAsia="en-GB"/>
              </w:rPr>
            </w:pPr>
          </w:p>
        </w:tc>
        <w:tc>
          <w:tcPr>
            <w:tcW w:w="1229" w:type="dxa"/>
            <w:tcBorders>
              <w:top w:val="nil"/>
              <w:left w:val="nil"/>
              <w:bottom w:val="nil"/>
              <w:right w:val="nil"/>
            </w:tcBorders>
            <w:shd w:val="clear" w:color="auto" w:fill="auto"/>
            <w:noWrap/>
            <w:vAlign w:val="bottom"/>
            <w:hideMark/>
          </w:tcPr>
          <w:p w14:paraId="5A43D2F8" w14:textId="77777777" w:rsidR="004D7AC0" w:rsidRPr="00A43471" w:rsidRDefault="004D7AC0" w:rsidP="004D7AC0">
            <w:pPr>
              <w:rPr>
                <w:rFonts w:cs="Arial"/>
                <w:szCs w:val="22"/>
                <w:lang w:eastAsia="en-GB"/>
              </w:rPr>
            </w:pPr>
          </w:p>
        </w:tc>
        <w:tc>
          <w:tcPr>
            <w:tcW w:w="1651" w:type="dxa"/>
            <w:tcBorders>
              <w:top w:val="nil"/>
              <w:left w:val="nil"/>
              <w:bottom w:val="nil"/>
              <w:right w:val="nil"/>
            </w:tcBorders>
            <w:shd w:val="clear" w:color="auto" w:fill="auto"/>
            <w:noWrap/>
            <w:vAlign w:val="bottom"/>
            <w:hideMark/>
          </w:tcPr>
          <w:p w14:paraId="7701580C" w14:textId="77777777" w:rsidR="004D7AC0" w:rsidRPr="00A43471" w:rsidRDefault="004D7AC0" w:rsidP="004D7AC0">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099BAA0A" w14:textId="77777777" w:rsidR="004D7AC0" w:rsidRPr="00A43471" w:rsidRDefault="004D7AC0" w:rsidP="004D7AC0">
            <w:pPr>
              <w:rPr>
                <w:rFonts w:cs="Arial"/>
                <w:szCs w:val="22"/>
                <w:lang w:eastAsia="en-GB"/>
              </w:rPr>
            </w:pPr>
          </w:p>
        </w:tc>
        <w:tc>
          <w:tcPr>
            <w:tcW w:w="1418" w:type="dxa"/>
            <w:gridSpan w:val="2"/>
            <w:tcBorders>
              <w:top w:val="single" w:sz="12" w:space="0" w:color="C4D79B"/>
              <w:left w:val="nil"/>
              <w:bottom w:val="single" w:sz="12" w:space="0" w:color="C4D79B"/>
              <w:right w:val="single" w:sz="12" w:space="0" w:color="C4D79B"/>
            </w:tcBorders>
            <w:shd w:val="clear" w:color="000000" w:fill="C4D79B"/>
            <w:noWrap/>
            <w:vAlign w:val="bottom"/>
            <w:hideMark/>
          </w:tcPr>
          <w:p w14:paraId="33D707D7" w14:textId="79342B1A" w:rsidR="004D7AC0" w:rsidRPr="00A43471" w:rsidRDefault="004D7AC0" w:rsidP="004D7AC0">
            <w:pPr>
              <w:rPr>
                <w:rFonts w:cs="Arial"/>
                <w:color w:val="000000"/>
                <w:szCs w:val="22"/>
                <w:lang w:eastAsia="en-GB"/>
              </w:rPr>
            </w:pPr>
            <w:r w:rsidRPr="00A43471">
              <w:rPr>
                <w:rFonts w:cs="Arial"/>
                <w:color w:val="000000"/>
                <w:szCs w:val="22"/>
                <w:lang w:eastAsia="en-GB"/>
              </w:rPr>
              <w:t xml:space="preserve">-   </w:t>
            </w:r>
          </w:p>
        </w:tc>
      </w:tr>
      <w:tr w:rsidR="004D7AC0" w:rsidRPr="00A43471" w14:paraId="3D765233" w14:textId="77777777" w:rsidTr="00A43471">
        <w:trPr>
          <w:gridBefore w:val="1"/>
          <w:wBefore w:w="15" w:type="dxa"/>
          <w:trHeight w:val="275"/>
        </w:trPr>
        <w:tc>
          <w:tcPr>
            <w:tcW w:w="2302" w:type="dxa"/>
            <w:vMerge w:val="restart"/>
            <w:tcBorders>
              <w:top w:val="dashed" w:sz="8" w:space="0" w:color="C4D79B"/>
              <w:left w:val="single" w:sz="12" w:space="0" w:color="C4D79B"/>
              <w:bottom w:val="dashed" w:sz="8" w:space="0" w:color="C4D79B"/>
              <w:right w:val="nil"/>
            </w:tcBorders>
            <w:shd w:val="clear" w:color="auto" w:fill="auto"/>
            <w:vAlign w:val="center"/>
            <w:hideMark/>
          </w:tcPr>
          <w:p w14:paraId="59381486" w14:textId="77777777" w:rsidR="004D7AC0" w:rsidRPr="00A43471" w:rsidRDefault="004D7AC0" w:rsidP="004D7AC0">
            <w:pPr>
              <w:rPr>
                <w:rFonts w:cs="Arial"/>
                <w:color w:val="000000"/>
                <w:szCs w:val="22"/>
                <w:lang w:eastAsia="en-GB"/>
              </w:rPr>
            </w:pPr>
            <w:r w:rsidRPr="00A43471">
              <w:rPr>
                <w:rFonts w:cs="Arial"/>
                <w:color w:val="000000"/>
                <w:szCs w:val="22"/>
                <w:lang w:eastAsia="en-GB"/>
              </w:rPr>
              <w:t>Strategic Director of Places (6)</w:t>
            </w:r>
          </w:p>
        </w:tc>
        <w:tc>
          <w:tcPr>
            <w:tcW w:w="1229" w:type="dxa"/>
            <w:tcBorders>
              <w:top w:val="dashed" w:sz="8" w:space="0" w:color="C4D79B"/>
              <w:left w:val="nil"/>
              <w:bottom w:val="nil"/>
              <w:right w:val="nil"/>
            </w:tcBorders>
            <w:shd w:val="clear" w:color="auto" w:fill="auto"/>
            <w:noWrap/>
            <w:vAlign w:val="bottom"/>
            <w:hideMark/>
          </w:tcPr>
          <w:p w14:paraId="577837D6" w14:textId="77777777" w:rsidR="004D7AC0" w:rsidRPr="00A43471" w:rsidRDefault="004D7AC0" w:rsidP="004D7AC0">
            <w:pPr>
              <w:rPr>
                <w:rFonts w:cs="Arial"/>
                <w:color w:val="000000"/>
                <w:szCs w:val="22"/>
                <w:lang w:eastAsia="en-GB"/>
              </w:rPr>
            </w:pPr>
            <w:r w:rsidRPr="00A43471">
              <w:rPr>
                <w:rFonts w:cs="Arial"/>
                <w:color w:val="000000"/>
                <w:szCs w:val="22"/>
                <w:lang w:eastAsia="en-GB"/>
              </w:rPr>
              <w:t>2019/20</w:t>
            </w:r>
          </w:p>
        </w:tc>
        <w:tc>
          <w:tcPr>
            <w:tcW w:w="1229" w:type="dxa"/>
            <w:tcBorders>
              <w:top w:val="dashed" w:sz="8" w:space="0" w:color="C4D79B"/>
              <w:left w:val="nil"/>
              <w:bottom w:val="nil"/>
              <w:right w:val="nil"/>
            </w:tcBorders>
            <w:shd w:val="clear" w:color="auto" w:fill="auto"/>
            <w:noWrap/>
            <w:vAlign w:val="bottom"/>
            <w:hideMark/>
          </w:tcPr>
          <w:p w14:paraId="3A0300CF" w14:textId="5BBD2113" w:rsidR="004D7AC0" w:rsidRPr="00A43471" w:rsidRDefault="004D7AC0" w:rsidP="004D7AC0">
            <w:pPr>
              <w:rPr>
                <w:rFonts w:cs="Arial"/>
                <w:color w:val="000000"/>
                <w:szCs w:val="22"/>
                <w:lang w:eastAsia="en-GB"/>
              </w:rPr>
            </w:pPr>
            <w:r w:rsidRPr="00A43471">
              <w:rPr>
                <w:rFonts w:cs="Arial"/>
                <w:color w:val="000000"/>
                <w:szCs w:val="22"/>
                <w:lang w:eastAsia="en-GB"/>
              </w:rPr>
              <w:t xml:space="preserve">7,518 </w:t>
            </w:r>
          </w:p>
        </w:tc>
        <w:tc>
          <w:tcPr>
            <w:tcW w:w="1229" w:type="dxa"/>
            <w:tcBorders>
              <w:top w:val="dashed" w:sz="8" w:space="0" w:color="C4D79B"/>
              <w:left w:val="nil"/>
              <w:bottom w:val="nil"/>
              <w:right w:val="nil"/>
            </w:tcBorders>
            <w:shd w:val="clear" w:color="auto" w:fill="auto"/>
            <w:noWrap/>
            <w:vAlign w:val="bottom"/>
            <w:hideMark/>
          </w:tcPr>
          <w:p w14:paraId="2042C68A"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651" w:type="dxa"/>
            <w:tcBorders>
              <w:top w:val="dashed" w:sz="8" w:space="0" w:color="C4D79B"/>
              <w:left w:val="nil"/>
              <w:bottom w:val="nil"/>
              <w:right w:val="nil"/>
            </w:tcBorders>
            <w:shd w:val="clear" w:color="auto" w:fill="auto"/>
            <w:noWrap/>
            <w:vAlign w:val="bottom"/>
            <w:hideMark/>
          </w:tcPr>
          <w:p w14:paraId="3CC75E98"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559" w:type="dxa"/>
            <w:tcBorders>
              <w:top w:val="dashed" w:sz="8" w:space="0" w:color="C4D79B"/>
              <w:left w:val="nil"/>
              <w:bottom w:val="nil"/>
              <w:right w:val="nil"/>
            </w:tcBorders>
            <w:shd w:val="clear" w:color="auto" w:fill="auto"/>
            <w:noWrap/>
            <w:vAlign w:val="bottom"/>
            <w:hideMark/>
          </w:tcPr>
          <w:p w14:paraId="4784CB7A" w14:textId="6D947529" w:rsidR="004D7AC0" w:rsidRPr="00A43471" w:rsidRDefault="004D7AC0" w:rsidP="004D7AC0">
            <w:pPr>
              <w:rPr>
                <w:rFonts w:cs="Arial"/>
                <w:color w:val="000000"/>
                <w:szCs w:val="22"/>
                <w:lang w:eastAsia="en-GB"/>
              </w:rPr>
            </w:pPr>
            <w:r w:rsidRPr="00A43471">
              <w:rPr>
                <w:rFonts w:cs="Arial"/>
                <w:color w:val="000000"/>
                <w:szCs w:val="22"/>
                <w:lang w:eastAsia="en-GB"/>
              </w:rPr>
              <w:t xml:space="preserve">1,782 </w:t>
            </w:r>
          </w:p>
        </w:tc>
        <w:tc>
          <w:tcPr>
            <w:tcW w:w="1418" w:type="dxa"/>
            <w:gridSpan w:val="2"/>
            <w:tcBorders>
              <w:top w:val="single" w:sz="12" w:space="0" w:color="C4D79B"/>
              <w:left w:val="nil"/>
              <w:bottom w:val="nil"/>
              <w:right w:val="single" w:sz="12" w:space="0" w:color="C4D79B"/>
            </w:tcBorders>
            <w:shd w:val="clear" w:color="000000" w:fill="C4D79B"/>
            <w:noWrap/>
            <w:vAlign w:val="bottom"/>
            <w:hideMark/>
          </w:tcPr>
          <w:p w14:paraId="4C7EF47E" w14:textId="59DC515B" w:rsidR="004D7AC0" w:rsidRPr="00A43471" w:rsidRDefault="004D7AC0" w:rsidP="004D7AC0">
            <w:pPr>
              <w:rPr>
                <w:rFonts w:cs="Arial"/>
                <w:color w:val="000000"/>
                <w:szCs w:val="22"/>
                <w:lang w:eastAsia="en-GB"/>
              </w:rPr>
            </w:pPr>
            <w:r w:rsidRPr="00A43471">
              <w:rPr>
                <w:rFonts w:cs="Arial"/>
                <w:color w:val="000000"/>
                <w:szCs w:val="22"/>
                <w:lang w:eastAsia="en-GB"/>
              </w:rPr>
              <w:t xml:space="preserve">9,299 </w:t>
            </w:r>
          </w:p>
        </w:tc>
      </w:tr>
      <w:tr w:rsidR="004D7AC0" w:rsidRPr="00A43471" w14:paraId="3E96362A" w14:textId="77777777" w:rsidTr="00A43471">
        <w:trPr>
          <w:gridBefore w:val="1"/>
          <w:wBefore w:w="15" w:type="dxa"/>
          <w:trHeight w:val="122"/>
        </w:trPr>
        <w:tc>
          <w:tcPr>
            <w:tcW w:w="2302" w:type="dxa"/>
            <w:vMerge/>
            <w:tcBorders>
              <w:top w:val="dashed" w:sz="8" w:space="0" w:color="C4D79B"/>
              <w:left w:val="single" w:sz="12" w:space="0" w:color="C4D79B"/>
              <w:bottom w:val="dashed" w:sz="8" w:space="0" w:color="C4D79B"/>
              <w:right w:val="nil"/>
            </w:tcBorders>
            <w:vAlign w:val="center"/>
            <w:hideMark/>
          </w:tcPr>
          <w:p w14:paraId="7F3C52DA" w14:textId="77777777" w:rsidR="004D7AC0" w:rsidRPr="00A43471" w:rsidRDefault="004D7AC0" w:rsidP="004D7AC0">
            <w:pPr>
              <w:rPr>
                <w:rFonts w:cs="Arial"/>
                <w:color w:val="000000"/>
                <w:szCs w:val="22"/>
                <w:lang w:eastAsia="en-GB"/>
              </w:rPr>
            </w:pPr>
          </w:p>
        </w:tc>
        <w:tc>
          <w:tcPr>
            <w:tcW w:w="1229" w:type="dxa"/>
            <w:tcBorders>
              <w:top w:val="nil"/>
              <w:left w:val="nil"/>
              <w:bottom w:val="dashed" w:sz="8" w:space="0" w:color="C4D79B"/>
              <w:right w:val="nil"/>
            </w:tcBorders>
            <w:shd w:val="clear" w:color="auto" w:fill="auto"/>
            <w:noWrap/>
            <w:vAlign w:val="bottom"/>
            <w:hideMark/>
          </w:tcPr>
          <w:p w14:paraId="48437DB7"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dashed" w:sz="8" w:space="0" w:color="C4D79B"/>
              <w:right w:val="nil"/>
            </w:tcBorders>
            <w:shd w:val="clear" w:color="auto" w:fill="auto"/>
            <w:noWrap/>
            <w:vAlign w:val="bottom"/>
            <w:hideMark/>
          </w:tcPr>
          <w:p w14:paraId="603AAD85"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229" w:type="dxa"/>
            <w:tcBorders>
              <w:top w:val="nil"/>
              <w:left w:val="nil"/>
              <w:bottom w:val="dashed" w:sz="8" w:space="0" w:color="C4D79B"/>
              <w:right w:val="nil"/>
            </w:tcBorders>
            <w:shd w:val="clear" w:color="auto" w:fill="auto"/>
            <w:noWrap/>
            <w:vAlign w:val="bottom"/>
            <w:hideMark/>
          </w:tcPr>
          <w:p w14:paraId="461FB191"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651" w:type="dxa"/>
            <w:tcBorders>
              <w:top w:val="nil"/>
              <w:left w:val="nil"/>
              <w:bottom w:val="dashed" w:sz="8" w:space="0" w:color="C4D79B"/>
              <w:right w:val="nil"/>
            </w:tcBorders>
            <w:shd w:val="clear" w:color="auto" w:fill="auto"/>
            <w:noWrap/>
            <w:vAlign w:val="bottom"/>
            <w:hideMark/>
          </w:tcPr>
          <w:p w14:paraId="48EBD0E1"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559" w:type="dxa"/>
            <w:tcBorders>
              <w:top w:val="nil"/>
              <w:left w:val="nil"/>
              <w:bottom w:val="dashed" w:sz="8" w:space="0" w:color="C4D79B"/>
              <w:right w:val="nil"/>
            </w:tcBorders>
            <w:shd w:val="clear" w:color="auto" w:fill="auto"/>
            <w:noWrap/>
            <w:vAlign w:val="bottom"/>
            <w:hideMark/>
          </w:tcPr>
          <w:p w14:paraId="19B93357"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418" w:type="dxa"/>
            <w:gridSpan w:val="2"/>
            <w:tcBorders>
              <w:top w:val="nil"/>
              <w:left w:val="nil"/>
              <w:bottom w:val="nil"/>
              <w:right w:val="single" w:sz="12" w:space="0" w:color="C4D79B"/>
            </w:tcBorders>
            <w:shd w:val="clear" w:color="000000" w:fill="C4D79B"/>
            <w:noWrap/>
            <w:vAlign w:val="bottom"/>
            <w:hideMark/>
          </w:tcPr>
          <w:p w14:paraId="70F33DC9"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r>
      <w:tr w:rsidR="004D7AC0" w:rsidRPr="00A43471" w14:paraId="2F40B6BC" w14:textId="77777777" w:rsidTr="0082678A">
        <w:trPr>
          <w:gridBefore w:val="1"/>
          <w:wBefore w:w="15" w:type="dxa"/>
          <w:trHeight w:val="227"/>
        </w:trPr>
        <w:tc>
          <w:tcPr>
            <w:tcW w:w="2302" w:type="dxa"/>
            <w:vMerge w:val="restart"/>
            <w:tcBorders>
              <w:top w:val="nil"/>
              <w:left w:val="single" w:sz="12" w:space="0" w:color="C4D79B"/>
              <w:bottom w:val="nil"/>
              <w:right w:val="nil"/>
            </w:tcBorders>
            <w:shd w:val="clear" w:color="auto" w:fill="auto"/>
            <w:vAlign w:val="center"/>
            <w:hideMark/>
          </w:tcPr>
          <w:p w14:paraId="23A8C3B3" w14:textId="341C90AB" w:rsidR="004D7AC0" w:rsidRPr="00A43471" w:rsidRDefault="00091DE5" w:rsidP="004D7AC0">
            <w:pPr>
              <w:rPr>
                <w:rFonts w:cs="Arial"/>
                <w:color w:val="000000"/>
                <w:szCs w:val="22"/>
                <w:lang w:eastAsia="en-GB"/>
              </w:rPr>
            </w:pPr>
            <w:r w:rsidRPr="00E23E1C">
              <w:rPr>
                <w:rFonts w:cs="Arial"/>
                <w:color w:val="000000"/>
                <w:szCs w:val="22"/>
                <w:lang w:eastAsia="en-GB"/>
              </w:rPr>
              <w:t xml:space="preserve">Strategic </w:t>
            </w:r>
            <w:r w:rsidR="004D7AC0" w:rsidRPr="00E23E1C">
              <w:rPr>
                <w:rFonts w:cs="Arial"/>
                <w:color w:val="000000"/>
                <w:szCs w:val="22"/>
                <w:lang w:eastAsia="en-GB"/>
              </w:rPr>
              <w:t>Director of Resources (7)</w:t>
            </w:r>
          </w:p>
        </w:tc>
        <w:tc>
          <w:tcPr>
            <w:tcW w:w="1229" w:type="dxa"/>
            <w:tcBorders>
              <w:top w:val="nil"/>
              <w:left w:val="nil"/>
              <w:bottom w:val="nil"/>
              <w:right w:val="nil"/>
            </w:tcBorders>
            <w:shd w:val="clear" w:color="auto" w:fill="auto"/>
            <w:noWrap/>
            <w:vAlign w:val="bottom"/>
            <w:hideMark/>
          </w:tcPr>
          <w:p w14:paraId="1C6866B9" w14:textId="77777777" w:rsidR="004D7AC0" w:rsidRPr="00A43471" w:rsidRDefault="004D7AC0" w:rsidP="004D7AC0">
            <w:pPr>
              <w:rPr>
                <w:rFonts w:cs="Arial"/>
                <w:color w:val="000000"/>
                <w:szCs w:val="22"/>
                <w:lang w:eastAsia="en-GB"/>
              </w:rPr>
            </w:pPr>
            <w:r w:rsidRPr="00A43471">
              <w:rPr>
                <w:rFonts w:cs="Arial"/>
                <w:color w:val="000000"/>
                <w:szCs w:val="22"/>
                <w:lang w:eastAsia="en-GB"/>
              </w:rPr>
              <w:t>2019/20</w:t>
            </w:r>
          </w:p>
        </w:tc>
        <w:tc>
          <w:tcPr>
            <w:tcW w:w="1229" w:type="dxa"/>
            <w:tcBorders>
              <w:top w:val="nil"/>
              <w:left w:val="nil"/>
              <w:bottom w:val="nil"/>
              <w:right w:val="nil"/>
            </w:tcBorders>
            <w:shd w:val="clear" w:color="auto" w:fill="auto"/>
            <w:noWrap/>
            <w:vAlign w:val="bottom"/>
            <w:hideMark/>
          </w:tcPr>
          <w:p w14:paraId="6C397FA0" w14:textId="155071B4" w:rsidR="004D7AC0" w:rsidRPr="00A43471" w:rsidRDefault="004D7AC0" w:rsidP="004D7AC0">
            <w:pPr>
              <w:rPr>
                <w:rFonts w:cs="Arial"/>
                <w:color w:val="000000"/>
                <w:szCs w:val="22"/>
                <w:lang w:eastAsia="en-GB"/>
              </w:rPr>
            </w:pPr>
            <w:r w:rsidRPr="00A43471">
              <w:rPr>
                <w:rFonts w:cs="Arial"/>
                <w:color w:val="000000"/>
                <w:szCs w:val="22"/>
                <w:lang w:eastAsia="en-GB"/>
              </w:rPr>
              <w:t xml:space="preserve">87,050 </w:t>
            </w:r>
          </w:p>
        </w:tc>
        <w:tc>
          <w:tcPr>
            <w:tcW w:w="1229" w:type="dxa"/>
            <w:tcBorders>
              <w:top w:val="nil"/>
              <w:left w:val="nil"/>
              <w:bottom w:val="nil"/>
              <w:right w:val="nil"/>
            </w:tcBorders>
            <w:shd w:val="clear" w:color="auto" w:fill="auto"/>
            <w:noWrap/>
            <w:vAlign w:val="bottom"/>
            <w:hideMark/>
          </w:tcPr>
          <w:p w14:paraId="74E214B5" w14:textId="77777777" w:rsidR="004D7AC0" w:rsidRPr="00A43471" w:rsidRDefault="004D7AC0" w:rsidP="004D7AC0">
            <w:pPr>
              <w:rPr>
                <w:rFonts w:cs="Arial"/>
                <w:color w:val="000000"/>
                <w:szCs w:val="22"/>
                <w:lang w:eastAsia="en-GB"/>
              </w:rPr>
            </w:pPr>
          </w:p>
        </w:tc>
        <w:tc>
          <w:tcPr>
            <w:tcW w:w="1651" w:type="dxa"/>
            <w:tcBorders>
              <w:top w:val="nil"/>
              <w:left w:val="nil"/>
              <w:bottom w:val="nil"/>
              <w:right w:val="nil"/>
            </w:tcBorders>
            <w:shd w:val="clear" w:color="auto" w:fill="auto"/>
            <w:noWrap/>
            <w:vAlign w:val="bottom"/>
            <w:hideMark/>
          </w:tcPr>
          <w:p w14:paraId="20416010" w14:textId="77777777" w:rsidR="004D7AC0" w:rsidRPr="00A43471" w:rsidRDefault="004D7AC0" w:rsidP="004D7AC0">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070F067B" w14:textId="1AF0B117" w:rsidR="004D7AC0" w:rsidRPr="00A43471" w:rsidRDefault="004D7AC0" w:rsidP="004D7AC0">
            <w:pPr>
              <w:rPr>
                <w:rFonts w:cs="Arial"/>
                <w:color w:val="000000"/>
                <w:szCs w:val="22"/>
                <w:lang w:eastAsia="en-GB"/>
              </w:rPr>
            </w:pPr>
            <w:r w:rsidRPr="00A43471">
              <w:rPr>
                <w:rFonts w:cs="Arial"/>
                <w:color w:val="000000"/>
                <w:szCs w:val="22"/>
                <w:lang w:eastAsia="en-GB"/>
              </w:rPr>
              <w:t xml:space="preserve">20,631 </w:t>
            </w:r>
          </w:p>
        </w:tc>
        <w:tc>
          <w:tcPr>
            <w:tcW w:w="1418" w:type="dxa"/>
            <w:gridSpan w:val="2"/>
            <w:tcBorders>
              <w:top w:val="dashed" w:sz="4" w:space="0" w:color="76933C"/>
              <w:left w:val="nil"/>
              <w:bottom w:val="nil"/>
              <w:right w:val="single" w:sz="12" w:space="0" w:color="C4D79B"/>
            </w:tcBorders>
            <w:shd w:val="clear" w:color="000000" w:fill="C4D79B"/>
            <w:noWrap/>
            <w:vAlign w:val="bottom"/>
            <w:hideMark/>
          </w:tcPr>
          <w:p w14:paraId="667846CB" w14:textId="7288982D" w:rsidR="004D7AC0" w:rsidRPr="00A43471" w:rsidRDefault="00A43471" w:rsidP="004D7AC0">
            <w:pPr>
              <w:rPr>
                <w:rFonts w:cs="Arial"/>
                <w:color w:val="000000"/>
                <w:szCs w:val="22"/>
                <w:lang w:eastAsia="en-GB"/>
              </w:rPr>
            </w:pPr>
            <w:r>
              <w:rPr>
                <w:rFonts w:cs="Arial"/>
                <w:color w:val="000000"/>
                <w:szCs w:val="22"/>
                <w:lang w:eastAsia="en-GB"/>
              </w:rPr>
              <w:t>1</w:t>
            </w:r>
            <w:r w:rsidR="004D7AC0" w:rsidRPr="00A43471">
              <w:rPr>
                <w:rFonts w:cs="Arial"/>
                <w:color w:val="000000"/>
                <w:szCs w:val="22"/>
                <w:lang w:eastAsia="en-GB"/>
              </w:rPr>
              <w:t xml:space="preserve">07,681 </w:t>
            </w:r>
          </w:p>
        </w:tc>
      </w:tr>
      <w:tr w:rsidR="004D7AC0" w:rsidRPr="00A43471" w14:paraId="55A5F945" w14:textId="77777777" w:rsidTr="0082678A">
        <w:trPr>
          <w:gridBefore w:val="1"/>
          <w:wBefore w:w="15" w:type="dxa"/>
          <w:trHeight w:val="54"/>
        </w:trPr>
        <w:tc>
          <w:tcPr>
            <w:tcW w:w="2302" w:type="dxa"/>
            <w:vMerge/>
            <w:tcBorders>
              <w:top w:val="nil"/>
              <w:left w:val="single" w:sz="12" w:space="0" w:color="C4D79B"/>
              <w:bottom w:val="nil"/>
              <w:right w:val="nil"/>
            </w:tcBorders>
            <w:vAlign w:val="center"/>
            <w:hideMark/>
          </w:tcPr>
          <w:p w14:paraId="60AF0DBB" w14:textId="77777777" w:rsidR="004D7AC0" w:rsidRPr="00A43471" w:rsidRDefault="004D7AC0" w:rsidP="004D7AC0">
            <w:pPr>
              <w:rPr>
                <w:rFonts w:cs="Arial"/>
                <w:color w:val="000000"/>
                <w:szCs w:val="22"/>
                <w:lang w:eastAsia="en-GB"/>
              </w:rPr>
            </w:pPr>
          </w:p>
        </w:tc>
        <w:tc>
          <w:tcPr>
            <w:tcW w:w="1229" w:type="dxa"/>
            <w:tcBorders>
              <w:top w:val="nil"/>
              <w:left w:val="nil"/>
              <w:bottom w:val="nil"/>
              <w:right w:val="nil"/>
            </w:tcBorders>
            <w:shd w:val="clear" w:color="auto" w:fill="auto"/>
            <w:noWrap/>
            <w:vAlign w:val="bottom"/>
            <w:hideMark/>
          </w:tcPr>
          <w:p w14:paraId="36AEAB0E"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nil"/>
              <w:right w:val="nil"/>
            </w:tcBorders>
            <w:shd w:val="clear" w:color="auto" w:fill="auto"/>
            <w:noWrap/>
            <w:vAlign w:val="bottom"/>
            <w:hideMark/>
          </w:tcPr>
          <w:p w14:paraId="65E5160B" w14:textId="1ED1B41F" w:rsidR="004D7AC0" w:rsidRPr="00A43471" w:rsidRDefault="004D7AC0" w:rsidP="004D7AC0">
            <w:pPr>
              <w:rPr>
                <w:rFonts w:cs="Arial"/>
                <w:color w:val="000000"/>
                <w:szCs w:val="22"/>
                <w:lang w:eastAsia="en-GB"/>
              </w:rPr>
            </w:pPr>
            <w:r w:rsidRPr="00A43471">
              <w:rPr>
                <w:rFonts w:cs="Arial"/>
                <w:color w:val="000000"/>
                <w:szCs w:val="22"/>
                <w:lang w:eastAsia="en-GB"/>
              </w:rPr>
              <w:t xml:space="preserve">87,728 </w:t>
            </w:r>
          </w:p>
        </w:tc>
        <w:tc>
          <w:tcPr>
            <w:tcW w:w="1229" w:type="dxa"/>
            <w:tcBorders>
              <w:top w:val="nil"/>
              <w:left w:val="nil"/>
              <w:bottom w:val="nil"/>
              <w:right w:val="nil"/>
            </w:tcBorders>
            <w:shd w:val="clear" w:color="auto" w:fill="auto"/>
            <w:noWrap/>
            <w:vAlign w:val="bottom"/>
            <w:hideMark/>
          </w:tcPr>
          <w:p w14:paraId="208B9BA9" w14:textId="77777777" w:rsidR="004D7AC0" w:rsidRPr="00A43471" w:rsidRDefault="004D7AC0" w:rsidP="004D7AC0">
            <w:pPr>
              <w:rPr>
                <w:rFonts w:cs="Arial"/>
                <w:color w:val="000000"/>
                <w:szCs w:val="22"/>
                <w:lang w:eastAsia="en-GB"/>
              </w:rPr>
            </w:pPr>
          </w:p>
        </w:tc>
        <w:tc>
          <w:tcPr>
            <w:tcW w:w="1651" w:type="dxa"/>
            <w:tcBorders>
              <w:top w:val="nil"/>
              <w:left w:val="nil"/>
              <w:bottom w:val="nil"/>
              <w:right w:val="nil"/>
            </w:tcBorders>
            <w:shd w:val="clear" w:color="auto" w:fill="auto"/>
            <w:noWrap/>
            <w:vAlign w:val="bottom"/>
            <w:hideMark/>
          </w:tcPr>
          <w:p w14:paraId="26DF58F2"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310 </w:t>
            </w:r>
          </w:p>
        </w:tc>
        <w:tc>
          <w:tcPr>
            <w:tcW w:w="1559" w:type="dxa"/>
            <w:tcBorders>
              <w:top w:val="nil"/>
              <w:left w:val="nil"/>
              <w:bottom w:val="nil"/>
              <w:right w:val="nil"/>
            </w:tcBorders>
            <w:shd w:val="clear" w:color="auto" w:fill="auto"/>
            <w:noWrap/>
            <w:vAlign w:val="bottom"/>
            <w:hideMark/>
          </w:tcPr>
          <w:p w14:paraId="6163F861" w14:textId="59F39D92" w:rsidR="004D7AC0" w:rsidRPr="00A43471" w:rsidRDefault="004D7AC0" w:rsidP="004D7AC0">
            <w:pPr>
              <w:rPr>
                <w:rFonts w:cs="Arial"/>
                <w:color w:val="000000"/>
                <w:szCs w:val="22"/>
                <w:lang w:eastAsia="en-GB"/>
              </w:rPr>
            </w:pPr>
            <w:r w:rsidRPr="00A43471">
              <w:rPr>
                <w:rFonts w:cs="Arial"/>
                <w:color w:val="000000"/>
                <w:szCs w:val="22"/>
                <w:lang w:eastAsia="en-GB"/>
              </w:rPr>
              <w:t xml:space="preserve">19,914 </w:t>
            </w:r>
          </w:p>
        </w:tc>
        <w:tc>
          <w:tcPr>
            <w:tcW w:w="1418" w:type="dxa"/>
            <w:gridSpan w:val="2"/>
            <w:tcBorders>
              <w:top w:val="nil"/>
              <w:left w:val="nil"/>
              <w:bottom w:val="dashed" w:sz="4" w:space="0" w:color="76933C"/>
              <w:right w:val="single" w:sz="12" w:space="0" w:color="C4D79B"/>
            </w:tcBorders>
            <w:shd w:val="clear" w:color="000000" w:fill="C4D79B"/>
            <w:noWrap/>
            <w:vAlign w:val="bottom"/>
            <w:hideMark/>
          </w:tcPr>
          <w:p w14:paraId="533C917B" w14:textId="51A6D65E" w:rsidR="004D7AC0" w:rsidRPr="00A43471" w:rsidRDefault="004D7AC0" w:rsidP="004D7AC0">
            <w:pPr>
              <w:rPr>
                <w:rFonts w:cs="Arial"/>
                <w:color w:val="000000"/>
                <w:szCs w:val="22"/>
                <w:lang w:eastAsia="en-GB"/>
              </w:rPr>
            </w:pPr>
            <w:r w:rsidRPr="00A43471">
              <w:rPr>
                <w:rFonts w:cs="Arial"/>
                <w:color w:val="000000"/>
                <w:szCs w:val="22"/>
                <w:lang w:eastAsia="en-GB"/>
              </w:rPr>
              <w:t xml:space="preserve">107,952 </w:t>
            </w:r>
          </w:p>
        </w:tc>
      </w:tr>
      <w:tr w:rsidR="004D7AC0" w:rsidRPr="00A43471" w14:paraId="3ADC1E88" w14:textId="77777777" w:rsidTr="0082678A">
        <w:trPr>
          <w:gridBefore w:val="1"/>
          <w:wBefore w:w="15" w:type="dxa"/>
          <w:trHeight w:val="121"/>
        </w:trPr>
        <w:tc>
          <w:tcPr>
            <w:tcW w:w="2302" w:type="dxa"/>
            <w:vMerge w:val="restart"/>
            <w:tcBorders>
              <w:top w:val="dashed" w:sz="8" w:space="0" w:color="C4D79B"/>
              <w:left w:val="single" w:sz="12" w:space="0" w:color="C4D79B"/>
              <w:bottom w:val="dashed" w:sz="8" w:space="0" w:color="C4D79B"/>
              <w:right w:val="nil"/>
            </w:tcBorders>
            <w:shd w:val="clear" w:color="auto" w:fill="auto"/>
            <w:vAlign w:val="center"/>
            <w:hideMark/>
          </w:tcPr>
          <w:p w14:paraId="5B58A0E2" w14:textId="77777777" w:rsidR="004D7AC0" w:rsidRPr="00A43471" w:rsidRDefault="004D7AC0" w:rsidP="004D7AC0">
            <w:pPr>
              <w:rPr>
                <w:rFonts w:cs="Arial"/>
                <w:color w:val="000000"/>
                <w:szCs w:val="22"/>
                <w:lang w:eastAsia="en-GB"/>
              </w:rPr>
            </w:pPr>
            <w:r w:rsidRPr="00A43471">
              <w:rPr>
                <w:rFonts w:cs="Arial"/>
                <w:color w:val="000000"/>
                <w:szCs w:val="22"/>
                <w:lang w:eastAsia="en-GB"/>
              </w:rPr>
              <w:t>Assistant Director (7) (Finance)</w:t>
            </w:r>
          </w:p>
        </w:tc>
        <w:tc>
          <w:tcPr>
            <w:tcW w:w="1229" w:type="dxa"/>
            <w:tcBorders>
              <w:top w:val="dashed" w:sz="8" w:space="0" w:color="C4D79B"/>
              <w:left w:val="nil"/>
              <w:bottom w:val="nil"/>
              <w:right w:val="nil"/>
            </w:tcBorders>
            <w:shd w:val="clear" w:color="auto" w:fill="auto"/>
            <w:noWrap/>
            <w:vAlign w:val="bottom"/>
            <w:hideMark/>
          </w:tcPr>
          <w:p w14:paraId="7220EF9D" w14:textId="77777777" w:rsidR="004D7AC0" w:rsidRPr="00A43471" w:rsidRDefault="004D7AC0" w:rsidP="004D7AC0">
            <w:pPr>
              <w:rPr>
                <w:rFonts w:cs="Arial"/>
                <w:color w:val="000000"/>
                <w:szCs w:val="22"/>
                <w:lang w:eastAsia="en-GB"/>
              </w:rPr>
            </w:pPr>
            <w:r w:rsidRPr="00A43471">
              <w:rPr>
                <w:rFonts w:cs="Arial"/>
                <w:color w:val="000000"/>
                <w:szCs w:val="22"/>
                <w:lang w:eastAsia="en-GB"/>
              </w:rPr>
              <w:t>2019/20</w:t>
            </w:r>
          </w:p>
        </w:tc>
        <w:tc>
          <w:tcPr>
            <w:tcW w:w="1229" w:type="dxa"/>
            <w:tcBorders>
              <w:top w:val="dashed" w:sz="8" w:space="0" w:color="C4D79B"/>
              <w:left w:val="nil"/>
              <w:bottom w:val="nil"/>
              <w:right w:val="nil"/>
            </w:tcBorders>
            <w:shd w:val="clear" w:color="auto" w:fill="auto"/>
            <w:noWrap/>
            <w:vAlign w:val="bottom"/>
            <w:hideMark/>
          </w:tcPr>
          <w:p w14:paraId="7495615A"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229" w:type="dxa"/>
            <w:tcBorders>
              <w:top w:val="dashed" w:sz="8" w:space="0" w:color="C4D79B"/>
              <w:left w:val="nil"/>
              <w:bottom w:val="nil"/>
              <w:right w:val="nil"/>
            </w:tcBorders>
            <w:shd w:val="clear" w:color="auto" w:fill="auto"/>
            <w:noWrap/>
            <w:vAlign w:val="bottom"/>
            <w:hideMark/>
          </w:tcPr>
          <w:p w14:paraId="21C4BBB3"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651" w:type="dxa"/>
            <w:tcBorders>
              <w:top w:val="dashed" w:sz="8" w:space="0" w:color="C4D79B"/>
              <w:left w:val="nil"/>
              <w:bottom w:val="nil"/>
              <w:right w:val="nil"/>
            </w:tcBorders>
            <w:shd w:val="clear" w:color="auto" w:fill="auto"/>
            <w:noWrap/>
            <w:vAlign w:val="bottom"/>
            <w:hideMark/>
          </w:tcPr>
          <w:p w14:paraId="13617B33"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559" w:type="dxa"/>
            <w:tcBorders>
              <w:top w:val="dashed" w:sz="8" w:space="0" w:color="C4D79B"/>
              <w:left w:val="nil"/>
              <w:bottom w:val="nil"/>
              <w:right w:val="nil"/>
            </w:tcBorders>
            <w:shd w:val="clear" w:color="auto" w:fill="auto"/>
            <w:noWrap/>
            <w:vAlign w:val="bottom"/>
            <w:hideMark/>
          </w:tcPr>
          <w:p w14:paraId="1DC01DB5"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418" w:type="dxa"/>
            <w:gridSpan w:val="2"/>
            <w:tcBorders>
              <w:top w:val="nil"/>
              <w:left w:val="nil"/>
              <w:bottom w:val="nil"/>
              <w:right w:val="single" w:sz="12" w:space="0" w:color="C4D79B"/>
            </w:tcBorders>
            <w:shd w:val="clear" w:color="000000" w:fill="C4D79B"/>
            <w:noWrap/>
            <w:vAlign w:val="bottom"/>
            <w:hideMark/>
          </w:tcPr>
          <w:p w14:paraId="6E407BD9" w14:textId="182D194B" w:rsidR="004D7AC0" w:rsidRPr="00A43471" w:rsidRDefault="004D7AC0" w:rsidP="004D7AC0">
            <w:pPr>
              <w:rPr>
                <w:rFonts w:cs="Arial"/>
                <w:color w:val="000000"/>
                <w:szCs w:val="22"/>
                <w:lang w:eastAsia="en-GB"/>
              </w:rPr>
            </w:pPr>
            <w:r w:rsidRPr="00A43471">
              <w:rPr>
                <w:rFonts w:cs="Arial"/>
                <w:color w:val="000000"/>
                <w:szCs w:val="22"/>
                <w:lang w:eastAsia="en-GB"/>
              </w:rPr>
              <w:t xml:space="preserve">-   </w:t>
            </w:r>
          </w:p>
        </w:tc>
      </w:tr>
      <w:tr w:rsidR="004D7AC0" w:rsidRPr="00A43471" w14:paraId="230B4DA1" w14:textId="77777777" w:rsidTr="0082678A">
        <w:trPr>
          <w:gridBefore w:val="1"/>
          <w:wBefore w:w="15" w:type="dxa"/>
          <w:trHeight w:val="138"/>
        </w:trPr>
        <w:tc>
          <w:tcPr>
            <w:tcW w:w="2302" w:type="dxa"/>
            <w:vMerge/>
            <w:tcBorders>
              <w:top w:val="dashed" w:sz="8" w:space="0" w:color="C4D79B"/>
              <w:left w:val="single" w:sz="12" w:space="0" w:color="C4D79B"/>
              <w:bottom w:val="dashed" w:sz="8" w:space="0" w:color="C4D79B"/>
              <w:right w:val="nil"/>
            </w:tcBorders>
            <w:vAlign w:val="center"/>
            <w:hideMark/>
          </w:tcPr>
          <w:p w14:paraId="298C140F" w14:textId="77777777" w:rsidR="004D7AC0" w:rsidRPr="00A43471" w:rsidRDefault="004D7AC0" w:rsidP="004D7AC0">
            <w:pPr>
              <w:rPr>
                <w:rFonts w:cs="Arial"/>
                <w:color w:val="000000"/>
                <w:szCs w:val="22"/>
                <w:lang w:eastAsia="en-GB"/>
              </w:rPr>
            </w:pPr>
          </w:p>
        </w:tc>
        <w:tc>
          <w:tcPr>
            <w:tcW w:w="1229" w:type="dxa"/>
            <w:tcBorders>
              <w:top w:val="nil"/>
              <w:left w:val="nil"/>
              <w:bottom w:val="dashed" w:sz="8" w:space="0" w:color="C4D79B"/>
              <w:right w:val="nil"/>
            </w:tcBorders>
            <w:shd w:val="clear" w:color="auto" w:fill="auto"/>
            <w:noWrap/>
            <w:vAlign w:val="bottom"/>
            <w:hideMark/>
          </w:tcPr>
          <w:p w14:paraId="7DEA5651"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dashed" w:sz="8" w:space="0" w:color="C4D79B"/>
              <w:right w:val="nil"/>
            </w:tcBorders>
            <w:shd w:val="clear" w:color="auto" w:fill="auto"/>
            <w:noWrap/>
            <w:vAlign w:val="bottom"/>
            <w:hideMark/>
          </w:tcPr>
          <w:p w14:paraId="21FE5D96" w14:textId="721AB342" w:rsidR="004D7AC0" w:rsidRPr="00A43471" w:rsidRDefault="004D7AC0" w:rsidP="004D7AC0">
            <w:pPr>
              <w:rPr>
                <w:rFonts w:cs="Arial"/>
                <w:color w:val="000000"/>
                <w:szCs w:val="22"/>
                <w:lang w:eastAsia="en-GB"/>
              </w:rPr>
            </w:pPr>
            <w:r w:rsidRPr="00A43471">
              <w:rPr>
                <w:rFonts w:cs="Arial"/>
                <w:color w:val="000000"/>
                <w:szCs w:val="22"/>
                <w:lang w:eastAsia="en-GB"/>
              </w:rPr>
              <w:t xml:space="preserve">23,100 </w:t>
            </w:r>
          </w:p>
        </w:tc>
        <w:tc>
          <w:tcPr>
            <w:tcW w:w="1229" w:type="dxa"/>
            <w:tcBorders>
              <w:top w:val="nil"/>
              <w:left w:val="nil"/>
              <w:bottom w:val="dashed" w:sz="8" w:space="0" w:color="C4D79B"/>
              <w:right w:val="nil"/>
            </w:tcBorders>
            <w:shd w:val="clear" w:color="auto" w:fill="auto"/>
            <w:noWrap/>
            <w:vAlign w:val="bottom"/>
            <w:hideMark/>
          </w:tcPr>
          <w:p w14:paraId="3658F638"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651" w:type="dxa"/>
            <w:tcBorders>
              <w:top w:val="nil"/>
              <w:left w:val="nil"/>
              <w:bottom w:val="dashed" w:sz="8" w:space="0" w:color="C4D79B"/>
              <w:right w:val="nil"/>
            </w:tcBorders>
            <w:shd w:val="clear" w:color="auto" w:fill="auto"/>
            <w:noWrap/>
            <w:vAlign w:val="bottom"/>
            <w:hideMark/>
          </w:tcPr>
          <w:p w14:paraId="0DEA9B10"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689 </w:t>
            </w:r>
          </w:p>
        </w:tc>
        <w:tc>
          <w:tcPr>
            <w:tcW w:w="1559" w:type="dxa"/>
            <w:tcBorders>
              <w:top w:val="nil"/>
              <w:left w:val="nil"/>
              <w:bottom w:val="dashed" w:sz="8" w:space="0" w:color="C4D79B"/>
              <w:right w:val="dotted" w:sz="4" w:space="0" w:color="76933C"/>
            </w:tcBorders>
            <w:shd w:val="clear" w:color="auto" w:fill="auto"/>
            <w:noWrap/>
            <w:vAlign w:val="bottom"/>
            <w:hideMark/>
          </w:tcPr>
          <w:p w14:paraId="7C4B6AAF" w14:textId="39F84E8E" w:rsidR="004D7AC0" w:rsidRPr="00A43471" w:rsidRDefault="004D7AC0" w:rsidP="004D7AC0">
            <w:pPr>
              <w:rPr>
                <w:rFonts w:cs="Arial"/>
                <w:color w:val="000000"/>
                <w:szCs w:val="22"/>
                <w:lang w:eastAsia="en-GB"/>
              </w:rPr>
            </w:pPr>
            <w:r w:rsidRPr="00A43471">
              <w:rPr>
                <w:rFonts w:cs="Arial"/>
                <w:color w:val="000000"/>
                <w:szCs w:val="22"/>
                <w:lang w:eastAsia="en-GB"/>
              </w:rPr>
              <w:t xml:space="preserve">5,244 </w:t>
            </w:r>
          </w:p>
        </w:tc>
        <w:tc>
          <w:tcPr>
            <w:tcW w:w="1418" w:type="dxa"/>
            <w:gridSpan w:val="2"/>
            <w:tcBorders>
              <w:top w:val="nil"/>
              <w:left w:val="nil"/>
              <w:bottom w:val="nil"/>
              <w:right w:val="single" w:sz="12" w:space="0" w:color="C4D79B"/>
            </w:tcBorders>
            <w:shd w:val="clear" w:color="000000" w:fill="C4D79B"/>
            <w:noWrap/>
            <w:vAlign w:val="bottom"/>
            <w:hideMark/>
          </w:tcPr>
          <w:p w14:paraId="7448AC6A" w14:textId="6D0AF67B" w:rsidR="004D7AC0" w:rsidRPr="00A43471" w:rsidRDefault="004D7AC0" w:rsidP="004D7AC0">
            <w:pPr>
              <w:rPr>
                <w:rFonts w:cs="Arial"/>
                <w:color w:val="000000"/>
                <w:szCs w:val="22"/>
                <w:lang w:eastAsia="en-GB"/>
              </w:rPr>
            </w:pPr>
            <w:r w:rsidRPr="00A43471">
              <w:rPr>
                <w:rFonts w:cs="Arial"/>
                <w:color w:val="000000"/>
                <w:szCs w:val="22"/>
                <w:lang w:eastAsia="en-GB"/>
              </w:rPr>
              <w:t xml:space="preserve">29,033 </w:t>
            </w:r>
          </w:p>
        </w:tc>
      </w:tr>
      <w:tr w:rsidR="004D7AC0" w:rsidRPr="00A43471" w14:paraId="1FB3E7E8" w14:textId="77777777" w:rsidTr="0082678A">
        <w:trPr>
          <w:gridBefore w:val="1"/>
          <w:wBefore w:w="15" w:type="dxa"/>
          <w:trHeight w:val="285"/>
        </w:trPr>
        <w:tc>
          <w:tcPr>
            <w:tcW w:w="2302" w:type="dxa"/>
            <w:vMerge w:val="restart"/>
            <w:tcBorders>
              <w:top w:val="nil"/>
              <w:left w:val="single" w:sz="12" w:space="0" w:color="C4D79B"/>
              <w:bottom w:val="nil"/>
              <w:right w:val="nil"/>
            </w:tcBorders>
            <w:shd w:val="clear" w:color="auto" w:fill="auto"/>
            <w:vAlign w:val="center"/>
            <w:hideMark/>
          </w:tcPr>
          <w:p w14:paraId="03ADDB5B" w14:textId="77777777" w:rsidR="004D7AC0" w:rsidRPr="00A43471" w:rsidRDefault="004D7AC0" w:rsidP="004D7AC0">
            <w:pPr>
              <w:rPr>
                <w:rFonts w:cs="Arial"/>
                <w:color w:val="000000"/>
                <w:szCs w:val="22"/>
                <w:lang w:eastAsia="en-GB"/>
              </w:rPr>
            </w:pPr>
            <w:r w:rsidRPr="00A43471">
              <w:rPr>
                <w:rFonts w:cs="Arial"/>
                <w:color w:val="000000"/>
                <w:szCs w:val="22"/>
                <w:lang w:eastAsia="en-GB"/>
              </w:rPr>
              <w:t>Deputy Director of Resources (8)</w:t>
            </w:r>
          </w:p>
        </w:tc>
        <w:tc>
          <w:tcPr>
            <w:tcW w:w="1229" w:type="dxa"/>
            <w:tcBorders>
              <w:top w:val="nil"/>
              <w:left w:val="nil"/>
              <w:bottom w:val="nil"/>
              <w:right w:val="nil"/>
            </w:tcBorders>
            <w:shd w:val="clear" w:color="auto" w:fill="auto"/>
            <w:noWrap/>
            <w:vAlign w:val="bottom"/>
            <w:hideMark/>
          </w:tcPr>
          <w:p w14:paraId="3FC4D892" w14:textId="77777777" w:rsidR="004D7AC0" w:rsidRPr="00A43471" w:rsidRDefault="004D7AC0" w:rsidP="004D7AC0">
            <w:pPr>
              <w:rPr>
                <w:rFonts w:cs="Arial"/>
                <w:color w:val="000000"/>
                <w:szCs w:val="22"/>
                <w:lang w:eastAsia="en-GB"/>
              </w:rPr>
            </w:pPr>
            <w:r w:rsidRPr="00A43471">
              <w:rPr>
                <w:rFonts w:cs="Arial"/>
                <w:color w:val="000000"/>
                <w:szCs w:val="22"/>
                <w:lang w:eastAsia="en-GB"/>
              </w:rPr>
              <w:t>2019/20</w:t>
            </w:r>
          </w:p>
        </w:tc>
        <w:tc>
          <w:tcPr>
            <w:tcW w:w="1229" w:type="dxa"/>
            <w:tcBorders>
              <w:top w:val="nil"/>
              <w:left w:val="nil"/>
              <w:bottom w:val="nil"/>
              <w:right w:val="nil"/>
            </w:tcBorders>
            <w:shd w:val="clear" w:color="auto" w:fill="auto"/>
            <w:noWrap/>
            <w:vAlign w:val="bottom"/>
            <w:hideMark/>
          </w:tcPr>
          <w:p w14:paraId="7DB540D0" w14:textId="0FCA9A4F" w:rsidR="004D7AC0" w:rsidRPr="00A43471" w:rsidRDefault="004D7AC0" w:rsidP="004D7AC0">
            <w:pPr>
              <w:rPr>
                <w:rFonts w:cs="Arial"/>
                <w:color w:val="000000"/>
                <w:szCs w:val="22"/>
                <w:lang w:eastAsia="en-GB"/>
              </w:rPr>
            </w:pPr>
            <w:r w:rsidRPr="00A43471">
              <w:rPr>
                <w:rFonts w:cs="Arial"/>
                <w:color w:val="000000"/>
                <w:szCs w:val="22"/>
                <w:lang w:eastAsia="en-GB"/>
              </w:rPr>
              <w:t xml:space="preserve">78,007 </w:t>
            </w:r>
          </w:p>
        </w:tc>
        <w:tc>
          <w:tcPr>
            <w:tcW w:w="1229" w:type="dxa"/>
            <w:tcBorders>
              <w:top w:val="nil"/>
              <w:left w:val="nil"/>
              <w:bottom w:val="nil"/>
              <w:right w:val="nil"/>
            </w:tcBorders>
            <w:shd w:val="clear" w:color="auto" w:fill="auto"/>
            <w:noWrap/>
            <w:vAlign w:val="bottom"/>
            <w:hideMark/>
          </w:tcPr>
          <w:p w14:paraId="2D845B5B" w14:textId="77777777" w:rsidR="004D7AC0" w:rsidRPr="00A43471" w:rsidRDefault="004D7AC0" w:rsidP="004D7AC0">
            <w:pPr>
              <w:rPr>
                <w:rFonts w:cs="Arial"/>
                <w:color w:val="000000"/>
                <w:szCs w:val="22"/>
                <w:lang w:eastAsia="en-GB"/>
              </w:rPr>
            </w:pPr>
          </w:p>
        </w:tc>
        <w:tc>
          <w:tcPr>
            <w:tcW w:w="1651" w:type="dxa"/>
            <w:tcBorders>
              <w:top w:val="nil"/>
              <w:left w:val="nil"/>
              <w:bottom w:val="nil"/>
              <w:right w:val="nil"/>
            </w:tcBorders>
            <w:shd w:val="clear" w:color="auto" w:fill="auto"/>
            <w:noWrap/>
            <w:vAlign w:val="bottom"/>
            <w:hideMark/>
          </w:tcPr>
          <w:p w14:paraId="49B18C32" w14:textId="77777777" w:rsidR="004D7AC0" w:rsidRPr="00A43471" w:rsidRDefault="004D7AC0" w:rsidP="004D7AC0">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3B5C47B6" w14:textId="2302F8B6" w:rsidR="004D7AC0" w:rsidRPr="00A43471" w:rsidRDefault="004D7AC0" w:rsidP="004D7AC0">
            <w:pPr>
              <w:rPr>
                <w:rFonts w:cs="Arial"/>
                <w:color w:val="000000"/>
                <w:szCs w:val="22"/>
                <w:lang w:eastAsia="en-GB"/>
              </w:rPr>
            </w:pPr>
            <w:r w:rsidRPr="00A43471">
              <w:rPr>
                <w:rFonts w:cs="Arial"/>
                <w:color w:val="000000"/>
                <w:szCs w:val="22"/>
                <w:lang w:eastAsia="en-GB"/>
              </w:rPr>
              <w:t xml:space="preserve">18,488 </w:t>
            </w:r>
          </w:p>
        </w:tc>
        <w:tc>
          <w:tcPr>
            <w:tcW w:w="1418" w:type="dxa"/>
            <w:gridSpan w:val="2"/>
            <w:tcBorders>
              <w:top w:val="dashed" w:sz="4" w:space="0" w:color="76933C"/>
              <w:left w:val="nil"/>
              <w:bottom w:val="nil"/>
              <w:right w:val="single" w:sz="12" w:space="0" w:color="C4D79B"/>
            </w:tcBorders>
            <w:shd w:val="clear" w:color="000000" w:fill="C4D79B"/>
            <w:noWrap/>
            <w:vAlign w:val="bottom"/>
            <w:hideMark/>
          </w:tcPr>
          <w:p w14:paraId="5E37DA05" w14:textId="64026F4D" w:rsidR="004D7AC0" w:rsidRPr="00A43471" w:rsidRDefault="004D7AC0" w:rsidP="004D7AC0">
            <w:pPr>
              <w:rPr>
                <w:rFonts w:cs="Arial"/>
                <w:color w:val="000000"/>
                <w:szCs w:val="22"/>
                <w:lang w:eastAsia="en-GB"/>
              </w:rPr>
            </w:pPr>
            <w:r w:rsidRPr="00A43471">
              <w:rPr>
                <w:rFonts w:cs="Arial"/>
                <w:color w:val="000000"/>
                <w:szCs w:val="22"/>
                <w:lang w:eastAsia="en-GB"/>
              </w:rPr>
              <w:t xml:space="preserve">96,495 </w:t>
            </w:r>
          </w:p>
        </w:tc>
      </w:tr>
      <w:tr w:rsidR="004D7AC0" w:rsidRPr="00A43471" w14:paraId="569DDF2A" w14:textId="77777777" w:rsidTr="0082678A">
        <w:trPr>
          <w:gridBefore w:val="1"/>
          <w:wBefore w:w="15" w:type="dxa"/>
          <w:trHeight w:val="139"/>
        </w:trPr>
        <w:tc>
          <w:tcPr>
            <w:tcW w:w="2302" w:type="dxa"/>
            <w:vMerge/>
            <w:tcBorders>
              <w:top w:val="nil"/>
              <w:left w:val="single" w:sz="12" w:space="0" w:color="C4D79B"/>
              <w:bottom w:val="nil"/>
              <w:right w:val="nil"/>
            </w:tcBorders>
            <w:vAlign w:val="center"/>
            <w:hideMark/>
          </w:tcPr>
          <w:p w14:paraId="53D46CF2" w14:textId="77777777" w:rsidR="004D7AC0" w:rsidRPr="00A43471" w:rsidRDefault="004D7AC0" w:rsidP="004D7AC0">
            <w:pPr>
              <w:rPr>
                <w:rFonts w:cs="Arial"/>
                <w:color w:val="000000"/>
                <w:szCs w:val="22"/>
                <w:lang w:eastAsia="en-GB"/>
              </w:rPr>
            </w:pPr>
          </w:p>
        </w:tc>
        <w:tc>
          <w:tcPr>
            <w:tcW w:w="1229" w:type="dxa"/>
            <w:tcBorders>
              <w:top w:val="nil"/>
              <w:left w:val="nil"/>
              <w:bottom w:val="nil"/>
              <w:right w:val="nil"/>
            </w:tcBorders>
            <w:shd w:val="clear" w:color="auto" w:fill="auto"/>
            <w:noWrap/>
            <w:vAlign w:val="bottom"/>
            <w:hideMark/>
          </w:tcPr>
          <w:p w14:paraId="17646C90"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nil"/>
              <w:right w:val="nil"/>
            </w:tcBorders>
            <w:shd w:val="clear" w:color="auto" w:fill="auto"/>
            <w:noWrap/>
            <w:vAlign w:val="bottom"/>
            <w:hideMark/>
          </w:tcPr>
          <w:p w14:paraId="02A59254" w14:textId="0DD9FB8C" w:rsidR="004D7AC0" w:rsidRPr="00A43471" w:rsidRDefault="004D7AC0" w:rsidP="004D7AC0">
            <w:pPr>
              <w:rPr>
                <w:rFonts w:cs="Arial"/>
                <w:color w:val="000000"/>
                <w:szCs w:val="22"/>
                <w:lang w:eastAsia="en-GB"/>
              </w:rPr>
            </w:pPr>
            <w:r w:rsidRPr="00A43471">
              <w:rPr>
                <w:rFonts w:cs="Arial"/>
                <w:color w:val="000000"/>
                <w:szCs w:val="22"/>
                <w:lang w:eastAsia="en-GB"/>
              </w:rPr>
              <w:t xml:space="preserve">50,487 </w:t>
            </w:r>
          </w:p>
        </w:tc>
        <w:tc>
          <w:tcPr>
            <w:tcW w:w="1229" w:type="dxa"/>
            <w:tcBorders>
              <w:top w:val="nil"/>
              <w:left w:val="nil"/>
              <w:bottom w:val="nil"/>
              <w:right w:val="nil"/>
            </w:tcBorders>
            <w:shd w:val="clear" w:color="auto" w:fill="auto"/>
            <w:noWrap/>
            <w:vAlign w:val="bottom"/>
            <w:hideMark/>
          </w:tcPr>
          <w:p w14:paraId="24EB54F8" w14:textId="77777777" w:rsidR="004D7AC0" w:rsidRPr="00A43471" w:rsidRDefault="004D7AC0" w:rsidP="004D7AC0">
            <w:pPr>
              <w:rPr>
                <w:rFonts w:cs="Arial"/>
                <w:color w:val="000000"/>
                <w:szCs w:val="22"/>
                <w:lang w:eastAsia="en-GB"/>
              </w:rPr>
            </w:pPr>
          </w:p>
        </w:tc>
        <w:tc>
          <w:tcPr>
            <w:tcW w:w="1651" w:type="dxa"/>
            <w:tcBorders>
              <w:top w:val="nil"/>
              <w:left w:val="nil"/>
              <w:bottom w:val="nil"/>
              <w:right w:val="nil"/>
            </w:tcBorders>
            <w:shd w:val="clear" w:color="auto" w:fill="auto"/>
            <w:noWrap/>
            <w:vAlign w:val="bottom"/>
            <w:hideMark/>
          </w:tcPr>
          <w:p w14:paraId="73276743"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12 </w:t>
            </w:r>
          </w:p>
        </w:tc>
        <w:tc>
          <w:tcPr>
            <w:tcW w:w="1559" w:type="dxa"/>
            <w:tcBorders>
              <w:top w:val="nil"/>
              <w:left w:val="nil"/>
              <w:bottom w:val="nil"/>
              <w:right w:val="nil"/>
            </w:tcBorders>
            <w:shd w:val="clear" w:color="auto" w:fill="auto"/>
            <w:noWrap/>
            <w:vAlign w:val="bottom"/>
            <w:hideMark/>
          </w:tcPr>
          <w:p w14:paraId="49B17CE3" w14:textId="7C401DBC" w:rsidR="004D7AC0" w:rsidRPr="00A43471" w:rsidRDefault="004D7AC0" w:rsidP="004D7AC0">
            <w:pPr>
              <w:rPr>
                <w:rFonts w:cs="Arial"/>
                <w:color w:val="000000"/>
                <w:szCs w:val="22"/>
                <w:lang w:eastAsia="en-GB"/>
              </w:rPr>
            </w:pPr>
            <w:r w:rsidRPr="00A43471">
              <w:rPr>
                <w:rFonts w:cs="Arial"/>
                <w:color w:val="000000"/>
                <w:szCs w:val="22"/>
                <w:lang w:eastAsia="en-GB"/>
              </w:rPr>
              <w:t xml:space="preserve">11,461 </w:t>
            </w:r>
          </w:p>
        </w:tc>
        <w:tc>
          <w:tcPr>
            <w:tcW w:w="1418" w:type="dxa"/>
            <w:gridSpan w:val="2"/>
            <w:tcBorders>
              <w:top w:val="nil"/>
              <w:left w:val="nil"/>
              <w:bottom w:val="dashed" w:sz="4" w:space="0" w:color="76933C"/>
              <w:right w:val="single" w:sz="12" w:space="0" w:color="C4D79B"/>
            </w:tcBorders>
            <w:shd w:val="clear" w:color="000000" w:fill="C4D79B"/>
            <w:noWrap/>
            <w:vAlign w:val="bottom"/>
            <w:hideMark/>
          </w:tcPr>
          <w:p w14:paraId="3910DA92" w14:textId="4B3D6732" w:rsidR="004D7AC0" w:rsidRPr="00A43471" w:rsidRDefault="004D7AC0" w:rsidP="004D7AC0">
            <w:pPr>
              <w:rPr>
                <w:rFonts w:cs="Arial"/>
                <w:color w:val="000000"/>
                <w:szCs w:val="22"/>
                <w:lang w:eastAsia="en-GB"/>
              </w:rPr>
            </w:pPr>
            <w:r w:rsidRPr="00A43471">
              <w:rPr>
                <w:rFonts w:cs="Arial"/>
                <w:color w:val="000000"/>
                <w:szCs w:val="22"/>
                <w:lang w:eastAsia="en-GB"/>
              </w:rPr>
              <w:t xml:space="preserve">61,960 </w:t>
            </w:r>
          </w:p>
        </w:tc>
      </w:tr>
      <w:tr w:rsidR="004D7AC0" w:rsidRPr="00A43471" w14:paraId="4C2C0862" w14:textId="77777777" w:rsidTr="0082678A">
        <w:trPr>
          <w:gridBefore w:val="1"/>
          <w:wBefore w:w="15" w:type="dxa"/>
          <w:trHeight w:val="293"/>
        </w:trPr>
        <w:tc>
          <w:tcPr>
            <w:tcW w:w="2302" w:type="dxa"/>
            <w:vMerge w:val="restart"/>
            <w:tcBorders>
              <w:top w:val="dashed" w:sz="8" w:space="0" w:color="C4D79B"/>
              <w:left w:val="single" w:sz="12" w:space="0" w:color="C4D79B"/>
              <w:bottom w:val="dashed" w:sz="8" w:space="0" w:color="C4D79B"/>
              <w:right w:val="nil"/>
            </w:tcBorders>
            <w:shd w:val="clear" w:color="auto" w:fill="auto"/>
            <w:vAlign w:val="center"/>
            <w:hideMark/>
          </w:tcPr>
          <w:p w14:paraId="01873D15" w14:textId="77777777" w:rsidR="004D7AC0" w:rsidRPr="00A43471" w:rsidRDefault="004D7AC0" w:rsidP="004D7AC0">
            <w:pPr>
              <w:rPr>
                <w:rFonts w:cs="Arial"/>
                <w:color w:val="000000"/>
                <w:szCs w:val="22"/>
                <w:lang w:eastAsia="en-GB"/>
              </w:rPr>
            </w:pPr>
            <w:r w:rsidRPr="00A43471">
              <w:rPr>
                <w:rFonts w:cs="Arial"/>
                <w:color w:val="000000"/>
                <w:szCs w:val="22"/>
                <w:lang w:eastAsia="en-GB"/>
              </w:rPr>
              <w:t>Director of Public Health (9)</w:t>
            </w:r>
          </w:p>
        </w:tc>
        <w:tc>
          <w:tcPr>
            <w:tcW w:w="1229" w:type="dxa"/>
            <w:tcBorders>
              <w:top w:val="dashed" w:sz="8" w:space="0" w:color="C4D79B"/>
              <w:left w:val="nil"/>
              <w:bottom w:val="nil"/>
              <w:right w:val="nil"/>
            </w:tcBorders>
            <w:shd w:val="clear" w:color="auto" w:fill="auto"/>
            <w:noWrap/>
            <w:vAlign w:val="bottom"/>
            <w:hideMark/>
          </w:tcPr>
          <w:p w14:paraId="3C3EF48B" w14:textId="77777777" w:rsidR="004D7AC0" w:rsidRPr="00A43471" w:rsidRDefault="004D7AC0" w:rsidP="004D7AC0">
            <w:pPr>
              <w:rPr>
                <w:rFonts w:cs="Arial"/>
                <w:color w:val="000000"/>
                <w:szCs w:val="22"/>
                <w:lang w:eastAsia="en-GB"/>
              </w:rPr>
            </w:pPr>
            <w:r w:rsidRPr="00A43471">
              <w:rPr>
                <w:rFonts w:cs="Arial"/>
                <w:color w:val="000000"/>
                <w:szCs w:val="22"/>
                <w:lang w:eastAsia="en-GB"/>
              </w:rPr>
              <w:t>2019/20</w:t>
            </w:r>
          </w:p>
        </w:tc>
        <w:tc>
          <w:tcPr>
            <w:tcW w:w="1229" w:type="dxa"/>
            <w:tcBorders>
              <w:top w:val="dashed" w:sz="8" w:space="0" w:color="C4D79B"/>
              <w:left w:val="nil"/>
              <w:bottom w:val="nil"/>
              <w:right w:val="nil"/>
            </w:tcBorders>
            <w:shd w:val="clear" w:color="auto" w:fill="auto"/>
            <w:noWrap/>
            <w:vAlign w:val="bottom"/>
            <w:hideMark/>
          </w:tcPr>
          <w:p w14:paraId="56384EE3"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229" w:type="dxa"/>
            <w:tcBorders>
              <w:top w:val="dashed" w:sz="8" w:space="0" w:color="C4D79B"/>
              <w:left w:val="nil"/>
              <w:bottom w:val="nil"/>
              <w:right w:val="nil"/>
            </w:tcBorders>
            <w:shd w:val="clear" w:color="auto" w:fill="auto"/>
            <w:noWrap/>
            <w:vAlign w:val="bottom"/>
            <w:hideMark/>
          </w:tcPr>
          <w:p w14:paraId="49375054" w14:textId="69FEC059" w:rsidR="004D7AC0" w:rsidRPr="00A43471" w:rsidRDefault="004D7AC0" w:rsidP="004D7AC0">
            <w:pPr>
              <w:rPr>
                <w:rFonts w:cs="Arial"/>
                <w:color w:val="000000"/>
                <w:szCs w:val="22"/>
                <w:lang w:eastAsia="en-GB"/>
              </w:rPr>
            </w:pPr>
            <w:r w:rsidRPr="00A43471">
              <w:rPr>
                <w:rFonts w:cs="Arial"/>
                <w:color w:val="000000"/>
                <w:szCs w:val="22"/>
                <w:lang w:eastAsia="en-GB"/>
              </w:rPr>
              <w:t xml:space="preserve">36,456 </w:t>
            </w:r>
          </w:p>
        </w:tc>
        <w:tc>
          <w:tcPr>
            <w:tcW w:w="1651" w:type="dxa"/>
            <w:tcBorders>
              <w:top w:val="dashed" w:sz="8" w:space="0" w:color="C4D79B"/>
              <w:left w:val="nil"/>
              <w:bottom w:val="nil"/>
              <w:right w:val="nil"/>
            </w:tcBorders>
            <w:shd w:val="clear" w:color="auto" w:fill="auto"/>
            <w:noWrap/>
            <w:vAlign w:val="bottom"/>
            <w:hideMark/>
          </w:tcPr>
          <w:p w14:paraId="6A1175A3"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559" w:type="dxa"/>
            <w:tcBorders>
              <w:top w:val="dashed" w:sz="8" w:space="0" w:color="C4D79B"/>
              <w:left w:val="nil"/>
              <w:bottom w:val="nil"/>
              <w:right w:val="nil"/>
            </w:tcBorders>
            <w:shd w:val="clear" w:color="auto" w:fill="auto"/>
            <w:noWrap/>
            <w:vAlign w:val="bottom"/>
            <w:hideMark/>
          </w:tcPr>
          <w:p w14:paraId="3ADAE73A"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418" w:type="dxa"/>
            <w:gridSpan w:val="2"/>
            <w:tcBorders>
              <w:top w:val="nil"/>
              <w:left w:val="nil"/>
              <w:bottom w:val="nil"/>
              <w:right w:val="single" w:sz="12" w:space="0" w:color="C4D79B"/>
            </w:tcBorders>
            <w:shd w:val="clear" w:color="000000" w:fill="C4D79B"/>
            <w:noWrap/>
            <w:vAlign w:val="bottom"/>
            <w:hideMark/>
          </w:tcPr>
          <w:p w14:paraId="7AE55CF4" w14:textId="4A303CF0" w:rsidR="004D7AC0" w:rsidRPr="00A43471" w:rsidRDefault="0082678A" w:rsidP="004D7AC0">
            <w:pPr>
              <w:rPr>
                <w:rFonts w:cs="Arial"/>
                <w:color w:val="000000"/>
                <w:szCs w:val="22"/>
                <w:lang w:eastAsia="en-GB"/>
              </w:rPr>
            </w:pPr>
            <w:r>
              <w:rPr>
                <w:rFonts w:cs="Arial"/>
                <w:color w:val="000000"/>
                <w:szCs w:val="22"/>
                <w:lang w:eastAsia="en-GB"/>
              </w:rPr>
              <w:t>3</w:t>
            </w:r>
            <w:r w:rsidR="004D7AC0" w:rsidRPr="00A43471">
              <w:rPr>
                <w:rFonts w:cs="Arial"/>
                <w:color w:val="000000"/>
                <w:szCs w:val="22"/>
                <w:lang w:eastAsia="en-GB"/>
              </w:rPr>
              <w:t xml:space="preserve">6,456 </w:t>
            </w:r>
          </w:p>
        </w:tc>
      </w:tr>
      <w:tr w:rsidR="004D7AC0" w:rsidRPr="00A43471" w14:paraId="7514F20E" w14:textId="77777777" w:rsidTr="0082678A">
        <w:trPr>
          <w:gridBefore w:val="1"/>
          <w:wBefore w:w="15" w:type="dxa"/>
          <w:trHeight w:val="34"/>
        </w:trPr>
        <w:tc>
          <w:tcPr>
            <w:tcW w:w="2302" w:type="dxa"/>
            <w:vMerge/>
            <w:tcBorders>
              <w:top w:val="dashed" w:sz="8" w:space="0" w:color="C4D79B"/>
              <w:left w:val="single" w:sz="12" w:space="0" w:color="C4D79B"/>
              <w:bottom w:val="dashed" w:sz="8" w:space="0" w:color="C4D79B"/>
              <w:right w:val="nil"/>
            </w:tcBorders>
            <w:vAlign w:val="center"/>
            <w:hideMark/>
          </w:tcPr>
          <w:p w14:paraId="504A684C" w14:textId="77777777" w:rsidR="004D7AC0" w:rsidRPr="00A43471" w:rsidRDefault="004D7AC0" w:rsidP="004D7AC0">
            <w:pPr>
              <w:rPr>
                <w:rFonts w:cs="Arial"/>
                <w:color w:val="000000"/>
                <w:szCs w:val="22"/>
                <w:lang w:eastAsia="en-GB"/>
              </w:rPr>
            </w:pPr>
          </w:p>
        </w:tc>
        <w:tc>
          <w:tcPr>
            <w:tcW w:w="1229" w:type="dxa"/>
            <w:tcBorders>
              <w:top w:val="nil"/>
              <w:left w:val="nil"/>
              <w:bottom w:val="dashed" w:sz="8" w:space="0" w:color="C4D79B"/>
              <w:right w:val="nil"/>
            </w:tcBorders>
            <w:shd w:val="clear" w:color="auto" w:fill="auto"/>
            <w:noWrap/>
            <w:vAlign w:val="bottom"/>
            <w:hideMark/>
          </w:tcPr>
          <w:p w14:paraId="51901D80"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dashed" w:sz="8" w:space="0" w:color="C4D79B"/>
              <w:right w:val="nil"/>
            </w:tcBorders>
            <w:shd w:val="clear" w:color="auto" w:fill="auto"/>
            <w:noWrap/>
            <w:vAlign w:val="bottom"/>
            <w:hideMark/>
          </w:tcPr>
          <w:p w14:paraId="20C894F0"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229" w:type="dxa"/>
            <w:tcBorders>
              <w:top w:val="nil"/>
              <w:left w:val="nil"/>
              <w:bottom w:val="dashed" w:sz="8" w:space="0" w:color="C4D79B"/>
              <w:right w:val="nil"/>
            </w:tcBorders>
            <w:shd w:val="clear" w:color="auto" w:fill="auto"/>
            <w:noWrap/>
            <w:vAlign w:val="bottom"/>
            <w:hideMark/>
          </w:tcPr>
          <w:p w14:paraId="4A068212" w14:textId="7D74172E" w:rsidR="004D7AC0" w:rsidRPr="00A43471" w:rsidRDefault="004D7AC0" w:rsidP="004D7AC0">
            <w:pPr>
              <w:rPr>
                <w:rFonts w:cs="Arial"/>
                <w:color w:val="000000"/>
                <w:szCs w:val="22"/>
                <w:lang w:eastAsia="en-GB"/>
              </w:rPr>
            </w:pPr>
            <w:r w:rsidRPr="00A43471">
              <w:rPr>
                <w:rFonts w:cs="Arial"/>
                <w:color w:val="000000"/>
                <w:szCs w:val="22"/>
                <w:lang w:eastAsia="en-GB"/>
              </w:rPr>
              <w:t xml:space="preserve">35,485 </w:t>
            </w:r>
          </w:p>
        </w:tc>
        <w:tc>
          <w:tcPr>
            <w:tcW w:w="1651" w:type="dxa"/>
            <w:tcBorders>
              <w:top w:val="nil"/>
              <w:left w:val="nil"/>
              <w:bottom w:val="dashed" w:sz="8" w:space="0" w:color="C4D79B"/>
              <w:right w:val="nil"/>
            </w:tcBorders>
            <w:shd w:val="clear" w:color="auto" w:fill="auto"/>
            <w:noWrap/>
            <w:vAlign w:val="bottom"/>
            <w:hideMark/>
          </w:tcPr>
          <w:p w14:paraId="76B8BFEE"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559" w:type="dxa"/>
            <w:tcBorders>
              <w:top w:val="nil"/>
              <w:left w:val="nil"/>
              <w:bottom w:val="dashed" w:sz="8" w:space="0" w:color="C4D79B"/>
              <w:right w:val="nil"/>
            </w:tcBorders>
            <w:shd w:val="clear" w:color="auto" w:fill="auto"/>
            <w:noWrap/>
            <w:vAlign w:val="bottom"/>
            <w:hideMark/>
          </w:tcPr>
          <w:p w14:paraId="28A81409" w14:textId="77777777" w:rsidR="004D7AC0" w:rsidRPr="00A43471" w:rsidRDefault="004D7AC0" w:rsidP="004D7AC0">
            <w:pPr>
              <w:rPr>
                <w:rFonts w:cs="Arial"/>
                <w:color w:val="000000"/>
                <w:szCs w:val="22"/>
                <w:lang w:eastAsia="en-GB"/>
              </w:rPr>
            </w:pPr>
            <w:r w:rsidRPr="00A43471">
              <w:rPr>
                <w:rFonts w:cs="Arial"/>
                <w:color w:val="000000"/>
                <w:szCs w:val="22"/>
                <w:lang w:eastAsia="en-GB"/>
              </w:rPr>
              <w:t> </w:t>
            </w:r>
          </w:p>
        </w:tc>
        <w:tc>
          <w:tcPr>
            <w:tcW w:w="1418" w:type="dxa"/>
            <w:gridSpan w:val="2"/>
            <w:tcBorders>
              <w:top w:val="nil"/>
              <w:left w:val="nil"/>
              <w:bottom w:val="nil"/>
              <w:right w:val="single" w:sz="12" w:space="0" w:color="C4D79B"/>
            </w:tcBorders>
            <w:shd w:val="clear" w:color="000000" w:fill="C4D79B"/>
            <w:noWrap/>
            <w:vAlign w:val="bottom"/>
            <w:hideMark/>
          </w:tcPr>
          <w:p w14:paraId="53155970" w14:textId="5DCFB4DB" w:rsidR="004D7AC0" w:rsidRPr="00A43471" w:rsidRDefault="004D7AC0" w:rsidP="004D7AC0">
            <w:pPr>
              <w:rPr>
                <w:rFonts w:cs="Arial"/>
                <w:color w:val="000000"/>
                <w:szCs w:val="22"/>
                <w:lang w:eastAsia="en-GB"/>
              </w:rPr>
            </w:pPr>
            <w:r w:rsidRPr="00A43471">
              <w:rPr>
                <w:rFonts w:cs="Arial"/>
                <w:color w:val="000000"/>
                <w:szCs w:val="22"/>
                <w:lang w:eastAsia="en-GB"/>
              </w:rPr>
              <w:t xml:space="preserve">35,485 </w:t>
            </w:r>
          </w:p>
        </w:tc>
      </w:tr>
      <w:tr w:rsidR="004D7AC0" w:rsidRPr="00A43471" w14:paraId="309A913E" w14:textId="77777777" w:rsidTr="0082678A">
        <w:trPr>
          <w:gridBefore w:val="1"/>
          <w:wBefore w:w="15" w:type="dxa"/>
          <w:trHeight w:val="131"/>
        </w:trPr>
        <w:tc>
          <w:tcPr>
            <w:tcW w:w="2302" w:type="dxa"/>
            <w:vMerge w:val="restart"/>
            <w:tcBorders>
              <w:top w:val="nil"/>
              <w:left w:val="single" w:sz="12" w:space="0" w:color="C4D79B"/>
              <w:bottom w:val="single" w:sz="4" w:space="0" w:color="000000"/>
              <w:right w:val="nil"/>
            </w:tcBorders>
            <w:shd w:val="clear" w:color="auto" w:fill="auto"/>
            <w:vAlign w:val="center"/>
            <w:hideMark/>
          </w:tcPr>
          <w:p w14:paraId="3F96F128" w14:textId="2213424C" w:rsidR="004D7AC0" w:rsidRPr="00A43471" w:rsidRDefault="000D242A" w:rsidP="004D7AC0">
            <w:pPr>
              <w:rPr>
                <w:rFonts w:cs="Arial"/>
                <w:color w:val="000000"/>
                <w:szCs w:val="22"/>
                <w:lang w:eastAsia="en-GB"/>
              </w:rPr>
            </w:pPr>
            <w:r>
              <w:rPr>
                <w:rFonts w:cs="Arial"/>
                <w:color w:val="000000"/>
                <w:szCs w:val="22"/>
                <w:lang w:eastAsia="en-GB"/>
              </w:rPr>
              <w:t>Head of Communications</w:t>
            </w:r>
          </w:p>
        </w:tc>
        <w:tc>
          <w:tcPr>
            <w:tcW w:w="1229" w:type="dxa"/>
            <w:tcBorders>
              <w:top w:val="nil"/>
              <w:left w:val="nil"/>
              <w:bottom w:val="nil"/>
              <w:right w:val="nil"/>
            </w:tcBorders>
            <w:shd w:val="clear" w:color="auto" w:fill="auto"/>
            <w:noWrap/>
            <w:vAlign w:val="bottom"/>
            <w:hideMark/>
          </w:tcPr>
          <w:p w14:paraId="1CAE5EEE" w14:textId="77777777" w:rsidR="004D7AC0" w:rsidRPr="00A43471" w:rsidRDefault="004D7AC0" w:rsidP="004D7AC0">
            <w:pPr>
              <w:rPr>
                <w:rFonts w:cs="Arial"/>
                <w:color w:val="000000"/>
                <w:szCs w:val="22"/>
                <w:lang w:eastAsia="en-GB"/>
              </w:rPr>
            </w:pPr>
            <w:r w:rsidRPr="00A43471">
              <w:rPr>
                <w:rFonts w:cs="Arial"/>
                <w:color w:val="000000"/>
                <w:szCs w:val="22"/>
                <w:lang w:eastAsia="en-GB"/>
              </w:rPr>
              <w:t>2019/20</w:t>
            </w:r>
          </w:p>
        </w:tc>
        <w:tc>
          <w:tcPr>
            <w:tcW w:w="1229" w:type="dxa"/>
            <w:tcBorders>
              <w:top w:val="nil"/>
              <w:left w:val="nil"/>
              <w:bottom w:val="nil"/>
              <w:right w:val="nil"/>
            </w:tcBorders>
            <w:shd w:val="clear" w:color="auto" w:fill="auto"/>
            <w:noWrap/>
            <w:vAlign w:val="bottom"/>
            <w:hideMark/>
          </w:tcPr>
          <w:p w14:paraId="687C8A4E" w14:textId="6C5A24DF" w:rsidR="004D7AC0" w:rsidRPr="00A43471" w:rsidRDefault="004D7AC0" w:rsidP="004D7AC0">
            <w:pPr>
              <w:rPr>
                <w:rFonts w:cs="Arial"/>
                <w:color w:val="000000"/>
                <w:szCs w:val="22"/>
                <w:lang w:eastAsia="en-GB"/>
              </w:rPr>
            </w:pPr>
            <w:r w:rsidRPr="00A43471">
              <w:rPr>
                <w:rFonts w:cs="Arial"/>
                <w:color w:val="000000"/>
                <w:szCs w:val="22"/>
                <w:lang w:eastAsia="en-GB"/>
              </w:rPr>
              <w:t xml:space="preserve">66,815 </w:t>
            </w:r>
          </w:p>
        </w:tc>
        <w:tc>
          <w:tcPr>
            <w:tcW w:w="1229" w:type="dxa"/>
            <w:tcBorders>
              <w:top w:val="nil"/>
              <w:left w:val="nil"/>
              <w:bottom w:val="nil"/>
              <w:right w:val="nil"/>
            </w:tcBorders>
            <w:shd w:val="clear" w:color="auto" w:fill="auto"/>
            <w:noWrap/>
            <w:vAlign w:val="bottom"/>
            <w:hideMark/>
          </w:tcPr>
          <w:p w14:paraId="0CD2B4DF" w14:textId="77777777" w:rsidR="004D7AC0" w:rsidRPr="00A43471" w:rsidRDefault="004D7AC0" w:rsidP="004D7AC0">
            <w:pPr>
              <w:rPr>
                <w:rFonts w:cs="Arial"/>
                <w:color w:val="000000"/>
                <w:szCs w:val="22"/>
                <w:lang w:eastAsia="en-GB"/>
              </w:rPr>
            </w:pPr>
          </w:p>
        </w:tc>
        <w:tc>
          <w:tcPr>
            <w:tcW w:w="1651" w:type="dxa"/>
            <w:tcBorders>
              <w:top w:val="nil"/>
              <w:left w:val="nil"/>
              <w:bottom w:val="nil"/>
              <w:right w:val="nil"/>
            </w:tcBorders>
            <w:shd w:val="clear" w:color="auto" w:fill="auto"/>
            <w:noWrap/>
            <w:vAlign w:val="bottom"/>
            <w:hideMark/>
          </w:tcPr>
          <w:p w14:paraId="0A717D05" w14:textId="77777777" w:rsidR="004D7AC0" w:rsidRPr="00A43471" w:rsidRDefault="004D7AC0" w:rsidP="004D7AC0">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3ED5F086" w14:textId="571F4C1D" w:rsidR="004D7AC0" w:rsidRPr="00A43471" w:rsidRDefault="004D7AC0" w:rsidP="004D7AC0">
            <w:pPr>
              <w:rPr>
                <w:rFonts w:cs="Arial"/>
                <w:color w:val="000000"/>
                <w:szCs w:val="22"/>
                <w:lang w:eastAsia="en-GB"/>
              </w:rPr>
            </w:pPr>
            <w:r w:rsidRPr="00A43471">
              <w:rPr>
                <w:rFonts w:cs="Arial"/>
                <w:color w:val="000000"/>
                <w:szCs w:val="22"/>
                <w:lang w:eastAsia="en-GB"/>
              </w:rPr>
              <w:t xml:space="preserve">15,835 </w:t>
            </w:r>
          </w:p>
        </w:tc>
        <w:tc>
          <w:tcPr>
            <w:tcW w:w="1418" w:type="dxa"/>
            <w:gridSpan w:val="2"/>
            <w:tcBorders>
              <w:top w:val="dotted" w:sz="4" w:space="0" w:color="auto"/>
              <w:left w:val="nil"/>
              <w:bottom w:val="nil"/>
              <w:right w:val="single" w:sz="12" w:space="0" w:color="C4D79B"/>
            </w:tcBorders>
            <w:shd w:val="clear" w:color="000000" w:fill="C4D79B"/>
            <w:noWrap/>
            <w:vAlign w:val="bottom"/>
            <w:hideMark/>
          </w:tcPr>
          <w:p w14:paraId="30791800" w14:textId="23450FCB" w:rsidR="004D7AC0" w:rsidRPr="00A43471" w:rsidRDefault="004D7AC0" w:rsidP="004D7AC0">
            <w:pPr>
              <w:rPr>
                <w:rFonts w:cs="Arial"/>
                <w:color w:val="000000"/>
                <w:szCs w:val="22"/>
                <w:lang w:eastAsia="en-GB"/>
              </w:rPr>
            </w:pPr>
            <w:r w:rsidRPr="00A43471">
              <w:rPr>
                <w:rFonts w:cs="Arial"/>
                <w:color w:val="000000"/>
                <w:szCs w:val="22"/>
                <w:lang w:eastAsia="en-GB"/>
              </w:rPr>
              <w:t xml:space="preserve">82,650 </w:t>
            </w:r>
          </w:p>
        </w:tc>
      </w:tr>
      <w:tr w:rsidR="004D7AC0" w:rsidRPr="00A43471" w14:paraId="6425B641" w14:textId="77777777" w:rsidTr="0082678A">
        <w:trPr>
          <w:gridBefore w:val="1"/>
          <w:wBefore w:w="15" w:type="dxa"/>
          <w:trHeight w:val="158"/>
        </w:trPr>
        <w:tc>
          <w:tcPr>
            <w:tcW w:w="2302" w:type="dxa"/>
            <w:vMerge/>
            <w:tcBorders>
              <w:top w:val="nil"/>
              <w:left w:val="single" w:sz="12" w:space="0" w:color="C4D79B"/>
              <w:bottom w:val="single" w:sz="4" w:space="0" w:color="000000"/>
              <w:right w:val="nil"/>
            </w:tcBorders>
            <w:vAlign w:val="center"/>
            <w:hideMark/>
          </w:tcPr>
          <w:p w14:paraId="34C2B7D0" w14:textId="77777777" w:rsidR="004D7AC0" w:rsidRPr="00A43471" w:rsidRDefault="004D7AC0" w:rsidP="004D7AC0">
            <w:pPr>
              <w:rPr>
                <w:rFonts w:cs="Arial"/>
                <w:color w:val="000000"/>
                <w:szCs w:val="22"/>
                <w:lang w:eastAsia="en-GB"/>
              </w:rPr>
            </w:pPr>
          </w:p>
        </w:tc>
        <w:tc>
          <w:tcPr>
            <w:tcW w:w="1229" w:type="dxa"/>
            <w:tcBorders>
              <w:top w:val="nil"/>
              <w:left w:val="nil"/>
              <w:bottom w:val="nil"/>
              <w:right w:val="nil"/>
            </w:tcBorders>
            <w:shd w:val="clear" w:color="auto" w:fill="auto"/>
            <w:noWrap/>
            <w:vAlign w:val="bottom"/>
            <w:hideMark/>
          </w:tcPr>
          <w:p w14:paraId="2D127A8F"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nil"/>
              <w:right w:val="nil"/>
            </w:tcBorders>
            <w:shd w:val="clear" w:color="auto" w:fill="auto"/>
            <w:noWrap/>
            <w:vAlign w:val="bottom"/>
            <w:hideMark/>
          </w:tcPr>
          <w:p w14:paraId="38F48B2E" w14:textId="77777777" w:rsidR="004D7AC0" w:rsidRPr="00A43471" w:rsidRDefault="004D7AC0" w:rsidP="004D7AC0">
            <w:pPr>
              <w:rPr>
                <w:rFonts w:cs="Arial"/>
                <w:color w:val="000000"/>
                <w:szCs w:val="22"/>
                <w:lang w:eastAsia="en-GB"/>
              </w:rPr>
            </w:pPr>
          </w:p>
        </w:tc>
        <w:tc>
          <w:tcPr>
            <w:tcW w:w="1229" w:type="dxa"/>
            <w:tcBorders>
              <w:top w:val="nil"/>
              <w:left w:val="nil"/>
              <w:bottom w:val="nil"/>
              <w:right w:val="nil"/>
            </w:tcBorders>
            <w:shd w:val="clear" w:color="auto" w:fill="auto"/>
            <w:noWrap/>
            <w:vAlign w:val="bottom"/>
            <w:hideMark/>
          </w:tcPr>
          <w:p w14:paraId="188C2547" w14:textId="77777777" w:rsidR="004D7AC0" w:rsidRPr="00A43471" w:rsidRDefault="004D7AC0" w:rsidP="004D7AC0">
            <w:pPr>
              <w:rPr>
                <w:rFonts w:cs="Arial"/>
                <w:szCs w:val="22"/>
                <w:lang w:eastAsia="en-GB"/>
              </w:rPr>
            </w:pPr>
          </w:p>
        </w:tc>
        <w:tc>
          <w:tcPr>
            <w:tcW w:w="1651" w:type="dxa"/>
            <w:tcBorders>
              <w:top w:val="nil"/>
              <w:left w:val="nil"/>
              <w:bottom w:val="nil"/>
              <w:right w:val="nil"/>
            </w:tcBorders>
            <w:shd w:val="clear" w:color="auto" w:fill="auto"/>
            <w:noWrap/>
            <w:vAlign w:val="bottom"/>
            <w:hideMark/>
          </w:tcPr>
          <w:p w14:paraId="537EC5CC" w14:textId="77777777" w:rsidR="004D7AC0" w:rsidRPr="00A43471" w:rsidRDefault="004D7AC0" w:rsidP="004D7AC0">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4176F502" w14:textId="77777777" w:rsidR="004D7AC0" w:rsidRPr="00A43471" w:rsidRDefault="004D7AC0" w:rsidP="004D7AC0">
            <w:pPr>
              <w:rPr>
                <w:rFonts w:cs="Arial"/>
                <w:szCs w:val="22"/>
                <w:lang w:eastAsia="en-GB"/>
              </w:rPr>
            </w:pPr>
          </w:p>
        </w:tc>
        <w:tc>
          <w:tcPr>
            <w:tcW w:w="1418" w:type="dxa"/>
            <w:gridSpan w:val="2"/>
            <w:tcBorders>
              <w:top w:val="nil"/>
              <w:left w:val="nil"/>
              <w:bottom w:val="single" w:sz="4" w:space="0" w:color="auto"/>
              <w:right w:val="single" w:sz="12" w:space="0" w:color="C4D79B"/>
            </w:tcBorders>
            <w:shd w:val="clear" w:color="000000" w:fill="C4D79B"/>
            <w:noWrap/>
            <w:vAlign w:val="bottom"/>
            <w:hideMark/>
          </w:tcPr>
          <w:p w14:paraId="0BA215A9" w14:textId="3257DF21" w:rsidR="004D7AC0" w:rsidRPr="00A43471" w:rsidRDefault="004D7AC0" w:rsidP="004D7AC0">
            <w:pPr>
              <w:rPr>
                <w:rFonts w:cs="Arial"/>
                <w:color w:val="000000"/>
                <w:szCs w:val="22"/>
                <w:lang w:eastAsia="en-GB"/>
              </w:rPr>
            </w:pPr>
            <w:r w:rsidRPr="00A43471">
              <w:rPr>
                <w:rFonts w:cs="Arial"/>
                <w:color w:val="000000"/>
                <w:szCs w:val="22"/>
                <w:lang w:eastAsia="en-GB"/>
              </w:rPr>
              <w:t xml:space="preserve">-   </w:t>
            </w:r>
          </w:p>
        </w:tc>
      </w:tr>
      <w:tr w:rsidR="004D7AC0" w:rsidRPr="00A43471" w14:paraId="38A020F4" w14:textId="77777777" w:rsidTr="004D7AC0">
        <w:trPr>
          <w:gridBefore w:val="1"/>
          <w:wBefore w:w="15" w:type="dxa"/>
          <w:trHeight w:val="360"/>
        </w:trPr>
        <w:tc>
          <w:tcPr>
            <w:tcW w:w="2302" w:type="dxa"/>
            <w:vMerge w:val="restart"/>
            <w:tcBorders>
              <w:top w:val="single" w:sz="4" w:space="0" w:color="auto"/>
              <w:left w:val="single" w:sz="12" w:space="0" w:color="C4D79B"/>
              <w:bottom w:val="single" w:sz="12" w:space="0" w:color="C4D79B"/>
              <w:right w:val="nil"/>
            </w:tcBorders>
            <w:shd w:val="clear" w:color="auto" w:fill="auto"/>
            <w:vAlign w:val="center"/>
            <w:hideMark/>
          </w:tcPr>
          <w:p w14:paraId="15CDCEDB" w14:textId="77777777" w:rsidR="004D7AC0" w:rsidRPr="00A43471" w:rsidRDefault="004D7AC0" w:rsidP="004D7AC0">
            <w:pPr>
              <w:rPr>
                <w:rFonts w:cs="Arial"/>
                <w:b/>
                <w:bCs/>
                <w:color w:val="000000"/>
                <w:szCs w:val="22"/>
                <w:lang w:eastAsia="en-GB"/>
              </w:rPr>
            </w:pPr>
            <w:r w:rsidRPr="00A43471">
              <w:rPr>
                <w:rFonts w:cs="Arial"/>
                <w:b/>
                <w:bCs/>
                <w:color w:val="000000"/>
                <w:szCs w:val="22"/>
                <w:lang w:eastAsia="en-GB"/>
              </w:rPr>
              <w:t>TOTAL</w:t>
            </w:r>
          </w:p>
        </w:tc>
        <w:tc>
          <w:tcPr>
            <w:tcW w:w="1229" w:type="dxa"/>
            <w:tcBorders>
              <w:top w:val="single" w:sz="4" w:space="0" w:color="auto"/>
              <w:left w:val="nil"/>
              <w:bottom w:val="nil"/>
              <w:right w:val="nil"/>
            </w:tcBorders>
            <w:shd w:val="clear" w:color="auto" w:fill="auto"/>
            <w:noWrap/>
            <w:vAlign w:val="bottom"/>
            <w:hideMark/>
          </w:tcPr>
          <w:p w14:paraId="138568F9" w14:textId="77777777" w:rsidR="004D7AC0" w:rsidRPr="00A43471" w:rsidRDefault="004D7AC0" w:rsidP="004D7AC0">
            <w:pPr>
              <w:rPr>
                <w:rFonts w:cs="Arial"/>
                <w:b/>
                <w:bCs/>
                <w:color w:val="000000"/>
                <w:szCs w:val="22"/>
                <w:lang w:eastAsia="en-GB"/>
              </w:rPr>
            </w:pPr>
            <w:r w:rsidRPr="00A43471">
              <w:rPr>
                <w:rFonts w:cs="Arial"/>
                <w:b/>
                <w:bCs/>
                <w:color w:val="000000"/>
                <w:szCs w:val="22"/>
                <w:lang w:eastAsia="en-GB"/>
              </w:rPr>
              <w:t>2019/20</w:t>
            </w:r>
          </w:p>
        </w:tc>
        <w:tc>
          <w:tcPr>
            <w:tcW w:w="1229" w:type="dxa"/>
            <w:tcBorders>
              <w:top w:val="single" w:sz="4" w:space="0" w:color="auto"/>
              <w:left w:val="nil"/>
              <w:bottom w:val="nil"/>
              <w:right w:val="nil"/>
            </w:tcBorders>
            <w:shd w:val="clear" w:color="auto" w:fill="auto"/>
            <w:noWrap/>
            <w:vAlign w:val="bottom"/>
            <w:hideMark/>
          </w:tcPr>
          <w:p w14:paraId="0018E1E4" w14:textId="24984EFE" w:rsidR="004D7AC0" w:rsidRPr="00A43471" w:rsidRDefault="0082678A" w:rsidP="004D7AC0">
            <w:pPr>
              <w:rPr>
                <w:rFonts w:cs="Arial"/>
                <w:b/>
                <w:bCs/>
                <w:color w:val="000000"/>
                <w:szCs w:val="22"/>
                <w:lang w:eastAsia="en-GB"/>
              </w:rPr>
            </w:pPr>
            <w:r>
              <w:rPr>
                <w:rFonts w:cs="Arial"/>
                <w:b/>
                <w:bCs/>
                <w:color w:val="000000"/>
                <w:szCs w:val="22"/>
                <w:lang w:eastAsia="en-GB"/>
              </w:rPr>
              <w:t>5</w:t>
            </w:r>
            <w:r w:rsidR="004D7AC0" w:rsidRPr="00A43471">
              <w:rPr>
                <w:rFonts w:cs="Arial"/>
                <w:b/>
                <w:bCs/>
                <w:color w:val="000000"/>
                <w:szCs w:val="22"/>
                <w:lang w:eastAsia="en-GB"/>
              </w:rPr>
              <w:t xml:space="preserve">80,766 </w:t>
            </w:r>
          </w:p>
        </w:tc>
        <w:tc>
          <w:tcPr>
            <w:tcW w:w="1229" w:type="dxa"/>
            <w:tcBorders>
              <w:top w:val="single" w:sz="4" w:space="0" w:color="auto"/>
              <w:left w:val="nil"/>
              <w:bottom w:val="nil"/>
              <w:right w:val="nil"/>
            </w:tcBorders>
            <w:shd w:val="clear" w:color="auto" w:fill="auto"/>
            <w:noWrap/>
            <w:vAlign w:val="bottom"/>
            <w:hideMark/>
          </w:tcPr>
          <w:p w14:paraId="559E9B9A" w14:textId="1783AB4F" w:rsidR="004D7AC0" w:rsidRPr="00A43471" w:rsidRDefault="004D7AC0" w:rsidP="004D7AC0">
            <w:pPr>
              <w:rPr>
                <w:rFonts w:cs="Arial"/>
                <w:b/>
                <w:bCs/>
                <w:color w:val="000000"/>
                <w:szCs w:val="22"/>
                <w:lang w:eastAsia="en-GB"/>
              </w:rPr>
            </w:pPr>
            <w:r w:rsidRPr="00A43471">
              <w:rPr>
                <w:rFonts w:cs="Arial"/>
                <w:b/>
                <w:bCs/>
                <w:color w:val="000000"/>
                <w:szCs w:val="22"/>
                <w:lang w:eastAsia="en-GB"/>
              </w:rPr>
              <w:t xml:space="preserve">36,456 </w:t>
            </w:r>
          </w:p>
        </w:tc>
        <w:tc>
          <w:tcPr>
            <w:tcW w:w="1651" w:type="dxa"/>
            <w:tcBorders>
              <w:top w:val="single" w:sz="4" w:space="0" w:color="auto"/>
              <w:left w:val="nil"/>
              <w:bottom w:val="nil"/>
              <w:right w:val="nil"/>
            </w:tcBorders>
            <w:shd w:val="clear" w:color="auto" w:fill="auto"/>
            <w:noWrap/>
            <w:vAlign w:val="bottom"/>
            <w:hideMark/>
          </w:tcPr>
          <w:p w14:paraId="40C4507E" w14:textId="77777777" w:rsidR="004D7AC0" w:rsidRPr="00A43471" w:rsidRDefault="004D7AC0" w:rsidP="004D7AC0">
            <w:pPr>
              <w:rPr>
                <w:rFonts w:cs="Arial"/>
                <w:b/>
                <w:bCs/>
                <w:color w:val="000000"/>
                <w:szCs w:val="22"/>
                <w:lang w:eastAsia="en-GB"/>
              </w:rPr>
            </w:pPr>
            <w:r w:rsidRPr="00A43471">
              <w:rPr>
                <w:rFonts w:cs="Arial"/>
                <w:b/>
                <w:bCs/>
                <w:color w:val="000000"/>
                <w:szCs w:val="22"/>
                <w:lang w:eastAsia="en-GB"/>
              </w:rPr>
              <w:t xml:space="preserve">          1,678 </w:t>
            </w:r>
          </w:p>
        </w:tc>
        <w:tc>
          <w:tcPr>
            <w:tcW w:w="1559" w:type="dxa"/>
            <w:tcBorders>
              <w:top w:val="single" w:sz="4" w:space="0" w:color="auto"/>
              <w:left w:val="nil"/>
              <w:bottom w:val="nil"/>
              <w:right w:val="nil"/>
            </w:tcBorders>
            <w:shd w:val="clear" w:color="auto" w:fill="auto"/>
            <w:noWrap/>
            <w:vAlign w:val="bottom"/>
            <w:hideMark/>
          </w:tcPr>
          <w:p w14:paraId="4650C851" w14:textId="3983A511" w:rsidR="004D7AC0" w:rsidRPr="00A43471" w:rsidRDefault="004D7AC0" w:rsidP="004D7AC0">
            <w:pPr>
              <w:rPr>
                <w:rFonts w:cs="Arial"/>
                <w:b/>
                <w:bCs/>
                <w:color w:val="000000"/>
                <w:szCs w:val="22"/>
                <w:lang w:eastAsia="en-GB"/>
              </w:rPr>
            </w:pPr>
            <w:r w:rsidRPr="00A43471">
              <w:rPr>
                <w:rFonts w:cs="Arial"/>
                <w:b/>
                <w:bCs/>
                <w:color w:val="000000"/>
                <w:szCs w:val="22"/>
                <w:lang w:eastAsia="en-GB"/>
              </w:rPr>
              <w:t xml:space="preserve">128,899 </w:t>
            </w:r>
          </w:p>
        </w:tc>
        <w:tc>
          <w:tcPr>
            <w:tcW w:w="1418" w:type="dxa"/>
            <w:gridSpan w:val="2"/>
            <w:tcBorders>
              <w:top w:val="nil"/>
              <w:left w:val="nil"/>
              <w:bottom w:val="nil"/>
              <w:right w:val="single" w:sz="12" w:space="0" w:color="C4D79B"/>
            </w:tcBorders>
            <w:shd w:val="clear" w:color="000000" w:fill="C4D79B"/>
            <w:noWrap/>
            <w:vAlign w:val="bottom"/>
            <w:hideMark/>
          </w:tcPr>
          <w:p w14:paraId="24219D66" w14:textId="1428A328" w:rsidR="004D7AC0" w:rsidRPr="00A43471" w:rsidRDefault="004D7AC0" w:rsidP="004D7AC0">
            <w:pPr>
              <w:rPr>
                <w:rFonts w:cs="Arial"/>
                <w:b/>
                <w:bCs/>
                <w:color w:val="000000"/>
                <w:szCs w:val="22"/>
                <w:lang w:eastAsia="en-GB"/>
              </w:rPr>
            </w:pPr>
            <w:r w:rsidRPr="00A43471">
              <w:rPr>
                <w:rFonts w:cs="Arial"/>
                <w:b/>
                <w:bCs/>
                <w:color w:val="000000"/>
                <w:szCs w:val="22"/>
                <w:lang w:eastAsia="en-GB"/>
              </w:rPr>
              <w:t xml:space="preserve">747,799 </w:t>
            </w:r>
          </w:p>
        </w:tc>
      </w:tr>
      <w:tr w:rsidR="004D7AC0" w:rsidRPr="00A43471" w14:paraId="7F1E35C1" w14:textId="77777777" w:rsidTr="004D7AC0">
        <w:trPr>
          <w:gridBefore w:val="1"/>
          <w:wBefore w:w="15" w:type="dxa"/>
          <w:trHeight w:val="65"/>
        </w:trPr>
        <w:tc>
          <w:tcPr>
            <w:tcW w:w="2302" w:type="dxa"/>
            <w:vMerge/>
            <w:tcBorders>
              <w:top w:val="single" w:sz="4" w:space="0" w:color="auto"/>
              <w:left w:val="single" w:sz="12" w:space="0" w:color="C4D79B"/>
              <w:bottom w:val="single" w:sz="12" w:space="0" w:color="C4D79B"/>
              <w:right w:val="nil"/>
            </w:tcBorders>
            <w:vAlign w:val="center"/>
            <w:hideMark/>
          </w:tcPr>
          <w:p w14:paraId="721D14BE" w14:textId="77777777" w:rsidR="004D7AC0" w:rsidRPr="00A43471" w:rsidRDefault="004D7AC0" w:rsidP="004D7AC0">
            <w:pPr>
              <w:rPr>
                <w:rFonts w:cs="Arial"/>
                <w:b/>
                <w:bCs/>
                <w:color w:val="000000"/>
                <w:szCs w:val="22"/>
                <w:lang w:eastAsia="en-GB"/>
              </w:rPr>
            </w:pPr>
          </w:p>
        </w:tc>
        <w:tc>
          <w:tcPr>
            <w:tcW w:w="1229" w:type="dxa"/>
            <w:tcBorders>
              <w:top w:val="nil"/>
              <w:left w:val="nil"/>
              <w:bottom w:val="single" w:sz="12" w:space="0" w:color="C4D79B"/>
              <w:right w:val="nil"/>
            </w:tcBorders>
            <w:shd w:val="clear" w:color="auto" w:fill="auto"/>
            <w:noWrap/>
            <w:vAlign w:val="bottom"/>
            <w:hideMark/>
          </w:tcPr>
          <w:p w14:paraId="60B1B0A3" w14:textId="77777777" w:rsidR="004D7AC0" w:rsidRPr="00A43471" w:rsidRDefault="004D7AC0" w:rsidP="004D7AC0">
            <w:pPr>
              <w:rPr>
                <w:rFonts w:cs="Arial"/>
                <w:color w:val="000000"/>
                <w:szCs w:val="22"/>
                <w:lang w:eastAsia="en-GB"/>
              </w:rPr>
            </w:pPr>
            <w:r w:rsidRPr="00A43471">
              <w:rPr>
                <w:rFonts w:cs="Arial"/>
                <w:color w:val="000000"/>
                <w:szCs w:val="22"/>
                <w:lang w:eastAsia="en-GB"/>
              </w:rPr>
              <w:t>2018/19</w:t>
            </w:r>
          </w:p>
        </w:tc>
        <w:tc>
          <w:tcPr>
            <w:tcW w:w="1229" w:type="dxa"/>
            <w:tcBorders>
              <w:top w:val="nil"/>
              <w:left w:val="nil"/>
              <w:bottom w:val="single" w:sz="12" w:space="0" w:color="C4D79B"/>
              <w:right w:val="nil"/>
            </w:tcBorders>
            <w:shd w:val="clear" w:color="auto" w:fill="auto"/>
            <w:noWrap/>
            <w:vAlign w:val="bottom"/>
            <w:hideMark/>
          </w:tcPr>
          <w:p w14:paraId="1BD2418C" w14:textId="4E8812CD" w:rsidR="004D7AC0" w:rsidRPr="00A43471" w:rsidRDefault="004D7AC0" w:rsidP="004D7AC0">
            <w:pPr>
              <w:rPr>
                <w:rFonts w:cs="Arial"/>
                <w:color w:val="000000"/>
                <w:szCs w:val="22"/>
                <w:lang w:eastAsia="en-GB"/>
              </w:rPr>
            </w:pPr>
            <w:r w:rsidRPr="00A43471">
              <w:rPr>
                <w:rFonts w:cs="Arial"/>
                <w:color w:val="000000"/>
                <w:szCs w:val="22"/>
                <w:lang w:eastAsia="en-GB"/>
              </w:rPr>
              <w:t xml:space="preserve">517,955 </w:t>
            </w:r>
          </w:p>
        </w:tc>
        <w:tc>
          <w:tcPr>
            <w:tcW w:w="1229" w:type="dxa"/>
            <w:tcBorders>
              <w:top w:val="nil"/>
              <w:left w:val="nil"/>
              <w:bottom w:val="single" w:sz="12" w:space="0" w:color="C4D79B"/>
              <w:right w:val="nil"/>
            </w:tcBorders>
            <w:shd w:val="clear" w:color="auto" w:fill="auto"/>
            <w:noWrap/>
            <w:vAlign w:val="bottom"/>
            <w:hideMark/>
          </w:tcPr>
          <w:p w14:paraId="6C2953A6" w14:textId="19B54D0F" w:rsidR="004D7AC0" w:rsidRPr="00A43471" w:rsidRDefault="0082678A" w:rsidP="004D7AC0">
            <w:pPr>
              <w:rPr>
                <w:rFonts w:cs="Arial"/>
                <w:color w:val="000000"/>
                <w:szCs w:val="22"/>
                <w:lang w:eastAsia="en-GB"/>
              </w:rPr>
            </w:pPr>
            <w:r>
              <w:rPr>
                <w:rFonts w:cs="Arial"/>
                <w:color w:val="000000"/>
                <w:szCs w:val="22"/>
                <w:lang w:eastAsia="en-GB"/>
              </w:rPr>
              <w:t>1</w:t>
            </w:r>
            <w:r w:rsidR="004D7AC0" w:rsidRPr="00A43471">
              <w:rPr>
                <w:rFonts w:cs="Arial"/>
                <w:color w:val="000000"/>
                <w:szCs w:val="22"/>
                <w:lang w:eastAsia="en-GB"/>
              </w:rPr>
              <w:t xml:space="preserve">01,969 </w:t>
            </w:r>
          </w:p>
        </w:tc>
        <w:tc>
          <w:tcPr>
            <w:tcW w:w="1651" w:type="dxa"/>
            <w:tcBorders>
              <w:top w:val="nil"/>
              <w:left w:val="nil"/>
              <w:bottom w:val="single" w:sz="12" w:space="0" w:color="C4D79B"/>
              <w:right w:val="nil"/>
            </w:tcBorders>
            <w:shd w:val="clear" w:color="auto" w:fill="auto"/>
            <w:noWrap/>
            <w:vAlign w:val="bottom"/>
            <w:hideMark/>
          </w:tcPr>
          <w:p w14:paraId="087B0590" w14:textId="77777777" w:rsidR="004D7AC0" w:rsidRPr="00A43471" w:rsidRDefault="004D7AC0" w:rsidP="004D7AC0">
            <w:pPr>
              <w:rPr>
                <w:rFonts w:cs="Arial"/>
                <w:color w:val="000000"/>
                <w:szCs w:val="22"/>
                <w:lang w:eastAsia="en-GB"/>
              </w:rPr>
            </w:pPr>
            <w:r w:rsidRPr="00A43471">
              <w:rPr>
                <w:rFonts w:cs="Arial"/>
                <w:color w:val="000000"/>
                <w:szCs w:val="22"/>
                <w:lang w:eastAsia="en-GB"/>
              </w:rPr>
              <w:t xml:space="preserve">          1,395 </w:t>
            </w:r>
          </w:p>
        </w:tc>
        <w:tc>
          <w:tcPr>
            <w:tcW w:w="1559" w:type="dxa"/>
            <w:tcBorders>
              <w:top w:val="nil"/>
              <w:left w:val="nil"/>
              <w:bottom w:val="single" w:sz="12" w:space="0" w:color="C4D79B"/>
              <w:right w:val="nil"/>
            </w:tcBorders>
            <w:shd w:val="clear" w:color="auto" w:fill="auto"/>
            <w:noWrap/>
            <w:vAlign w:val="bottom"/>
            <w:hideMark/>
          </w:tcPr>
          <w:p w14:paraId="72911B55" w14:textId="245A2CF2" w:rsidR="004D7AC0" w:rsidRPr="00A43471" w:rsidRDefault="004D7AC0" w:rsidP="004D7AC0">
            <w:pPr>
              <w:rPr>
                <w:rFonts w:cs="Arial"/>
                <w:color w:val="000000"/>
                <w:szCs w:val="22"/>
                <w:lang w:eastAsia="en-GB"/>
              </w:rPr>
            </w:pPr>
            <w:r w:rsidRPr="00A43471">
              <w:rPr>
                <w:rFonts w:cs="Arial"/>
                <w:color w:val="000000"/>
                <w:szCs w:val="22"/>
                <w:lang w:eastAsia="en-GB"/>
              </w:rPr>
              <w:t xml:space="preserve">105,440 </w:t>
            </w:r>
          </w:p>
        </w:tc>
        <w:tc>
          <w:tcPr>
            <w:tcW w:w="1418" w:type="dxa"/>
            <w:gridSpan w:val="2"/>
            <w:tcBorders>
              <w:top w:val="nil"/>
              <w:left w:val="nil"/>
              <w:bottom w:val="single" w:sz="12" w:space="0" w:color="C4D79B"/>
              <w:right w:val="single" w:sz="12" w:space="0" w:color="C4D79B"/>
            </w:tcBorders>
            <w:shd w:val="clear" w:color="000000" w:fill="C4D79B"/>
            <w:noWrap/>
            <w:vAlign w:val="bottom"/>
            <w:hideMark/>
          </w:tcPr>
          <w:p w14:paraId="43D28AA8" w14:textId="4945FD57" w:rsidR="004D7AC0" w:rsidRPr="00A43471" w:rsidRDefault="004D7AC0" w:rsidP="004D7AC0">
            <w:pPr>
              <w:rPr>
                <w:rFonts w:cs="Arial"/>
                <w:color w:val="000000"/>
                <w:szCs w:val="22"/>
                <w:lang w:eastAsia="en-GB"/>
              </w:rPr>
            </w:pPr>
            <w:r w:rsidRPr="00A43471">
              <w:rPr>
                <w:rFonts w:cs="Arial"/>
                <w:color w:val="000000"/>
                <w:szCs w:val="22"/>
                <w:lang w:eastAsia="en-GB"/>
              </w:rPr>
              <w:t xml:space="preserve">726,758 </w:t>
            </w:r>
          </w:p>
        </w:tc>
      </w:tr>
      <w:tr w:rsidR="004D7AC0" w:rsidRPr="00A43471" w14:paraId="2CD488C1" w14:textId="77777777" w:rsidTr="004D7AC0">
        <w:trPr>
          <w:gridAfter w:val="1"/>
          <w:wAfter w:w="1272" w:type="dxa"/>
          <w:trHeight w:val="300"/>
        </w:trPr>
        <w:tc>
          <w:tcPr>
            <w:tcW w:w="9360" w:type="dxa"/>
            <w:gridSpan w:val="8"/>
            <w:tcBorders>
              <w:top w:val="nil"/>
              <w:left w:val="nil"/>
              <w:bottom w:val="nil"/>
              <w:right w:val="nil"/>
            </w:tcBorders>
            <w:shd w:val="clear" w:color="auto" w:fill="auto"/>
            <w:noWrap/>
            <w:vAlign w:val="bottom"/>
            <w:hideMark/>
          </w:tcPr>
          <w:p w14:paraId="41EFEFEF" w14:textId="77777777" w:rsidR="004D7AC0" w:rsidRPr="00A43471" w:rsidRDefault="004D7AC0" w:rsidP="004D7AC0">
            <w:pPr>
              <w:rPr>
                <w:rFonts w:cs="Arial"/>
                <w:color w:val="000000"/>
                <w:szCs w:val="22"/>
                <w:lang w:eastAsia="en-GB"/>
              </w:rPr>
            </w:pPr>
            <w:r w:rsidRPr="00A43471">
              <w:rPr>
                <w:rFonts w:cs="Arial"/>
                <w:color w:val="000000"/>
                <w:szCs w:val="22"/>
                <w:lang w:eastAsia="en-GB"/>
              </w:rPr>
              <w:t>(1) Strategic Director of Peoples and Deputy Chief Executive resigned during 2018/19</w:t>
            </w:r>
          </w:p>
        </w:tc>
      </w:tr>
      <w:tr w:rsidR="004D7AC0" w:rsidRPr="00A43471" w14:paraId="3DFCF12B" w14:textId="77777777" w:rsidTr="004D7AC0">
        <w:trPr>
          <w:gridAfter w:val="1"/>
          <w:wAfter w:w="1272" w:type="dxa"/>
          <w:trHeight w:val="300"/>
        </w:trPr>
        <w:tc>
          <w:tcPr>
            <w:tcW w:w="9360" w:type="dxa"/>
            <w:gridSpan w:val="8"/>
            <w:tcBorders>
              <w:top w:val="nil"/>
              <w:left w:val="nil"/>
              <w:bottom w:val="nil"/>
              <w:right w:val="nil"/>
            </w:tcBorders>
            <w:shd w:val="clear" w:color="auto" w:fill="auto"/>
            <w:noWrap/>
            <w:vAlign w:val="bottom"/>
            <w:hideMark/>
          </w:tcPr>
          <w:p w14:paraId="708F2149" w14:textId="63B4E951" w:rsidR="004D7AC0" w:rsidRPr="00A43471" w:rsidRDefault="004D7AC0" w:rsidP="004D7AC0">
            <w:pPr>
              <w:rPr>
                <w:rFonts w:cs="Arial"/>
                <w:color w:val="000000"/>
                <w:szCs w:val="22"/>
                <w:lang w:eastAsia="en-GB"/>
              </w:rPr>
            </w:pPr>
            <w:r w:rsidRPr="00A43471">
              <w:rPr>
                <w:rFonts w:cs="Arial"/>
                <w:color w:val="000000"/>
                <w:szCs w:val="22"/>
                <w:lang w:eastAsia="en-GB"/>
              </w:rPr>
              <w:t>(2) Deputy Director of Peoples took on the DASS statutory role during 2018/19 and was appointed as</w:t>
            </w:r>
            <w:r w:rsidR="0082678A">
              <w:rPr>
                <w:rFonts w:cs="Arial"/>
                <w:color w:val="000000"/>
                <w:szCs w:val="22"/>
                <w:lang w:eastAsia="en-GB"/>
              </w:rPr>
              <w:t xml:space="preserve"> </w:t>
            </w:r>
            <w:r w:rsidR="0082678A" w:rsidRPr="0082678A">
              <w:rPr>
                <w:rFonts w:cs="Arial"/>
                <w:color w:val="000000"/>
                <w:szCs w:val="22"/>
                <w:lang w:eastAsia="en-GB"/>
              </w:rPr>
              <w:t>Strategic Director of Peoples from January 2019</w:t>
            </w:r>
          </w:p>
        </w:tc>
      </w:tr>
      <w:tr w:rsidR="004D7AC0" w:rsidRPr="00A43471" w14:paraId="1F4AD4E9" w14:textId="77777777" w:rsidTr="004D7AC0">
        <w:trPr>
          <w:gridAfter w:val="1"/>
          <w:wAfter w:w="1272" w:type="dxa"/>
          <w:trHeight w:val="300"/>
        </w:trPr>
        <w:tc>
          <w:tcPr>
            <w:tcW w:w="9360" w:type="dxa"/>
            <w:gridSpan w:val="8"/>
            <w:tcBorders>
              <w:top w:val="nil"/>
              <w:left w:val="nil"/>
              <w:bottom w:val="nil"/>
              <w:right w:val="nil"/>
            </w:tcBorders>
            <w:shd w:val="clear" w:color="auto" w:fill="auto"/>
            <w:noWrap/>
            <w:vAlign w:val="bottom"/>
            <w:hideMark/>
          </w:tcPr>
          <w:p w14:paraId="474E3B6E" w14:textId="3A130F00" w:rsidR="004D7AC0" w:rsidRPr="00A43471" w:rsidRDefault="004D7AC0" w:rsidP="0082678A">
            <w:pPr>
              <w:rPr>
                <w:rFonts w:cs="Arial"/>
                <w:color w:val="000000"/>
                <w:szCs w:val="22"/>
                <w:lang w:eastAsia="en-GB"/>
              </w:rPr>
            </w:pPr>
            <w:r w:rsidRPr="00A43471">
              <w:rPr>
                <w:rFonts w:cs="Arial"/>
                <w:color w:val="000000"/>
                <w:szCs w:val="22"/>
                <w:lang w:eastAsia="en-GB"/>
              </w:rPr>
              <w:t>(3) The Director of Places was shared with South Kesteven District Council in 2018/19.</w:t>
            </w:r>
            <w:r w:rsidR="0082678A">
              <w:rPr>
                <w:rFonts w:cs="Arial"/>
                <w:color w:val="000000"/>
                <w:szCs w:val="22"/>
                <w:lang w:eastAsia="en-GB"/>
              </w:rPr>
              <w:t xml:space="preserve"> Removed from Structure</w:t>
            </w:r>
          </w:p>
        </w:tc>
      </w:tr>
      <w:tr w:rsidR="004D7AC0" w:rsidRPr="00A43471" w14:paraId="0AC25566" w14:textId="77777777" w:rsidTr="004D7AC0">
        <w:trPr>
          <w:gridAfter w:val="1"/>
          <w:wAfter w:w="1272" w:type="dxa"/>
          <w:trHeight w:val="300"/>
        </w:trPr>
        <w:tc>
          <w:tcPr>
            <w:tcW w:w="9360" w:type="dxa"/>
            <w:gridSpan w:val="8"/>
            <w:tcBorders>
              <w:top w:val="nil"/>
              <w:left w:val="nil"/>
              <w:bottom w:val="nil"/>
              <w:right w:val="nil"/>
            </w:tcBorders>
            <w:shd w:val="clear" w:color="auto" w:fill="auto"/>
            <w:noWrap/>
            <w:vAlign w:val="bottom"/>
            <w:hideMark/>
          </w:tcPr>
          <w:p w14:paraId="72719732" w14:textId="59167AC6" w:rsidR="004D7AC0" w:rsidRPr="00A43471" w:rsidRDefault="004D7AC0" w:rsidP="0082678A">
            <w:pPr>
              <w:rPr>
                <w:rFonts w:cs="Arial"/>
                <w:color w:val="000000"/>
                <w:szCs w:val="22"/>
                <w:lang w:eastAsia="en-GB"/>
              </w:rPr>
            </w:pPr>
            <w:r w:rsidRPr="00A43471">
              <w:rPr>
                <w:rFonts w:cs="Arial"/>
                <w:color w:val="000000"/>
                <w:szCs w:val="22"/>
                <w:lang w:eastAsia="en-GB"/>
              </w:rPr>
              <w:t>(4) Po</w:t>
            </w:r>
            <w:r w:rsidR="0082678A">
              <w:rPr>
                <w:rFonts w:cs="Arial"/>
                <w:color w:val="000000"/>
                <w:szCs w:val="22"/>
                <w:lang w:eastAsia="en-GB"/>
              </w:rPr>
              <w:t>st vacant for part of 2018/19. Removed from structure</w:t>
            </w:r>
          </w:p>
        </w:tc>
      </w:tr>
      <w:tr w:rsidR="004D7AC0" w:rsidRPr="00A43471" w14:paraId="72FAF136" w14:textId="77777777" w:rsidTr="004D7AC0">
        <w:trPr>
          <w:gridAfter w:val="1"/>
          <w:wAfter w:w="1272" w:type="dxa"/>
          <w:trHeight w:val="300"/>
        </w:trPr>
        <w:tc>
          <w:tcPr>
            <w:tcW w:w="9360" w:type="dxa"/>
            <w:gridSpan w:val="8"/>
            <w:tcBorders>
              <w:top w:val="nil"/>
              <w:left w:val="nil"/>
              <w:bottom w:val="nil"/>
              <w:right w:val="nil"/>
            </w:tcBorders>
            <w:shd w:val="clear" w:color="auto" w:fill="auto"/>
            <w:noWrap/>
            <w:vAlign w:val="bottom"/>
            <w:hideMark/>
          </w:tcPr>
          <w:p w14:paraId="5C52E3D3" w14:textId="55F061B9" w:rsidR="004D7AC0" w:rsidRPr="00A43471" w:rsidRDefault="004D7AC0" w:rsidP="0082678A">
            <w:pPr>
              <w:rPr>
                <w:rFonts w:cs="Arial"/>
                <w:color w:val="000000"/>
                <w:szCs w:val="22"/>
                <w:lang w:eastAsia="en-GB"/>
              </w:rPr>
            </w:pPr>
            <w:r w:rsidRPr="00A43471">
              <w:rPr>
                <w:rFonts w:cs="Arial"/>
                <w:color w:val="000000"/>
                <w:szCs w:val="22"/>
                <w:lang w:eastAsia="en-GB"/>
              </w:rPr>
              <w:t>(5) The Strategic Director</w:t>
            </w:r>
            <w:r w:rsidR="0082678A">
              <w:rPr>
                <w:rFonts w:cs="Arial"/>
                <w:color w:val="000000"/>
                <w:szCs w:val="22"/>
                <w:lang w:eastAsia="en-GB"/>
              </w:rPr>
              <w:t xml:space="preserve"> of Places left during 2019/20.</w:t>
            </w:r>
          </w:p>
        </w:tc>
      </w:tr>
      <w:tr w:rsidR="004D7AC0" w:rsidRPr="00A43471" w14:paraId="6D00205C" w14:textId="77777777" w:rsidTr="004D7AC0">
        <w:trPr>
          <w:gridAfter w:val="1"/>
          <w:wAfter w:w="1272" w:type="dxa"/>
          <w:trHeight w:val="300"/>
        </w:trPr>
        <w:tc>
          <w:tcPr>
            <w:tcW w:w="9360" w:type="dxa"/>
            <w:gridSpan w:val="8"/>
            <w:tcBorders>
              <w:top w:val="nil"/>
              <w:left w:val="nil"/>
              <w:bottom w:val="nil"/>
              <w:right w:val="nil"/>
            </w:tcBorders>
            <w:shd w:val="clear" w:color="auto" w:fill="auto"/>
            <w:noWrap/>
            <w:vAlign w:val="bottom"/>
            <w:hideMark/>
          </w:tcPr>
          <w:p w14:paraId="2004A379" w14:textId="77777777" w:rsidR="004D7AC0" w:rsidRPr="00A43471" w:rsidRDefault="004D7AC0" w:rsidP="004D7AC0">
            <w:pPr>
              <w:rPr>
                <w:rFonts w:cs="Arial"/>
                <w:color w:val="000000"/>
                <w:szCs w:val="22"/>
                <w:lang w:eastAsia="en-GB"/>
              </w:rPr>
            </w:pPr>
            <w:r w:rsidRPr="00A43471">
              <w:rPr>
                <w:rFonts w:cs="Arial"/>
                <w:color w:val="000000"/>
                <w:szCs w:val="22"/>
                <w:lang w:eastAsia="en-GB"/>
              </w:rPr>
              <w:t>(6) Position of Strategic Director of Places appointed March 2020</w:t>
            </w:r>
          </w:p>
        </w:tc>
      </w:tr>
      <w:tr w:rsidR="004D7AC0" w:rsidRPr="00A43471" w14:paraId="7B0749F0" w14:textId="77777777" w:rsidTr="004D7AC0">
        <w:trPr>
          <w:gridAfter w:val="1"/>
          <w:wAfter w:w="1272" w:type="dxa"/>
          <w:trHeight w:val="300"/>
        </w:trPr>
        <w:tc>
          <w:tcPr>
            <w:tcW w:w="9360" w:type="dxa"/>
            <w:gridSpan w:val="8"/>
            <w:tcBorders>
              <w:top w:val="nil"/>
              <w:left w:val="nil"/>
              <w:bottom w:val="nil"/>
              <w:right w:val="nil"/>
            </w:tcBorders>
            <w:shd w:val="clear" w:color="auto" w:fill="auto"/>
            <w:noWrap/>
            <w:vAlign w:val="bottom"/>
            <w:hideMark/>
          </w:tcPr>
          <w:p w14:paraId="38E66D99" w14:textId="3CD21DD4" w:rsidR="004D7AC0" w:rsidRPr="00A43471" w:rsidRDefault="004D7AC0" w:rsidP="000D242A">
            <w:pPr>
              <w:rPr>
                <w:rFonts w:cs="Arial"/>
                <w:color w:val="000000"/>
                <w:szCs w:val="22"/>
                <w:lang w:eastAsia="en-GB"/>
              </w:rPr>
            </w:pPr>
            <w:r w:rsidRPr="00A43471">
              <w:rPr>
                <w:rFonts w:cs="Arial"/>
                <w:color w:val="000000"/>
                <w:szCs w:val="22"/>
                <w:lang w:eastAsia="en-GB"/>
              </w:rPr>
              <w:t xml:space="preserve">(7) The S151 Officer role was migrated </w:t>
            </w:r>
            <w:r w:rsidRPr="00E23E1C">
              <w:rPr>
                <w:rFonts w:cs="Arial"/>
                <w:color w:val="000000"/>
                <w:szCs w:val="22"/>
                <w:lang w:eastAsia="en-GB"/>
              </w:rPr>
              <w:t xml:space="preserve">to the </w:t>
            </w:r>
            <w:r w:rsidR="00091DE5" w:rsidRPr="00E23E1C">
              <w:rPr>
                <w:rFonts w:cs="Arial"/>
                <w:color w:val="000000"/>
                <w:szCs w:val="22"/>
                <w:lang w:eastAsia="en-GB"/>
              </w:rPr>
              <w:t xml:space="preserve">Strategic </w:t>
            </w:r>
            <w:r w:rsidRPr="00E23E1C">
              <w:rPr>
                <w:rFonts w:cs="Arial"/>
                <w:color w:val="000000"/>
                <w:szCs w:val="22"/>
                <w:lang w:eastAsia="en-GB"/>
              </w:rPr>
              <w:t>Director of Resources</w:t>
            </w:r>
            <w:r w:rsidR="0082678A" w:rsidRPr="00E23E1C">
              <w:rPr>
                <w:rFonts w:cs="Arial"/>
                <w:color w:val="000000"/>
                <w:szCs w:val="22"/>
                <w:lang w:eastAsia="en-GB"/>
              </w:rPr>
              <w:t xml:space="preserve"> role when the Assistant Director was appointed as the</w:t>
            </w:r>
            <w:r w:rsidR="00091DE5" w:rsidRPr="00E23E1C">
              <w:rPr>
                <w:rFonts w:cs="Arial"/>
                <w:color w:val="000000"/>
                <w:szCs w:val="22"/>
                <w:lang w:eastAsia="en-GB"/>
              </w:rPr>
              <w:t xml:space="preserve"> Strategic</w:t>
            </w:r>
            <w:r w:rsidR="0082678A" w:rsidRPr="00E23E1C">
              <w:rPr>
                <w:rFonts w:cs="Arial"/>
                <w:color w:val="000000"/>
                <w:szCs w:val="22"/>
                <w:lang w:eastAsia="en-GB"/>
              </w:rPr>
              <w:t xml:space="preserve"> Director</w:t>
            </w:r>
            <w:r w:rsidR="0082678A" w:rsidRPr="0082678A">
              <w:rPr>
                <w:rFonts w:cs="Arial"/>
                <w:color w:val="000000"/>
                <w:szCs w:val="22"/>
                <w:lang w:eastAsia="en-GB"/>
              </w:rPr>
              <w:t xml:space="preserve"> of Resources</w:t>
            </w:r>
          </w:p>
        </w:tc>
      </w:tr>
      <w:tr w:rsidR="004D7AC0" w:rsidRPr="00A43471" w14:paraId="04B5EBF5" w14:textId="77777777" w:rsidTr="004D7AC0">
        <w:trPr>
          <w:gridAfter w:val="1"/>
          <w:wAfter w:w="1272" w:type="dxa"/>
          <w:trHeight w:val="300"/>
        </w:trPr>
        <w:tc>
          <w:tcPr>
            <w:tcW w:w="9360" w:type="dxa"/>
            <w:gridSpan w:val="8"/>
            <w:tcBorders>
              <w:top w:val="nil"/>
              <w:left w:val="nil"/>
              <w:bottom w:val="nil"/>
              <w:right w:val="nil"/>
            </w:tcBorders>
            <w:shd w:val="clear" w:color="auto" w:fill="auto"/>
            <w:noWrap/>
            <w:vAlign w:val="bottom"/>
            <w:hideMark/>
          </w:tcPr>
          <w:p w14:paraId="2C42409F" w14:textId="690CDECD" w:rsidR="004D7AC0" w:rsidRPr="00A43471" w:rsidRDefault="004D7AC0" w:rsidP="0082678A">
            <w:pPr>
              <w:rPr>
                <w:rFonts w:cs="Arial"/>
                <w:color w:val="000000"/>
                <w:szCs w:val="22"/>
                <w:lang w:eastAsia="en-GB"/>
              </w:rPr>
            </w:pPr>
            <w:r w:rsidRPr="00A43471">
              <w:rPr>
                <w:rFonts w:cs="Arial"/>
                <w:color w:val="000000"/>
                <w:szCs w:val="22"/>
                <w:lang w:eastAsia="en-GB"/>
              </w:rPr>
              <w:t xml:space="preserve">(8) </w:t>
            </w:r>
            <w:r w:rsidR="0082678A">
              <w:rPr>
                <w:rFonts w:cs="Arial"/>
                <w:color w:val="000000"/>
                <w:szCs w:val="22"/>
                <w:lang w:eastAsia="en-GB"/>
              </w:rPr>
              <w:t>Appointed partway through 2018/19</w:t>
            </w:r>
          </w:p>
        </w:tc>
      </w:tr>
      <w:tr w:rsidR="004D7AC0" w:rsidRPr="00A43471" w14:paraId="09E1BD4F" w14:textId="77777777" w:rsidTr="004D7AC0">
        <w:trPr>
          <w:gridAfter w:val="1"/>
          <w:wAfter w:w="1272" w:type="dxa"/>
          <w:trHeight w:val="300"/>
        </w:trPr>
        <w:tc>
          <w:tcPr>
            <w:tcW w:w="9360" w:type="dxa"/>
            <w:gridSpan w:val="8"/>
            <w:tcBorders>
              <w:top w:val="nil"/>
              <w:left w:val="nil"/>
              <w:bottom w:val="nil"/>
              <w:right w:val="nil"/>
            </w:tcBorders>
            <w:shd w:val="clear" w:color="auto" w:fill="auto"/>
            <w:noWrap/>
            <w:vAlign w:val="bottom"/>
            <w:hideMark/>
          </w:tcPr>
          <w:p w14:paraId="409FA1CC" w14:textId="77777777" w:rsidR="004D7AC0" w:rsidRDefault="004D7AC0" w:rsidP="004D7AC0">
            <w:pPr>
              <w:rPr>
                <w:rFonts w:cs="Arial"/>
                <w:color w:val="000000"/>
                <w:szCs w:val="22"/>
                <w:lang w:eastAsia="en-GB"/>
              </w:rPr>
            </w:pPr>
            <w:r w:rsidRPr="00A43471">
              <w:rPr>
                <w:rFonts w:cs="Arial"/>
                <w:color w:val="000000"/>
                <w:szCs w:val="22"/>
                <w:lang w:eastAsia="en-GB"/>
              </w:rPr>
              <w:t xml:space="preserve">(9)  The Director of Public Health is </w:t>
            </w:r>
            <w:r w:rsidR="00793CC6" w:rsidRPr="00A43471">
              <w:rPr>
                <w:rFonts w:cs="Arial"/>
                <w:color w:val="000000"/>
                <w:szCs w:val="22"/>
                <w:lang w:eastAsia="en-GB"/>
              </w:rPr>
              <w:t>shared</w:t>
            </w:r>
            <w:r w:rsidRPr="00A43471">
              <w:rPr>
                <w:rFonts w:cs="Arial"/>
                <w:color w:val="000000"/>
                <w:szCs w:val="22"/>
                <w:lang w:eastAsia="en-GB"/>
              </w:rPr>
              <w:t xml:space="preserve"> with Leicestershire County Council.  Rutland County</w:t>
            </w:r>
            <w:r w:rsidR="0082678A">
              <w:rPr>
                <w:rFonts w:cs="Arial"/>
                <w:color w:val="000000"/>
                <w:szCs w:val="22"/>
                <w:lang w:eastAsia="en-GB"/>
              </w:rPr>
              <w:t xml:space="preserve"> </w:t>
            </w:r>
            <w:r w:rsidR="0082678A" w:rsidRPr="00A43471">
              <w:rPr>
                <w:rFonts w:cs="Arial"/>
                <w:color w:val="000000"/>
                <w:szCs w:val="22"/>
                <w:lang w:eastAsia="en-GB"/>
              </w:rPr>
              <w:t>Council is recharged a proportion of the salary costs.</w:t>
            </w:r>
          </w:p>
          <w:p w14:paraId="54BA4B25" w14:textId="0E068BA6" w:rsidR="000D242A" w:rsidRPr="00A43471" w:rsidRDefault="000D242A" w:rsidP="004D7AC0">
            <w:pPr>
              <w:rPr>
                <w:rFonts w:cs="Arial"/>
                <w:color w:val="000000"/>
                <w:szCs w:val="22"/>
                <w:lang w:eastAsia="en-GB"/>
              </w:rPr>
            </w:pPr>
          </w:p>
        </w:tc>
      </w:tr>
    </w:tbl>
    <w:p w14:paraId="2C97B518" w14:textId="77777777" w:rsidR="00433B19" w:rsidRPr="000127EF" w:rsidRDefault="003654D8" w:rsidP="009171A6">
      <w:pPr>
        <w:spacing w:before="120" w:after="120"/>
        <w:jc w:val="both"/>
        <w:rPr>
          <w:rFonts w:cs="Arial"/>
          <w:bCs/>
          <w:szCs w:val="22"/>
        </w:rPr>
      </w:pPr>
      <w:r w:rsidRPr="000127EF">
        <w:lastRenderedPageBreak/>
        <w:t xml:space="preserve">The number of employees whose remuneration, including lump sum retirement payments but not any associated pension strain, was £50,000 or more in bands of £5,000 is shown </w:t>
      </w:r>
      <w:r w:rsidR="0000656C" w:rsidRPr="000127EF">
        <w:t>below.</w:t>
      </w:r>
    </w:p>
    <w:tbl>
      <w:tblPr>
        <w:tblStyle w:val="TableGrid"/>
        <w:tblW w:w="8534"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9"/>
        <w:gridCol w:w="5536"/>
        <w:gridCol w:w="1539"/>
      </w:tblGrid>
      <w:tr w:rsidR="00006D38" w:rsidRPr="000127EF" w14:paraId="2D82C325" w14:textId="77777777" w:rsidTr="00EA7CF0">
        <w:trPr>
          <w:trHeight w:val="246"/>
          <w:jc w:val="center"/>
        </w:trPr>
        <w:tc>
          <w:tcPr>
            <w:tcW w:w="1459" w:type="dxa"/>
          </w:tcPr>
          <w:p w14:paraId="530B1523" w14:textId="5255C876" w:rsidR="00006D38" w:rsidRPr="000127EF" w:rsidRDefault="00F310DA" w:rsidP="001F2D6B">
            <w:pPr>
              <w:jc w:val="center"/>
              <w:rPr>
                <w:b/>
              </w:rPr>
            </w:pPr>
            <w:r>
              <w:rPr>
                <w:b/>
              </w:rPr>
              <w:t>2018/</w:t>
            </w:r>
            <w:r w:rsidR="00707B59">
              <w:rPr>
                <w:b/>
              </w:rPr>
              <w:t>1</w:t>
            </w:r>
            <w:r>
              <w:rPr>
                <w:b/>
              </w:rPr>
              <w:t>9</w:t>
            </w:r>
          </w:p>
        </w:tc>
        <w:tc>
          <w:tcPr>
            <w:tcW w:w="5536" w:type="dxa"/>
            <w:vAlign w:val="center"/>
          </w:tcPr>
          <w:p w14:paraId="6B36BB20" w14:textId="77777777" w:rsidR="00006D38" w:rsidRPr="000127EF" w:rsidRDefault="00006D38" w:rsidP="00317DB8">
            <w:pPr>
              <w:jc w:val="center"/>
              <w:rPr>
                <w:b/>
              </w:rPr>
            </w:pPr>
            <w:r w:rsidRPr="000127EF">
              <w:rPr>
                <w:b/>
              </w:rPr>
              <w:t>Remuneration Bands</w:t>
            </w:r>
          </w:p>
        </w:tc>
        <w:tc>
          <w:tcPr>
            <w:tcW w:w="1539" w:type="dxa"/>
          </w:tcPr>
          <w:p w14:paraId="2DB5AB8B" w14:textId="34F2BB3E" w:rsidR="00006D38" w:rsidRPr="004D7AC0" w:rsidRDefault="00F310DA" w:rsidP="00317DB8">
            <w:pPr>
              <w:jc w:val="center"/>
              <w:rPr>
                <w:b/>
              </w:rPr>
            </w:pPr>
            <w:r w:rsidRPr="004D7AC0">
              <w:rPr>
                <w:b/>
              </w:rPr>
              <w:t>2019/20</w:t>
            </w:r>
          </w:p>
        </w:tc>
      </w:tr>
      <w:tr w:rsidR="00006D38" w:rsidRPr="000127EF" w14:paraId="490921BA" w14:textId="77777777" w:rsidTr="00EA7CF0">
        <w:trPr>
          <w:trHeight w:val="492"/>
          <w:jc w:val="center"/>
        </w:trPr>
        <w:tc>
          <w:tcPr>
            <w:tcW w:w="1459" w:type="dxa"/>
          </w:tcPr>
          <w:p w14:paraId="0C853F81" w14:textId="77777777" w:rsidR="00006D38" w:rsidRPr="000127EF" w:rsidRDefault="00006D38" w:rsidP="001F2D6B">
            <w:pPr>
              <w:jc w:val="center"/>
              <w:rPr>
                <w:b/>
              </w:rPr>
            </w:pPr>
            <w:r w:rsidRPr="000127EF">
              <w:rPr>
                <w:b/>
              </w:rPr>
              <w:t>Number of Employees</w:t>
            </w:r>
          </w:p>
        </w:tc>
        <w:tc>
          <w:tcPr>
            <w:tcW w:w="5536" w:type="dxa"/>
          </w:tcPr>
          <w:p w14:paraId="6EE20244" w14:textId="77777777" w:rsidR="00006D38" w:rsidRPr="000127EF" w:rsidRDefault="00006D38" w:rsidP="00317DB8">
            <w:pPr>
              <w:jc w:val="center"/>
              <w:rPr>
                <w:b/>
              </w:rPr>
            </w:pPr>
          </w:p>
        </w:tc>
        <w:tc>
          <w:tcPr>
            <w:tcW w:w="1539" w:type="dxa"/>
          </w:tcPr>
          <w:p w14:paraId="6F7DD2B3" w14:textId="77777777" w:rsidR="00006D38" w:rsidRPr="004D7AC0" w:rsidRDefault="00006D38" w:rsidP="00317DB8">
            <w:pPr>
              <w:jc w:val="center"/>
              <w:rPr>
                <w:b/>
              </w:rPr>
            </w:pPr>
            <w:r w:rsidRPr="004D7AC0">
              <w:rPr>
                <w:b/>
              </w:rPr>
              <w:t>Number of Employees</w:t>
            </w:r>
          </w:p>
        </w:tc>
      </w:tr>
      <w:tr w:rsidR="00F310DA" w:rsidRPr="000127EF" w14:paraId="496C72F3" w14:textId="77777777" w:rsidTr="00EA7CF0">
        <w:trPr>
          <w:trHeight w:val="231"/>
          <w:jc w:val="center"/>
        </w:trPr>
        <w:tc>
          <w:tcPr>
            <w:tcW w:w="1459" w:type="dxa"/>
          </w:tcPr>
          <w:p w14:paraId="7E5FAA6B" w14:textId="7BA5D5FC" w:rsidR="00F310DA" w:rsidRPr="000127EF" w:rsidRDefault="00F310DA" w:rsidP="00F310DA">
            <w:pPr>
              <w:jc w:val="right"/>
            </w:pPr>
            <w:r w:rsidRPr="000127EF">
              <w:t>6</w:t>
            </w:r>
          </w:p>
        </w:tc>
        <w:tc>
          <w:tcPr>
            <w:tcW w:w="5536" w:type="dxa"/>
          </w:tcPr>
          <w:p w14:paraId="3719C082" w14:textId="77777777" w:rsidR="00F310DA" w:rsidRPr="000127EF" w:rsidRDefault="00F310DA" w:rsidP="00F310DA">
            <w:pPr>
              <w:jc w:val="center"/>
            </w:pPr>
            <w:r w:rsidRPr="000127EF">
              <w:t>£50,000 - £54,999</w:t>
            </w:r>
          </w:p>
        </w:tc>
        <w:tc>
          <w:tcPr>
            <w:tcW w:w="1539" w:type="dxa"/>
            <w:shd w:val="clear" w:color="auto" w:fill="C5E0B3" w:themeFill="accent6" w:themeFillTint="66"/>
          </w:tcPr>
          <w:p w14:paraId="71FB1BF5" w14:textId="56BF1639" w:rsidR="00F310DA" w:rsidRPr="004D7AC0" w:rsidRDefault="004D7AC0" w:rsidP="00F310DA">
            <w:pPr>
              <w:jc w:val="right"/>
            </w:pPr>
            <w:r w:rsidRPr="004D7AC0">
              <w:t>6</w:t>
            </w:r>
          </w:p>
        </w:tc>
      </w:tr>
      <w:tr w:rsidR="00F310DA" w:rsidRPr="000127EF" w14:paraId="742D9D8A" w14:textId="77777777" w:rsidTr="00EA7CF0">
        <w:trPr>
          <w:trHeight w:val="246"/>
          <w:jc w:val="center"/>
        </w:trPr>
        <w:tc>
          <w:tcPr>
            <w:tcW w:w="1459" w:type="dxa"/>
            <w:tcBorders>
              <w:bottom w:val="nil"/>
            </w:tcBorders>
          </w:tcPr>
          <w:p w14:paraId="6082B250" w14:textId="71FC42C6" w:rsidR="00F310DA" w:rsidRPr="000127EF" w:rsidRDefault="00F310DA" w:rsidP="00F310DA">
            <w:pPr>
              <w:jc w:val="right"/>
            </w:pPr>
            <w:r w:rsidRPr="000127EF">
              <w:t>4</w:t>
            </w:r>
          </w:p>
        </w:tc>
        <w:tc>
          <w:tcPr>
            <w:tcW w:w="5536" w:type="dxa"/>
            <w:tcBorders>
              <w:bottom w:val="nil"/>
            </w:tcBorders>
          </w:tcPr>
          <w:p w14:paraId="10FF7F55" w14:textId="77777777" w:rsidR="00F310DA" w:rsidRPr="000127EF" w:rsidRDefault="00F310DA" w:rsidP="00F310DA">
            <w:pPr>
              <w:jc w:val="center"/>
            </w:pPr>
            <w:r w:rsidRPr="000127EF">
              <w:t>£55,000 - £59,999</w:t>
            </w:r>
          </w:p>
        </w:tc>
        <w:tc>
          <w:tcPr>
            <w:tcW w:w="1539" w:type="dxa"/>
            <w:tcBorders>
              <w:bottom w:val="nil"/>
            </w:tcBorders>
            <w:shd w:val="clear" w:color="auto" w:fill="C5E0B3" w:themeFill="accent6" w:themeFillTint="66"/>
          </w:tcPr>
          <w:p w14:paraId="34C4924F" w14:textId="4DCD4439" w:rsidR="00F310DA" w:rsidRPr="004D7AC0" w:rsidRDefault="004D7AC0" w:rsidP="00F310DA">
            <w:pPr>
              <w:jc w:val="right"/>
            </w:pPr>
            <w:r w:rsidRPr="004D7AC0">
              <w:t>3</w:t>
            </w:r>
          </w:p>
        </w:tc>
      </w:tr>
      <w:tr w:rsidR="00F310DA" w:rsidRPr="000127EF" w14:paraId="4F17F59A" w14:textId="77777777" w:rsidTr="00EA7CF0">
        <w:trPr>
          <w:trHeight w:val="246"/>
          <w:jc w:val="center"/>
        </w:trPr>
        <w:tc>
          <w:tcPr>
            <w:tcW w:w="1459" w:type="dxa"/>
            <w:tcBorders>
              <w:bottom w:val="nil"/>
            </w:tcBorders>
          </w:tcPr>
          <w:p w14:paraId="1501A3DB" w14:textId="460CF8E5" w:rsidR="00F310DA" w:rsidRPr="000127EF" w:rsidRDefault="00F310DA" w:rsidP="00F310DA">
            <w:pPr>
              <w:jc w:val="right"/>
            </w:pPr>
            <w:r w:rsidRPr="000127EF">
              <w:t>3</w:t>
            </w:r>
          </w:p>
        </w:tc>
        <w:tc>
          <w:tcPr>
            <w:tcW w:w="5536" w:type="dxa"/>
            <w:tcBorders>
              <w:bottom w:val="nil"/>
            </w:tcBorders>
          </w:tcPr>
          <w:p w14:paraId="7AF7D19C" w14:textId="77777777" w:rsidR="00F310DA" w:rsidRPr="000127EF" w:rsidRDefault="00F310DA" w:rsidP="00F310DA">
            <w:pPr>
              <w:jc w:val="center"/>
            </w:pPr>
            <w:r w:rsidRPr="000127EF">
              <w:t>£60,000 - £64,999</w:t>
            </w:r>
          </w:p>
        </w:tc>
        <w:tc>
          <w:tcPr>
            <w:tcW w:w="1539" w:type="dxa"/>
            <w:tcBorders>
              <w:bottom w:val="nil"/>
            </w:tcBorders>
            <w:shd w:val="clear" w:color="auto" w:fill="C5E0B3" w:themeFill="accent6" w:themeFillTint="66"/>
          </w:tcPr>
          <w:p w14:paraId="103151B3" w14:textId="2AE5D29B" w:rsidR="00F310DA" w:rsidRPr="004D7AC0" w:rsidRDefault="004D7AC0" w:rsidP="00F310DA">
            <w:pPr>
              <w:jc w:val="right"/>
            </w:pPr>
            <w:r w:rsidRPr="004D7AC0">
              <w:t>6</w:t>
            </w:r>
          </w:p>
        </w:tc>
      </w:tr>
      <w:tr w:rsidR="00F310DA" w:rsidRPr="000127EF" w14:paraId="58129058" w14:textId="77777777" w:rsidTr="00EA7CF0">
        <w:trPr>
          <w:trHeight w:val="246"/>
          <w:jc w:val="center"/>
        </w:trPr>
        <w:tc>
          <w:tcPr>
            <w:tcW w:w="1459" w:type="dxa"/>
            <w:tcBorders>
              <w:bottom w:val="nil"/>
            </w:tcBorders>
          </w:tcPr>
          <w:p w14:paraId="6535E9E9" w14:textId="14277A9F" w:rsidR="00F310DA" w:rsidRPr="000127EF" w:rsidRDefault="00F310DA" w:rsidP="00F310DA">
            <w:pPr>
              <w:jc w:val="right"/>
            </w:pPr>
            <w:r w:rsidRPr="000127EF">
              <w:t>2</w:t>
            </w:r>
          </w:p>
        </w:tc>
        <w:tc>
          <w:tcPr>
            <w:tcW w:w="5536" w:type="dxa"/>
            <w:tcBorders>
              <w:bottom w:val="nil"/>
            </w:tcBorders>
          </w:tcPr>
          <w:p w14:paraId="605B8F19" w14:textId="77777777" w:rsidR="00F310DA" w:rsidRPr="000127EF" w:rsidRDefault="00F310DA" w:rsidP="00F310DA">
            <w:pPr>
              <w:jc w:val="center"/>
            </w:pPr>
            <w:r w:rsidRPr="000127EF">
              <w:t>£65,000 - £69,999</w:t>
            </w:r>
          </w:p>
        </w:tc>
        <w:tc>
          <w:tcPr>
            <w:tcW w:w="1539" w:type="dxa"/>
            <w:tcBorders>
              <w:bottom w:val="nil"/>
            </w:tcBorders>
            <w:shd w:val="clear" w:color="auto" w:fill="C5E0B3" w:themeFill="accent6" w:themeFillTint="66"/>
          </w:tcPr>
          <w:p w14:paraId="338D8ACC" w14:textId="1BD73A57" w:rsidR="00F310DA" w:rsidRPr="004D7AC0" w:rsidRDefault="004D7AC0" w:rsidP="00F310DA">
            <w:pPr>
              <w:jc w:val="right"/>
            </w:pPr>
            <w:r w:rsidRPr="004D7AC0">
              <w:t>2</w:t>
            </w:r>
          </w:p>
        </w:tc>
      </w:tr>
      <w:tr w:rsidR="00F310DA" w:rsidRPr="000127EF" w14:paraId="5291E2E4" w14:textId="77777777" w:rsidTr="00EA7CF0">
        <w:trPr>
          <w:trHeight w:val="80"/>
          <w:jc w:val="center"/>
        </w:trPr>
        <w:tc>
          <w:tcPr>
            <w:tcW w:w="1459" w:type="dxa"/>
            <w:tcBorders>
              <w:top w:val="nil"/>
              <w:bottom w:val="nil"/>
            </w:tcBorders>
          </w:tcPr>
          <w:p w14:paraId="5B3870CF" w14:textId="602859D5" w:rsidR="00F310DA" w:rsidRPr="000127EF" w:rsidRDefault="00F310DA" w:rsidP="00F310DA">
            <w:pPr>
              <w:jc w:val="right"/>
            </w:pPr>
            <w:r w:rsidRPr="000127EF">
              <w:t>2</w:t>
            </w:r>
          </w:p>
        </w:tc>
        <w:tc>
          <w:tcPr>
            <w:tcW w:w="5536" w:type="dxa"/>
            <w:tcBorders>
              <w:top w:val="nil"/>
              <w:bottom w:val="nil"/>
            </w:tcBorders>
          </w:tcPr>
          <w:p w14:paraId="1F4CA42C" w14:textId="77777777" w:rsidR="00F310DA" w:rsidRPr="000127EF" w:rsidRDefault="00F310DA" w:rsidP="00F310DA">
            <w:pPr>
              <w:jc w:val="center"/>
            </w:pPr>
            <w:r w:rsidRPr="000127EF">
              <w:t>£70,000 - £74,999</w:t>
            </w:r>
          </w:p>
        </w:tc>
        <w:tc>
          <w:tcPr>
            <w:tcW w:w="1539" w:type="dxa"/>
            <w:tcBorders>
              <w:top w:val="nil"/>
              <w:bottom w:val="nil"/>
            </w:tcBorders>
            <w:shd w:val="clear" w:color="auto" w:fill="C5E0B3" w:themeFill="accent6" w:themeFillTint="66"/>
          </w:tcPr>
          <w:p w14:paraId="5A42DFD5" w14:textId="6129CE2B" w:rsidR="00F310DA" w:rsidRPr="004D7AC0" w:rsidRDefault="004D7AC0" w:rsidP="00F310DA">
            <w:pPr>
              <w:jc w:val="right"/>
            </w:pPr>
            <w:r w:rsidRPr="004D7AC0">
              <w:t>2</w:t>
            </w:r>
          </w:p>
        </w:tc>
      </w:tr>
      <w:tr w:rsidR="004D7AC0" w:rsidRPr="000127EF" w14:paraId="1715EE40" w14:textId="77777777" w:rsidTr="00EA7CF0">
        <w:trPr>
          <w:trHeight w:val="80"/>
          <w:jc w:val="center"/>
        </w:trPr>
        <w:tc>
          <w:tcPr>
            <w:tcW w:w="1459" w:type="dxa"/>
            <w:tcBorders>
              <w:top w:val="nil"/>
              <w:bottom w:val="nil"/>
            </w:tcBorders>
          </w:tcPr>
          <w:p w14:paraId="3EC38EF1" w14:textId="7BC46889" w:rsidR="004D7AC0" w:rsidRPr="000127EF" w:rsidRDefault="004D7AC0" w:rsidP="00F310DA">
            <w:pPr>
              <w:jc w:val="right"/>
            </w:pPr>
            <w:r>
              <w:t>-</w:t>
            </w:r>
          </w:p>
        </w:tc>
        <w:tc>
          <w:tcPr>
            <w:tcW w:w="5536" w:type="dxa"/>
            <w:tcBorders>
              <w:top w:val="nil"/>
              <w:bottom w:val="nil"/>
            </w:tcBorders>
          </w:tcPr>
          <w:p w14:paraId="6F4F95DB" w14:textId="68086923" w:rsidR="004D7AC0" w:rsidRPr="000127EF" w:rsidRDefault="004D7AC0" w:rsidP="00F310DA">
            <w:pPr>
              <w:jc w:val="center"/>
            </w:pPr>
            <w:r>
              <w:t>£75,000 - £79,999</w:t>
            </w:r>
          </w:p>
        </w:tc>
        <w:tc>
          <w:tcPr>
            <w:tcW w:w="1539" w:type="dxa"/>
            <w:tcBorders>
              <w:top w:val="nil"/>
              <w:bottom w:val="nil"/>
            </w:tcBorders>
            <w:shd w:val="clear" w:color="auto" w:fill="C5E0B3" w:themeFill="accent6" w:themeFillTint="66"/>
          </w:tcPr>
          <w:p w14:paraId="5B34E3D9" w14:textId="25B66412" w:rsidR="004D7AC0" w:rsidRPr="004D7AC0" w:rsidRDefault="004D7AC0" w:rsidP="00F310DA">
            <w:pPr>
              <w:jc w:val="right"/>
            </w:pPr>
            <w:r w:rsidRPr="004D7AC0">
              <w:t>1</w:t>
            </w:r>
          </w:p>
        </w:tc>
      </w:tr>
      <w:tr w:rsidR="009D22AD" w:rsidRPr="000127EF" w14:paraId="4B92CBC7" w14:textId="77777777" w:rsidTr="00EA7CF0">
        <w:trPr>
          <w:trHeight w:val="130"/>
          <w:jc w:val="center"/>
        </w:trPr>
        <w:tc>
          <w:tcPr>
            <w:tcW w:w="1459" w:type="dxa"/>
            <w:tcBorders>
              <w:top w:val="nil"/>
            </w:tcBorders>
          </w:tcPr>
          <w:p w14:paraId="41BA2FFA" w14:textId="77777777" w:rsidR="009D22AD" w:rsidRPr="000127EF" w:rsidRDefault="009D22AD" w:rsidP="009D22AD">
            <w:pPr>
              <w:jc w:val="right"/>
              <w:rPr>
                <w:sz w:val="12"/>
                <w:szCs w:val="12"/>
              </w:rPr>
            </w:pPr>
          </w:p>
        </w:tc>
        <w:tc>
          <w:tcPr>
            <w:tcW w:w="5536" w:type="dxa"/>
            <w:tcBorders>
              <w:top w:val="nil"/>
            </w:tcBorders>
          </w:tcPr>
          <w:p w14:paraId="1ECF59EC" w14:textId="77777777" w:rsidR="009D22AD" w:rsidRPr="000127EF" w:rsidRDefault="009D22AD" w:rsidP="009D22AD">
            <w:pPr>
              <w:jc w:val="both"/>
              <w:rPr>
                <w:sz w:val="12"/>
                <w:szCs w:val="12"/>
              </w:rPr>
            </w:pPr>
          </w:p>
        </w:tc>
        <w:tc>
          <w:tcPr>
            <w:tcW w:w="1539" w:type="dxa"/>
            <w:tcBorders>
              <w:top w:val="nil"/>
            </w:tcBorders>
          </w:tcPr>
          <w:p w14:paraId="13B96CE2" w14:textId="77777777" w:rsidR="009D22AD" w:rsidRPr="004D7AC0" w:rsidRDefault="009D22AD" w:rsidP="009D22AD">
            <w:pPr>
              <w:jc w:val="right"/>
              <w:rPr>
                <w:sz w:val="12"/>
                <w:szCs w:val="12"/>
              </w:rPr>
            </w:pPr>
          </w:p>
        </w:tc>
      </w:tr>
    </w:tbl>
    <w:p w14:paraId="59A07B8A" w14:textId="77777777" w:rsidR="00627352" w:rsidRPr="000127EF" w:rsidRDefault="00627352" w:rsidP="00306C11">
      <w:pPr>
        <w:pStyle w:val="Heading1"/>
        <w:numPr>
          <w:ilvl w:val="0"/>
          <w:numId w:val="8"/>
        </w:numPr>
        <w:spacing w:after="120"/>
        <w:ind w:left="425" w:hanging="357"/>
        <w:rPr>
          <w:sz w:val="22"/>
          <w:szCs w:val="22"/>
        </w:rPr>
      </w:pPr>
      <w:r w:rsidRPr="000127EF">
        <w:rPr>
          <w:sz w:val="22"/>
          <w:szCs w:val="22"/>
        </w:rPr>
        <w:t>Termination Benefits</w:t>
      </w:r>
    </w:p>
    <w:p w14:paraId="4D80AE3C" w14:textId="091AC6AD" w:rsidR="007F65CF" w:rsidRPr="000127EF" w:rsidRDefault="007F65CF" w:rsidP="007F65CF">
      <w:pPr>
        <w:rPr>
          <w:rFonts w:cs="Arial"/>
          <w:color w:val="000000"/>
          <w:szCs w:val="22"/>
          <w:lang w:eastAsia="en-GB"/>
        </w:rPr>
      </w:pPr>
      <w:r w:rsidRPr="000127EF">
        <w:rPr>
          <w:rFonts w:cs="Arial"/>
          <w:color w:val="000000"/>
          <w:szCs w:val="22"/>
          <w:lang w:eastAsia="en-GB"/>
        </w:rPr>
        <w:t xml:space="preserve">The numbers of exit packages with total cost per band and total cost of the </w:t>
      </w:r>
      <w:r w:rsidR="006D6736" w:rsidRPr="000127EF">
        <w:rPr>
          <w:rFonts w:cs="Arial"/>
          <w:color w:val="000000"/>
          <w:szCs w:val="22"/>
          <w:lang w:eastAsia="en-GB"/>
        </w:rPr>
        <w:t>compulsory</w:t>
      </w:r>
      <w:r w:rsidRPr="000127EF">
        <w:rPr>
          <w:rFonts w:cs="Arial"/>
          <w:color w:val="000000"/>
          <w:szCs w:val="22"/>
          <w:lang w:eastAsia="en-GB"/>
        </w:rPr>
        <w:t xml:space="preserve"> and other redundancies are set out in the table below:</w:t>
      </w:r>
    </w:p>
    <w:p w14:paraId="3F248F56" w14:textId="77777777" w:rsidR="00EA7CF0" w:rsidRPr="000127EF" w:rsidRDefault="00EA7CF0" w:rsidP="00EA7CF0"/>
    <w:tbl>
      <w:tblPr>
        <w:tblStyle w:val="TableGrid"/>
        <w:tblW w:w="10657"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ayout w:type="fixed"/>
        <w:tblLook w:val="04A0" w:firstRow="1" w:lastRow="0" w:firstColumn="1" w:lastColumn="0" w:noHBand="0" w:noVBand="1"/>
      </w:tblPr>
      <w:tblGrid>
        <w:gridCol w:w="2491"/>
        <w:gridCol w:w="1019"/>
        <w:gridCol w:w="1020"/>
        <w:gridCol w:w="1020"/>
        <w:gridCol w:w="1021"/>
        <w:gridCol w:w="1020"/>
        <w:gridCol w:w="1025"/>
        <w:gridCol w:w="1020"/>
        <w:gridCol w:w="1021"/>
      </w:tblGrid>
      <w:tr w:rsidR="007F65CF" w:rsidRPr="000127EF" w14:paraId="147965F0" w14:textId="77777777" w:rsidTr="00D32330">
        <w:trPr>
          <w:trHeight w:val="614"/>
        </w:trPr>
        <w:tc>
          <w:tcPr>
            <w:tcW w:w="2491" w:type="dxa"/>
          </w:tcPr>
          <w:p w14:paraId="68734056" w14:textId="3E8C03B3" w:rsidR="007C3017" w:rsidRPr="000127EF" w:rsidRDefault="007C3017" w:rsidP="007F65CF">
            <w:pPr>
              <w:jc w:val="center"/>
              <w:rPr>
                <w:rFonts w:cs="Arial"/>
                <w:b/>
                <w:bCs/>
                <w:color w:val="000000"/>
                <w:szCs w:val="22"/>
                <w:lang w:eastAsia="en-GB"/>
              </w:rPr>
            </w:pPr>
            <w:r w:rsidRPr="000127EF">
              <w:rPr>
                <w:rFonts w:cs="Arial"/>
                <w:b/>
                <w:bCs/>
                <w:color w:val="000000"/>
                <w:szCs w:val="22"/>
              </w:rPr>
              <w:t>(a)</w:t>
            </w:r>
            <w:r w:rsidRPr="000127EF">
              <w:rPr>
                <w:rFonts w:cs="Arial"/>
                <w:b/>
                <w:bCs/>
                <w:color w:val="000000"/>
                <w:szCs w:val="22"/>
              </w:rPr>
              <w:br/>
              <w:t>Exit package cost band (including special payments)</w:t>
            </w:r>
          </w:p>
        </w:tc>
        <w:tc>
          <w:tcPr>
            <w:tcW w:w="2039" w:type="dxa"/>
            <w:gridSpan w:val="2"/>
          </w:tcPr>
          <w:p w14:paraId="110B2EDA" w14:textId="77777777" w:rsidR="007C3017" w:rsidRPr="000127EF" w:rsidRDefault="007C3017" w:rsidP="007C3017">
            <w:pPr>
              <w:jc w:val="center"/>
              <w:rPr>
                <w:rFonts w:cs="Arial"/>
                <w:b/>
                <w:bCs/>
                <w:color w:val="000000"/>
                <w:szCs w:val="22"/>
                <w:lang w:eastAsia="en-GB"/>
              </w:rPr>
            </w:pPr>
            <w:r w:rsidRPr="000127EF">
              <w:rPr>
                <w:rFonts w:cs="Arial"/>
                <w:b/>
                <w:bCs/>
                <w:color w:val="000000"/>
                <w:szCs w:val="22"/>
              </w:rPr>
              <w:t>(b)</w:t>
            </w:r>
            <w:r w:rsidRPr="000127EF">
              <w:rPr>
                <w:rFonts w:cs="Arial"/>
                <w:b/>
                <w:bCs/>
                <w:color w:val="000000"/>
                <w:szCs w:val="22"/>
              </w:rPr>
              <w:br/>
              <w:t>Number of compulsory redundancies</w:t>
            </w:r>
          </w:p>
          <w:p w14:paraId="22FA8957" w14:textId="77777777" w:rsidR="007C3017" w:rsidRPr="000127EF" w:rsidRDefault="007C3017" w:rsidP="00EA7CF0">
            <w:pPr>
              <w:rPr>
                <w:rFonts w:cs="Arial"/>
                <w:szCs w:val="22"/>
              </w:rPr>
            </w:pPr>
          </w:p>
        </w:tc>
        <w:tc>
          <w:tcPr>
            <w:tcW w:w="2041" w:type="dxa"/>
            <w:gridSpan w:val="2"/>
          </w:tcPr>
          <w:p w14:paraId="331F566F" w14:textId="040FF6FF" w:rsidR="007C3017" w:rsidRPr="000127EF" w:rsidRDefault="007C3017" w:rsidP="007C3017">
            <w:pPr>
              <w:jc w:val="center"/>
              <w:rPr>
                <w:rFonts w:cs="Arial"/>
                <w:b/>
                <w:szCs w:val="22"/>
              </w:rPr>
            </w:pPr>
            <w:r w:rsidRPr="000127EF">
              <w:rPr>
                <w:rFonts w:cs="Arial"/>
                <w:b/>
                <w:szCs w:val="22"/>
              </w:rPr>
              <w:t>(c)</w:t>
            </w:r>
          </w:p>
          <w:p w14:paraId="6C3DBB2F" w14:textId="58C325DC" w:rsidR="007C3017" w:rsidRPr="000127EF" w:rsidRDefault="007C3017" w:rsidP="007C3017">
            <w:pPr>
              <w:jc w:val="center"/>
              <w:rPr>
                <w:rFonts w:cs="Arial"/>
                <w:szCs w:val="22"/>
              </w:rPr>
            </w:pPr>
            <w:r w:rsidRPr="000127EF">
              <w:rPr>
                <w:rFonts w:cs="Arial"/>
                <w:b/>
                <w:szCs w:val="22"/>
              </w:rPr>
              <w:t>Number of other departures agreed</w:t>
            </w:r>
          </w:p>
        </w:tc>
        <w:tc>
          <w:tcPr>
            <w:tcW w:w="2045" w:type="dxa"/>
            <w:gridSpan w:val="2"/>
          </w:tcPr>
          <w:p w14:paraId="7D57CC38" w14:textId="35F9DFAD" w:rsidR="007C3017" w:rsidRPr="000127EF" w:rsidRDefault="007C3017" w:rsidP="0090143E">
            <w:pPr>
              <w:jc w:val="center"/>
              <w:rPr>
                <w:rFonts w:cs="Arial"/>
                <w:szCs w:val="22"/>
              </w:rPr>
            </w:pPr>
            <w:r w:rsidRPr="000127EF">
              <w:rPr>
                <w:rFonts w:cs="Arial"/>
                <w:b/>
                <w:bCs/>
                <w:color w:val="000000"/>
                <w:szCs w:val="22"/>
              </w:rPr>
              <w:t>(d)</w:t>
            </w:r>
            <w:r w:rsidRPr="000127EF">
              <w:rPr>
                <w:rFonts w:cs="Arial"/>
                <w:b/>
                <w:bCs/>
                <w:color w:val="000000"/>
                <w:szCs w:val="22"/>
              </w:rPr>
              <w:br/>
              <w:t>Total number of exit packages by cost band ((b)+(c))</w:t>
            </w:r>
          </w:p>
        </w:tc>
        <w:tc>
          <w:tcPr>
            <w:tcW w:w="2041" w:type="dxa"/>
            <w:gridSpan w:val="2"/>
          </w:tcPr>
          <w:p w14:paraId="3087D8DE" w14:textId="40D20576" w:rsidR="007C3017" w:rsidRPr="000127EF" w:rsidRDefault="007C3017" w:rsidP="007C3017">
            <w:pPr>
              <w:jc w:val="center"/>
              <w:rPr>
                <w:rFonts w:cs="Arial"/>
                <w:b/>
                <w:szCs w:val="22"/>
              </w:rPr>
            </w:pPr>
            <w:r w:rsidRPr="000127EF">
              <w:rPr>
                <w:rFonts w:cs="Arial"/>
                <w:b/>
                <w:szCs w:val="22"/>
              </w:rPr>
              <w:t>(e)</w:t>
            </w:r>
          </w:p>
          <w:p w14:paraId="0DC3329D" w14:textId="0923E342" w:rsidR="007C3017" w:rsidRPr="000127EF" w:rsidRDefault="007C3017" w:rsidP="007C3017">
            <w:pPr>
              <w:jc w:val="center"/>
              <w:rPr>
                <w:rFonts w:cs="Arial"/>
                <w:szCs w:val="22"/>
              </w:rPr>
            </w:pPr>
            <w:r w:rsidRPr="000127EF">
              <w:rPr>
                <w:rFonts w:cs="Arial"/>
                <w:b/>
                <w:szCs w:val="22"/>
              </w:rPr>
              <w:t>Total cost of exit packages in each band</w:t>
            </w:r>
          </w:p>
        </w:tc>
      </w:tr>
      <w:tr w:rsidR="008608AF" w:rsidRPr="000127EF" w14:paraId="386D78AF" w14:textId="77777777" w:rsidTr="00D32330">
        <w:trPr>
          <w:trHeight w:val="416"/>
        </w:trPr>
        <w:tc>
          <w:tcPr>
            <w:tcW w:w="2491" w:type="dxa"/>
          </w:tcPr>
          <w:p w14:paraId="104864CF" w14:textId="7679672C" w:rsidR="008608AF" w:rsidRPr="000127EF" w:rsidRDefault="008608AF" w:rsidP="008608AF">
            <w:pPr>
              <w:jc w:val="center"/>
              <w:rPr>
                <w:rFonts w:cs="Arial"/>
                <w:b/>
                <w:szCs w:val="22"/>
              </w:rPr>
            </w:pPr>
            <w:r w:rsidRPr="000127EF">
              <w:rPr>
                <w:rFonts w:cs="Arial"/>
                <w:b/>
                <w:szCs w:val="22"/>
              </w:rPr>
              <w:t>£</w:t>
            </w:r>
          </w:p>
        </w:tc>
        <w:tc>
          <w:tcPr>
            <w:tcW w:w="1019" w:type="dxa"/>
          </w:tcPr>
          <w:p w14:paraId="44500AA7" w14:textId="2C32627B" w:rsidR="008608AF" w:rsidRPr="000127EF" w:rsidRDefault="008608AF" w:rsidP="008608AF">
            <w:pPr>
              <w:rPr>
                <w:rFonts w:cs="Arial"/>
                <w:b/>
                <w:szCs w:val="22"/>
              </w:rPr>
            </w:pPr>
            <w:r w:rsidRPr="000127EF">
              <w:rPr>
                <w:rFonts w:cs="Arial"/>
                <w:b/>
                <w:szCs w:val="22"/>
              </w:rPr>
              <w:t>2018/19</w:t>
            </w:r>
          </w:p>
        </w:tc>
        <w:tc>
          <w:tcPr>
            <w:tcW w:w="1020" w:type="dxa"/>
          </w:tcPr>
          <w:p w14:paraId="4DB57E03" w14:textId="0FFC85CB" w:rsidR="008608AF" w:rsidRPr="00E32731" w:rsidRDefault="008608AF" w:rsidP="008608AF">
            <w:pPr>
              <w:rPr>
                <w:rFonts w:cs="Arial"/>
                <w:b/>
                <w:szCs w:val="22"/>
              </w:rPr>
            </w:pPr>
            <w:r w:rsidRPr="00E32731">
              <w:rPr>
                <w:rFonts w:cs="Arial"/>
                <w:b/>
                <w:szCs w:val="22"/>
              </w:rPr>
              <w:t>2019/20</w:t>
            </w:r>
          </w:p>
        </w:tc>
        <w:tc>
          <w:tcPr>
            <w:tcW w:w="1020" w:type="dxa"/>
          </w:tcPr>
          <w:p w14:paraId="46B00EA8" w14:textId="031CFC77" w:rsidR="008608AF" w:rsidRPr="000127EF" w:rsidRDefault="008608AF" w:rsidP="008608AF">
            <w:pPr>
              <w:rPr>
                <w:rFonts w:cs="Arial"/>
                <w:b/>
                <w:szCs w:val="22"/>
              </w:rPr>
            </w:pPr>
            <w:r w:rsidRPr="000127EF">
              <w:rPr>
                <w:rFonts w:cs="Arial"/>
                <w:b/>
                <w:szCs w:val="22"/>
              </w:rPr>
              <w:t>2018/19</w:t>
            </w:r>
          </w:p>
        </w:tc>
        <w:tc>
          <w:tcPr>
            <w:tcW w:w="1021" w:type="dxa"/>
          </w:tcPr>
          <w:p w14:paraId="6B2F2D81" w14:textId="2982B92A" w:rsidR="008608AF" w:rsidRPr="00E32731" w:rsidRDefault="008608AF" w:rsidP="008608AF">
            <w:pPr>
              <w:rPr>
                <w:rFonts w:cs="Arial"/>
                <w:b/>
                <w:szCs w:val="22"/>
              </w:rPr>
            </w:pPr>
            <w:r w:rsidRPr="00E32731">
              <w:rPr>
                <w:rFonts w:cs="Arial"/>
                <w:b/>
                <w:szCs w:val="22"/>
              </w:rPr>
              <w:t>2019/20</w:t>
            </w:r>
          </w:p>
        </w:tc>
        <w:tc>
          <w:tcPr>
            <w:tcW w:w="1020" w:type="dxa"/>
          </w:tcPr>
          <w:p w14:paraId="0BF18BFA" w14:textId="07D93310" w:rsidR="008608AF" w:rsidRPr="000127EF" w:rsidRDefault="008608AF" w:rsidP="008608AF">
            <w:pPr>
              <w:rPr>
                <w:rFonts w:cs="Arial"/>
                <w:b/>
                <w:szCs w:val="22"/>
              </w:rPr>
            </w:pPr>
            <w:r w:rsidRPr="000127EF">
              <w:rPr>
                <w:rFonts w:cs="Arial"/>
                <w:b/>
                <w:szCs w:val="22"/>
              </w:rPr>
              <w:t>2018/19</w:t>
            </w:r>
          </w:p>
        </w:tc>
        <w:tc>
          <w:tcPr>
            <w:tcW w:w="1025" w:type="dxa"/>
          </w:tcPr>
          <w:p w14:paraId="4C93AEB1" w14:textId="474C7E00" w:rsidR="008608AF" w:rsidRPr="00E32731" w:rsidRDefault="008608AF" w:rsidP="008608AF">
            <w:pPr>
              <w:rPr>
                <w:rFonts w:cs="Arial"/>
                <w:b/>
                <w:szCs w:val="22"/>
              </w:rPr>
            </w:pPr>
            <w:r w:rsidRPr="00E32731">
              <w:rPr>
                <w:rFonts w:cs="Arial"/>
                <w:b/>
                <w:szCs w:val="22"/>
              </w:rPr>
              <w:t>2019/20</w:t>
            </w:r>
          </w:p>
        </w:tc>
        <w:tc>
          <w:tcPr>
            <w:tcW w:w="1020" w:type="dxa"/>
            <w:shd w:val="clear" w:color="auto" w:fill="C5E0B3" w:themeFill="accent6" w:themeFillTint="66"/>
          </w:tcPr>
          <w:p w14:paraId="58A190F8" w14:textId="53993BD5" w:rsidR="008608AF" w:rsidRPr="000127EF" w:rsidRDefault="008608AF" w:rsidP="008608AF">
            <w:pPr>
              <w:rPr>
                <w:rFonts w:cs="Arial"/>
                <w:b/>
                <w:szCs w:val="22"/>
              </w:rPr>
            </w:pPr>
            <w:r w:rsidRPr="000127EF">
              <w:rPr>
                <w:rFonts w:cs="Arial"/>
                <w:b/>
                <w:szCs w:val="22"/>
              </w:rPr>
              <w:t>2018/19</w:t>
            </w:r>
          </w:p>
        </w:tc>
        <w:tc>
          <w:tcPr>
            <w:tcW w:w="1021" w:type="dxa"/>
            <w:shd w:val="clear" w:color="auto" w:fill="C5E0B3" w:themeFill="accent6" w:themeFillTint="66"/>
          </w:tcPr>
          <w:p w14:paraId="49435DAC" w14:textId="6D55C113" w:rsidR="008608AF" w:rsidRPr="00E32731" w:rsidRDefault="008608AF" w:rsidP="008608AF">
            <w:pPr>
              <w:rPr>
                <w:rFonts w:cs="Arial"/>
                <w:b/>
                <w:szCs w:val="22"/>
              </w:rPr>
            </w:pPr>
            <w:r w:rsidRPr="00E32731">
              <w:rPr>
                <w:rFonts w:cs="Arial"/>
                <w:b/>
                <w:szCs w:val="22"/>
              </w:rPr>
              <w:t>2019/20</w:t>
            </w:r>
          </w:p>
        </w:tc>
      </w:tr>
      <w:tr w:rsidR="008608AF" w:rsidRPr="000127EF" w14:paraId="76852139" w14:textId="77777777" w:rsidTr="00D32330">
        <w:trPr>
          <w:trHeight w:val="414"/>
        </w:trPr>
        <w:tc>
          <w:tcPr>
            <w:tcW w:w="2491" w:type="dxa"/>
          </w:tcPr>
          <w:p w14:paraId="5ABBAC50" w14:textId="47FA4498" w:rsidR="008608AF" w:rsidRPr="000127EF" w:rsidRDefault="008608AF" w:rsidP="008608AF">
            <w:pPr>
              <w:jc w:val="center"/>
              <w:rPr>
                <w:rFonts w:cs="Arial"/>
                <w:szCs w:val="22"/>
              </w:rPr>
            </w:pPr>
            <w:r w:rsidRPr="000127EF">
              <w:rPr>
                <w:rFonts w:cs="Arial"/>
                <w:szCs w:val="22"/>
              </w:rPr>
              <w:t>0 – 20,000</w:t>
            </w:r>
          </w:p>
        </w:tc>
        <w:tc>
          <w:tcPr>
            <w:tcW w:w="1019" w:type="dxa"/>
          </w:tcPr>
          <w:p w14:paraId="6CCE51A0" w14:textId="1DFA41A6" w:rsidR="008608AF" w:rsidRPr="000127EF" w:rsidRDefault="008608AF" w:rsidP="008608AF">
            <w:pPr>
              <w:jc w:val="right"/>
              <w:rPr>
                <w:rFonts w:cs="Arial"/>
                <w:szCs w:val="22"/>
              </w:rPr>
            </w:pPr>
            <w:r w:rsidRPr="000127EF">
              <w:rPr>
                <w:rFonts w:cs="Arial"/>
                <w:szCs w:val="22"/>
              </w:rPr>
              <w:t>5</w:t>
            </w:r>
          </w:p>
        </w:tc>
        <w:tc>
          <w:tcPr>
            <w:tcW w:w="1020" w:type="dxa"/>
          </w:tcPr>
          <w:p w14:paraId="421E5BCA" w14:textId="45A3E062" w:rsidR="008608AF" w:rsidRPr="00E32731" w:rsidRDefault="00E32731" w:rsidP="008608AF">
            <w:pPr>
              <w:jc w:val="right"/>
              <w:rPr>
                <w:rFonts w:cs="Arial"/>
                <w:szCs w:val="22"/>
              </w:rPr>
            </w:pPr>
            <w:r w:rsidRPr="00E32731">
              <w:rPr>
                <w:rFonts w:cs="Arial"/>
                <w:szCs w:val="22"/>
              </w:rPr>
              <w:t>3</w:t>
            </w:r>
          </w:p>
        </w:tc>
        <w:tc>
          <w:tcPr>
            <w:tcW w:w="1020" w:type="dxa"/>
          </w:tcPr>
          <w:p w14:paraId="21B4272E" w14:textId="58CD1A78" w:rsidR="008608AF" w:rsidRPr="000127EF" w:rsidRDefault="008608AF" w:rsidP="008608AF">
            <w:pPr>
              <w:jc w:val="right"/>
              <w:rPr>
                <w:rFonts w:cs="Arial"/>
                <w:szCs w:val="22"/>
              </w:rPr>
            </w:pPr>
            <w:r w:rsidRPr="000127EF">
              <w:rPr>
                <w:rFonts w:cs="Arial"/>
                <w:szCs w:val="22"/>
              </w:rPr>
              <w:t>1</w:t>
            </w:r>
          </w:p>
        </w:tc>
        <w:tc>
          <w:tcPr>
            <w:tcW w:w="1021" w:type="dxa"/>
          </w:tcPr>
          <w:p w14:paraId="174FDE8A" w14:textId="77BF0CF2" w:rsidR="008608AF" w:rsidRPr="00E32731" w:rsidRDefault="00E32731" w:rsidP="008608AF">
            <w:pPr>
              <w:jc w:val="right"/>
              <w:rPr>
                <w:rFonts w:cs="Arial"/>
                <w:szCs w:val="22"/>
              </w:rPr>
            </w:pPr>
            <w:r w:rsidRPr="00E32731">
              <w:rPr>
                <w:rFonts w:cs="Arial"/>
                <w:szCs w:val="22"/>
              </w:rPr>
              <w:t>1</w:t>
            </w:r>
          </w:p>
        </w:tc>
        <w:tc>
          <w:tcPr>
            <w:tcW w:w="1020" w:type="dxa"/>
          </w:tcPr>
          <w:p w14:paraId="6E190AE7" w14:textId="40DB6D23" w:rsidR="008608AF" w:rsidRPr="000127EF" w:rsidRDefault="008608AF" w:rsidP="008608AF">
            <w:pPr>
              <w:jc w:val="right"/>
              <w:rPr>
                <w:rFonts w:cs="Arial"/>
                <w:szCs w:val="22"/>
              </w:rPr>
            </w:pPr>
            <w:r w:rsidRPr="000127EF">
              <w:rPr>
                <w:rFonts w:cs="Arial"/>
                <w:szCs w:val="22"/>
              </w:rPr>
              <w:t>6</w:t>
            </w:r>
          </w:p>
        </w:tc>
        <w:tc>
          <w:tcPr>
            <w:tcW w:w="1025" w:type="dxa"/>
          </w:tcPr>
          <w:p w14:paraId="51C437A7" w14:textId="0EE6AC20" w:rsidR="008608AF" w:rsidRPr="00E32731" w:rsidRDefault="00E32731" w:rsidP="008608AF">
            <w:pPr>
              <w:jc w:val="right"/>
              <w:rPr>
                <w:rFonts w:cs="Arial"/>
                <w:szCs w:val="22"/>
              </w:rPr>
            </w:pPr>
            <w:r w:rsidRPr="00E32731">
              <w:rPr>
                <w:rFonts w:cs="Arial"/>
                <w:szCs w:val="22"/>
              </w:rPr>
              <w:t>4</w:t>
            </w:r>
          </w:p>
        </w:tc>
        <w:tc>
          <w:tcPr>
            <w:tcW w:w="1020" w:type="dxa"/>
            <w:shd w:val="clear" w:color="auto" w:fill="C5E0B3" w:themeFill="accent6" w:themeFillTint="66"/>
          </w:tcPr>
          <w:p w14:paraId="6F97E5B2" w14:textId="6952700E" w:rsidR="008608AF" w:rsidRPr="000127EF" w:rsidRDefault="008608AF" w:rsidP="008608AF">
            <w:pPr>
              <w:jc w:val="right"/>
              <w:rPr>
                <w:rFonts w:cs="Arial"/>
                <w:szCs w:val="22"/>
              </w:rPr>
            </w:pPr>
            <w:r w:rsidRPr="000127EF">
              <w:rPr>
                <w:rFonts w:cs="Arial"/>
                <w:szCs w:val="22"/>
              </w:rPr>
              <w:t>33,767</w:t>
            </w:r>
          </w:p>
        </w:tc>
        <w:tc>
          <w:tcPr>
            <w:tcW w:w="1021" w:type="dxa"/>
            <w:shd w:val="clear" w:color="auto" w:fill="C5E0B3" w:themeFill="accent6" w:themeFillTint="66"/>
          </w:tcPr>
          <w:p w14:paraId="3153CA50" w14:textId="58149351" w:rsidR="008608AF" w:rsidRPr="00DE0C4D" w:rsidRDefault="00E32731" w:rsidP="008608AF">
            <w:pPr>
              <w:jc w:val="right"/>
              <w:rPr>
                <w:rFonts w:cs="Arial"/>
                <w:b/>
                <w:szCs w:val="22"/>
              </w:rPr>
            </w:pPr>
            <w:r w:rsidRPr="00DE0C4D">
              <w:rPr>
                <w:rFonts w:cs="Arial"/>
                <w:b/>
                <w:szCs w:val="22"/>
              </w:rPr>
              <w:t>36,519</w:t>
            </w:r>
          </w:p>
        </w:tc>
      </w:tr>
      <w:tr w:rsidR="008608AF" w:rsidRPr="000127EF" w14:paraId="70DA8128" w14:textId="77777777" w:rsidTr="00D32330">
        <w:trPr>
          <w:trHeight w:val="414"/>
        </w:trPr>
        <w:tc>
          <w:tcPr>
            <w:tcW w:w="2491" w:type="dxa"/>
          </w:tcPr>
          <w:p w14:paraId="6C587074" w14:textId="5420E367" w:rsidR="008608AF" w:rsidRPr="000127EF" w:rsidRDefault="008608AF" w:rsidP="008608AF">
            <w:pPr>
              <w:jc w:val="center"/>
              <w:rPr>
                <w:rFonts w:cs="Arial"/>
                <w:szCs w:val="22"/>
              </w:rPr>
            </w:pPr>
            <w:r w:rsidRPr="000127EF">
              <w:rPr>
                <w:rFonts w:cs="Arial"/>
                <w:szCs w:val="22"/>
              </w:rPr>
              <w:t>20,001 – 40,000</w:t>
            </w:r>
          </w:p>
        </w:tc>
        <w:tc>
          <w:tcPr>
            <w:tcW w:w="1019" w:type="dxa"/>
          </w:tcPr>
          <w:p w14:paraId="17DF0FF3" w14:textId="56793630" w:rsidR="008608AF" w:rsidRPr="000127EF" w:rsidRDefault="008608AF" w:rsidP="008608AF">
            <w:pPr>
              <w:jc w:val="right"/>
              <w:rPr>
                <w:rFonts w:cs="Arial"/>
                <w:szCs w:val="22"/>
              </w:rPr>
            </w:pPr>
            <w:r w:rsidRPr="000127EF">
              <w:rPr>
                <w:rFonts w:cs="Arial"/>
                <w:szCs w:val="22"/>
              </w:rPr>
              <w:t>-</w:t>
            </w:r>
          </w:p>
        </w:tc>
        <w:tc>
          <w:tcPr>
            <w:tcW w:w="1020" w:type="dxa"/>
          </w:tcPr>
          <w:p w14:paraId="63738FDA" w14:textId="3AE3DC2E" w:rsidR="008608AF" w:rsidRPr="00E32731" w:rsidRDefault="00E32731" w:rsidP="008608AF">
            <w:pPr>
              <w:jc w:val="right"/>
              <w:rPr>
                <w:rFonts w:cs="Arial"/>
                <w:szCs w:val="22"/>
              </w:rPr>
            </w:pPr>
            <w:r w:rsidRPr="00E32731">
              <w:rPr>
                <w:rFonts w:cs="Arial"/>
                <w:szCs w:val="22"/>
              </w:rPr>
              <w:t>1</w:t>
            </w:r>
          </w:p>
        </w:tc>
        <w:tc>
          <w:tcPr>
            <w:tcW w:w="1020" w:type="dxa"/>
          </w:tcPr>
          <w:p w14:paraId="63628F56" w14:textId="18A1EF84" w:rsidR="008608AF" w:rsidRPr="000127EF" w:rsidRDefault="008608AF" w:rsidP="008608AF">
            <w:pPr>
              <w:jc w:val="right"/>
              <w:rPr>
                <w:rFonts w:cs="Arial"/>
                <w:szCs w:val="22"/>
              </w:rPr>
            </w:pPr>
            <w:r w:rsidRPr="000127EF">
              <w:rPr>
                <w:rFonts w:cs="Arial"/>
                <w:szCs w:val="22"/>
              </w:rPr>
              <w:t>1</w:t>
            </w:r>
          </w:p>
        </w:tc>
        <w:tc>
          <w:tcPr>
            <w:tcW w:w="1021" w:type="dxa"/>
          </w:tcPr>
          <w:p w14:paraId="5721BAB8" w14:textId="77609EEA" w:rsidR="008608AF" w:rsidRPr="00E32731" w:rsidRDefault="00E32731" w:rsidP="008608AF">
            <w:pPr>
              <w:jc w:val="right"/>
              <w:rPr>
                <w:rFonts w:cs="Arial"/>
                <w:szCs w:val="22"/>
              </w:rPr>
            </w:pPr>
            <w:r w:rsidRPr="00E32731">
              <w:rPr>
                <w:rFonts w:cs="Arial"/>
                <w:szCs w:val="22"/>
              </w:rPr>
              <w:t>0</w:t>
            </w:r>
          </w:p>
        </w:tc>
        <w:tc>
          <w:tcPr>
            <w:tcW w:w="1020" w:type="dxa"/>
          </w:tcPr>
          <w:p w14:paraId="440514F0" w14:textId="60429808" w:rsidR="008608AF" w:rsidRPr="000127EF" w:rsidRDefault="008608AF" w:rsidP="008608AF">
            <w:pPr>
              <w:jc w:val="right"/>
              <w:rPr>
                <w:rFonts w:cs="Arial"/>
                <w:szCs w:val="22"/>
              </w:rPr>
            </w:pPr>
            <w:r w:rsidRPr="000127EF">
              <w:rPr>
                <w:rFonts w:cs="Arial"/>
                <w:szCs w:val="22"/>
              </w:rPr>
              <w:t>1</w:t>
            </w:r>
          </w:p>
        </w:tc>
        <w:tc>
          <w:tcPr>
            <w:tcW w:w="1025" w:type="dxa"/>
          </w:tcPr>
          <w:p w14:paraId="12010AD7" w14:textId="426612B4" w:rsidR="008608AF" w:rsidRPr="00E32731" w:rsidRDefault="00E32731" w:rsidP="008608AF">
            <w:pPr>
              <w:jc w:val="right"/>
              <w:rPr>
                <w:rFonts w:cs="Arial"/>
                <w:szCs w:val="22"/>
              </w:rPr>
            </w:pPr>
            <w:r w:rsidRPr="00E32731">
              <w:rPr>
                <w:rFonts w:cs="Arial"/>
                <w:szCs w:val="22"/>
              </w:rPr>
              <w:t>1</w:t>
            </w:r>
          </w:p>
        </w:tc>
        <w:tc>
          <w:tcPr>
            <w:tcW w:w="1020" w:type="dxa"/>
            <w:shd w:val="clear" w:color="auto" w:fill="C5E0B3" w:themeFill="accent6" w:themeFillTint="66"/>
          </w:tcPr>
          <w:p w14:paraId="4D0990CD" w14:textId="4A13204E" w:rsidR="008608AF" w:rsidRPr="000127EF" w:rsidRDefault="008608AF" w:rsidP="008608AF">
            <w:pPr>
              <w:jc w:val="right"/>
              <w:rPr>
                <w:rFonts w:cs="Arial"/>
                <w:szCs w:val="22"/>
              </w:rPr>
            </w:pPr>
            <w:r w:rsidRPr="000127EF">
              <w:rPr>
                <w:rFonts w:cs="Arial"/>
                <w:szCs w:val="22"/>
              </w:rPr>
              <w:t>29,345</w:t>
            </w:r>
          </w:p>
        </w:tc>
        <w:tc>
          <w:tcPr>
            <w:tcW w:w="1021" w:type="dxa"/>
            <w:shd w:val="clear" w:color="auto" w:fill="C5E0B3" w:themeFill="accent6" w:themeFillTint="66"/>
          </w:tcPr>
          <w:p w14:paraId="0304F93E" w14:textId="329123AD" w:rsidR="008608AF" w:rsidRPr="00DE0C4D" w:rsidRDefault="00E32731" w:rsidP="008608AF">
            <w:pPr>
              <w:jc w:val="right"/>
              <w:rPr>
                <w:rFonts w:cs="Arial"/>
                <w:b/>
                <w:szCs w:val="22"/>
              </w:rPr>
            </w:pPr>
            <w:r w:rsidRPr="00DE0C4D">
              <w:rPr>
                <w:rFonts w:cs="Arial"/>
                <w:b/>
                <w:szCs w:val="22"/>
              </w:rPr>
              <w:t>23,172</w:t>
            </w:r>
          </w:p>
        </w:tc>
      </w:tr>
      <w:tr w:rsidR="008608AF" w:rsidRPr="000127EF" w14:paraId="3A1C02D6" w14:textId="77777777" w:rsidTr="00D32330">
        <w:trPr>
          <w:trHeight w:val="414"/>
        </w:trPr>
        <w:tc>
          <w:tcPr>
            <w:tcW w:w="2491" w:type="dxa"/>
          </w:tcPr>
          <w:p w14:paraId="0999E03C" w14:textId="59EECDC6" w:rsidR="008608AF" w:rsidRPr="000127EF" w:rsidRDefault="008608AF" w:rsidP="008608AF">
            <w:pPr>
              <w:jc w:val="center"/>
              <w:rPr>
                <w:rFonts w:cs="Arial"/>
                <w:szCs w:val="22"/>
              </w:rPr>
            </w:pPr>
            <w:r w:rsidRPr="000127EF">
              <w:rPr>
                <w:rFonts w:cs="Arial"/>
                <w:szCs w:val="22"/>
              </w:rPr>
              <w:t>40,001 – 60,000</w:t>
            </w:r>
          </w:p>
        </w:tc>
        <w:tc>
          <w:tcPr>
            <w:tcW w:w="1019" w:type="dxa"/>
          </w:tcPr>
          <w:p w14:paraId="6F3C1C36" w14:textId="1A3575FF" w:rsidR="008608AF" w:rsidRPr="000127EF" w:rsidRDefault="008608AF" w:rsidP="008608AF">
            <w:pPr>
              <w:jc w:val="right"/>
              <w:rPr>
                <w:rFonts w:cs="Arial"/>
                <w:szCs w:val="22"/>
              </w:rPr>
            </w:pPr>
            <w:r w:rsidRPr="000127EF">
              <w:rPr>
                <w:rFonts w:cs="Arial"/>
                <w:szCs w:val="22"/>
              </w:rPr>
              <w:t>-</w:t>
            </w:r>
          </w:p>
        </w:tc>
        <w:tc>
          <w:tcPr>
            <w:tcW w:w="1020" w:type="dxa"/>
          </w:tcPr>
          <w:p w14:paraId="70132938" w14:textId="52829C9D" w:rsidR="008608AF" w:rsidRPr="00E32731" w:rsidRDefault="00E32731" w:rsidP="008608AF">
            <w:pPr>
              <w:jc w:val="right"/>
              <w:rPr>
                <w:rFonts w:cs="Arial"/>
                <w:szCs w:val="22"/>
              </w:rPr>
            </w:pPr>
            <w:r w:rsidRPr="00E32731">
              <w:rPr>
                <w:rFonts w:cs="Arial"/>
                <w:szCs w:val="22"/>
              </w:rPr>
              <w:t>0</w:t>
            </w:r>
          </w:p>
        </w:tc>
        <w:tc>
          <w:tcPr>
            <w:tcW w:w="1020" w:type="dxa"/>
          </w:tcPr>
          <w:p w14:paraId="2A212EE0" w14:textId="7ECC17BB" w:rsidR="008608AF" w:rsidRPr="000127EF" w:rsidRDefault="008608AF" w:rsidP="008608AF">
            <w:pPr>
              <w:jc w:val="right"/>
              <w:rPr>
                <w:rFonts w:cs="Arial"/>
                <w:szCs w:val="22"/>
              </w:rPr>
            </w:pPr>
            <w:r w:rsidRPr="000127EF">
              <w:rPr>
                <w:rFonts w:cs="Arial"/>
                <w:szCs w:val="22"/>
              </w:rPr>
              <w:t>-</w:t>
            </w:r>
          </w:p>
        </w:tc>
        <w:tc>
          <w:tcPr>
            <w:tcW w:w="1021" w:type="dxa"/>
          </w:tcPr>
          <w:p w14:paraId="560FFFA5" w14:textId="50BD72B7" w:rsidR="008608AF" w:rsidRPr="00E32731" w:rsidRDefault="00E32731" w:rsidP="008608AF">
            <w:pPr>
              <w:jc w:val="right"/>
              <w:rPr>
                <w:rFonts w:cs="Arial"/>
                <w:szCs w:val="22"/>
              </w:rPr>
            </w:pPr>
            <w:r w:rsidRPr="00E32731">
              <w:rPr>
                <w:rFonts w:cs="Arial"/>
                <w:szCs w:val="22"/>
              </w:rPr>
              <w:t>1</w:t>
            </w:r>
          </w:p>
        </w:tc>
        <w:tc>
          <w:tcPr>
            <w:tcW w:w="1020" w:type="dxa"/>
          </w:tcPr>
          <w:p w14:paraId="3ECF4697" w14:textId="2C8A19AE" w:rsidR="008608AF" w:rsidRPr="000127EF" w:rsidRDefault="008608AF" w:rsidP="008608AF">
            <w:pPr>
              <w:jc w:val="right"/>
              <w:rPr>
                <w:rFonts w:cs="Arial"/>
                <w:szCs w:val="22"/>
              </w:rPr>
            </w:pPr>
            <w:r w:rsidRPr="000127EF">
              <w:rPr>
                <w:rFonts w:cs="Arial"/>
                <w:szCs w:val="22"/>
              </w:rPr>
              <w:t>-</w:t>
            </w:r>
          </w:p>
        </w:tc>
        <w:tc>
          <w:tcPr>
            <w:tcW w:w="1025" w:type="dxa"/>
          </w:tcPr>
          <w:p w14:paraId="30D3ED0B" w14:textId="60E85D61" w:rsidR="008608AF" w:rsidRPr="00E32731" w:rsidRDefault="00E32731" w:rsidP="008608AF">
            <w:pPr>
              <w:jc w:val="right"/>
              <w:rPr>
                <w:rFonts w:cs="Arial"/>
                <w:szCs w:val="22"/>
              </w:rPr>
            </w:pPr>
            <w:r w:rsidRPr="00E32731">
              <w:rPr>
                <w:rFonts w:cs="Arial"/>
                <w:szCs w:val="22"/>
              </w:rPr>
              <w:t>1</w:t>
            </w:r>
          </w:p>
        </w:tc>
        <w:tc>
          <w:tcPr>
            <w:tcW w:w="1020" w:type="dxa"/>
            <w:shd w:val="clear" w:color="auto" w:fill="C5E0B3" w:themeFill="accent6" w:themeFillTint="66"/>
          </w:tcPr>
          <w:p w14:paraId="4D397ED6" w14:textId="425C8CA5" w:rsidR="008608AF" w:rsidRPr="000127EF" w:rsidRDefault="008608AF" w:rsidP="008608AF">
            <w:pPr>
              <w:jc w:val="right"/>
              <w:rPr>
                <w:rFonts w:cs="Arial"/>
                <w:szCs w:val="22"/>
              </w:rPr>
            </w:pPr>
            <w:r w:rsidRPr="000127EF">
              <w:rPr>
                <w:rFonts w:cs="Arial"/>
                <w:szCs w:val="22"/>
              </w:rPr>
              <w:t>-</w:t>
            </w:r>
          </w:p>
        </w:tc>
        <w:tc>
          <w:tcPr>
            <w:tcW w:w="1021" w:type="dxa"/>
            <w:shd w:val="clear" w:color="auto" w:fill="C5E0B3" w:themeFill="accent6" w:themeFillTint="66"/>
          </w:tcPr>
          <w:p w14:paraId="31C3A84B" w14:textId="35B3F3E7" w:rsidR="008608AF" w:rsidRPr="00DE0C4D" w:rsidRDefault="00E32731" w:rsidP="008608AF">
            <w:pPr>
              <w:jc w:val="right"/>
              <w:rPr>
                <w:rFonts w:cs="Arial"/>
                <w:b/>
                <w:szCs w:val="22"/>
              </w:rPr>
            </w:pPr>
            <w:r w:rsidRPr="00DE0C4D">
              <w:rPr>
                <w:rFonts w:cs="Arial"/>
                <w:b/>
                <w:szCs w:val="22"/>
              </w:rPr>
              <w:t>53</w:t>
            </w:r>
            <w:r w:rsidR="004F5B6B">
              <w:rPr>
                <w:rFonts w:cs="Arial"/>
                <w:b/>
                <w:szCs w:val="22"/>
              </w:rPr>
              <w:t>,</w:t>
            </w:r>
            <w:r w:rsidRPr="00DE0C4D">
              <w:rPr>
                <w:rFonts w:cs="Arial"/>
                <w:b/>
                <w:szCs w:val="22"/>
              </w:rPr>
              <w:t>803</w:t>
            </w:r>
          </w:p>
        </w:tc>
      </w:tr>
      <w:tr w:rsidR="008608AF" w:rsidRPr="000127EF" w14:paraId="1F4BECA4" w14:textId="77777777" w:rsidTr="00D32330">
        <w:trPr>
          <w:trHeight w:val="448"/>
        </w:trPr>
        <w:tc>
          <w:tcPr>
            <w:tcW w:w="8616" w:type="dxa"/>
            <w:gridSpan w:val="7"/>
          </w:tcPr>
          <w:p w14:paraId="07F88B83" w14:textId="77777777" w:rsidR="008608AF" w:rsidRPr="000127EF" w:rsidRDefault="008608AF" w:rsidP="008608AF">
            <w:pPr>
              <w:rPr>
                <w:rFonts w:cs="Arial"/>
                <w:b/>
                <w:bCs/>
                <w:color w:val="000000"/>
                <w:szCs w:val="22"/>
                <w:lang w:eastAsia="en-GB"/>
              </w:rPr>
            </w:pPr>
            <w:r w:rsidRPr="000127EF">
              <w:rPr>
                <w:rFonts w:cs="Arial"/>
                <w:b/>
                <w:bCs/>
                <w:color w:val="000000"/>
                <w:szCs w:val="22"/>
              </w:rPr>
              <w:t>Total cost included in the bandings and in the CIES</w:t>
            </w:r>
          </w:p>
          <w:p w14:paraId="2FFC6D84" w14:textId="77777777" w:rsidR="008608AF" w:rsidRPr="000127EF" w:rsidRDefault="008608AF" w:rsidP="008608AF">
            <w:pPr>
              <w:jc w:val="right"/>
              <w:rPr>
                <w:rFonts w:cs="Arial"/>
                <w:szCs w:val="22"/>
              </w:rPr>
            </w:pPr>
          </w:p>
        </w:tc>
        <w:tc>
          <w:tcPr>
            <w:tcW w:w="1020" w:type="dxa"/>
            <w:shd w:val="clear" w:color="auto" w:fill="C5E0B3" w:themeFill="accent6" w:themeFillTint="66"/>
          </w:tcPr>
          <w:p w14:paraId="02021BB3" w14:textId="1D36428D" w:rsidR="008608AF" w:rsidRPr="00DE0C4D" w:rsidRDefault="00E32731" w:rsidP="008608AF">
            <w:pPr>
              <w:jc w:val="right"/>
              <w:rPr>
                <w:rFonts w:cs="Arial"/>
                <w:szCs w:val="22"/>
              </w:rPr>
            </w:pPr>
            <w:r w:rsidRPr="00DE0C4D">
              <w:rPr>
                <w:rFonts w:cs="Arial"/>
                <w:szCs w:val="22"/>
              </w:rPr>
              <w:t>63,112</w:t>
            </w:r>
          </w:p>
        </w:tc>
        <w:tc>
          <w:tcPr>
            <w:tcW w:w="1021" w:type="dxa"/>
            <w:shd w:val="clear" w:color="auto" w:fill="C5E0B3" w:themeFill="accent6" w:themeFillTint="66"/>
          </w:tcPr>
          <w:p w14:paraId="25ED6517" w14:textId="2C249793" w:rsidR="008608AF" w:rsidRPr="00DE0C4D" w:rsidRDefault="00E32731" w:rsidP="008608AF">
            <w:pPr>
              <w:jc w:val="center"/>
              <w:rPr>
                <w:rFonts w:cs="Arial"/>
                <w:b/>
                <w:szCs w:val="22"/>
              </w:rPr>
            </w:pPr>
            <w:r w:rsidRPr="00DE0C4D">
              <w:rPr>
                <w:rFonts w:cs="Arial"/>
                <w:b/>
                <w:szCs w:val="22"/>
              </w:rPr>
              <w:t>113,494</w:t>
            </w:r>
          </w:p>
        </w:tc>
      </w:tr>
    </w:tbl>
    <w:p w14:paraId="099C26C2" w14:textId="77777777" w:rsidR="001740CF" w:rsidRPr="000127EF" w:rsidRDefault="001740CF" w:rsidP="001740CF">
      <w:pPr>
        <w:rPr>
          <w:rFonts w:cs="Arial"/>
          <w:color w:val="000000"/>
          <w:szCs w:val="22"/>
          <w:lang w:eastAsia="en-GB"/>
        </w:rPr>
      </w:pPr>
    </w:p>
    <w:p w14:paraId="52CD82F5" w14:textId="3B1B08F5" w:rsidR="005E21EE" w:rsidRPr="000127EF" w:rsidRDefault="005E21EE" w:rsidP="001740CF">
      <w:pPr>
        <w:rPr>
          <w:rFonts w:cs="Arial"/>
          <w:color w:val="000000"/>
          <w:szCs w:val="22"/>
          <w:lang w:eastAsia="en-GB"/>
        </w:rPr>
      </w:pPr>
      <w:r w:rsidRPr="000127EF">
        <w:rPr>
          <w:rFonts w:cs="Arial"/>
          <w:color w:val="000000"/>
          <w:szCs w:val="22"/>
          <w:lang w:eastAsia="en-GB"/>
        </w:rPr>
        <w:t>The total cost of £</w:t>
      </w:r>
      <w:r w:rsidR="00341E39">
        <w:rPr>
          <w:rFonts w:cs="Arial"/>
          <w:color w:val="000000"/>
          <w:szCs w:val="22"/>
          <w:lang w:eastAsia="en-GB"/>
        </w:rPr>
        <w:t xml:space="preserve">113,494 </w:t>
      </w:r>
      <w:r w:rsidRPr="000127EF">
        <w:rPr>
          <w:rFonts w:cs="Arial"/>
          <w:color w:val="000000"/>
          <w:szCs w:val="22"/>
          <w:lang w:eastAsia="en-GB"/>
        </w:rPr>
        <w:t>in the table above has been charged to the authority’s Comprehensive Income and Expenditure Statement in the current year.</w:t>
      </w:r>
    </w:p>
    <w:p w14:paraId="48EF46F3" w14:textId="77777777" w:rsidR="005933A3" w:rsidRPr="000127EF" w:rsidRDefault="005933A3" w:rsidP="001740CF">
      <w:pPr>
        <w:rPr>
          <w:rFonts w:cs="Arial"/>
          <w:color w:val="000000"/>
          <w:szCs w:val="22"/>
          <w:lang w:eastAsia="en-GB"/>
        </w:rPr>
      </w:pPr>
    </w:p>
    <w:p w14:paraId="21507FAC" w14:textId="77777777" w:rsidR="003F5904" w:rsidRPr="000127EF" w:rsidRDefault="003F5904" w:rsidP="00306C11">
      <w:pPr>
        <w:pStyle w:val="Heading1"/>
        <w:numPr>
          <w:ilvl w:val="0"/>
          <w:numId w:val="8"/>
        </w:numPr>
        <w:spacing w:after="120"/>
        <w:ind w:left="425" w:hanging="357"/>
        <w:rPr>
          <w:sz w:val="22"/>
          <w:szCs w:val="22"/>
        </w:rPr>
      </w:pPr>
      <w:r w:rsidRPr="000127EF">
        <w:rPr>
          <w:sz w:val="22"/>
          <w:szCs w:val="22"/>
        </w:rPr>
        <w:t>External Audit Costs</w:t>
      </w:r>
    </w:p>
    <w:p w14:paraId="3C933479" w14:textId="144BC751" w:rsidR="001F0A41" w:rsidRPr="000127EF" w:rsidRDefault="003F5904" w:rsidP="00E00BB8">
      <w:pPr>
        <w:spacing w:before="120" w:after="120"/>
        <w:jc w:val="both"/>
      </w:pPr>
      <w:r w:rsidRPr="000127EF">
        <w:t xml:space="preserve">The Council has incurred the following cost in relation to the audit of the Statement of Accounts, certification of grant claims and to non-audit services provided by the Council’s external auditors, </w:t>
      </w:r>
      <w:r w:rsidR="002A23DF">
        <w:t>Grant Thornton UK</w:t>
      </w:r>
      <w:r w:rsidRPr="000127EF">
        <w:t xml:space="preserve"> LLP.</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006D38" w:rsidRPr="000127EF" w14:paraId="5A9D6A88" w14:textId="77777777" w:rsidTr="003F5904">
        <w:trPr>
          <w:trHeight w:val="283"/>
          <w:jc w:val="center"/>
        </w:trPr>
        <w:tc>
          <w:tcPr>
            <w:tcW w:w="1454" w:type="dxa"/>
          </w:tcPr>
          <w:p w14:paraId="082357FF" w14:textId="5E1F85BC" w:rsidR="00006D38" w:rsidRPr="000127EF" w:rsidRDefault="008608AF" w:rsidP="001F2D6B">
            <w:pPr>
              <w:jc w:val="center"/>
              <w:rPr>
                <w:b/>
                <w:i/>
              </w:rPr>
            </w:pPr>
            <w:r>
              <w:rPr>
                <w:b/>
                <w:i/>
              </w:rPr>
              <w:t>2018/19</w:t>
            </w:r>
          </w:p>
        </w:tc>
        <w:tc>
          <w:tcPr>
            <w:tcW w:w="5634" w:type="dxa"/>
            <w:vAlign w:val="center"/>
          </w:tcPr>
          <w:p w14:paraId="4EF38064" w14:textId="77777777" w:rsidR="00006D38" w:rsidRPr="000127EF" w:rsidRDefault="00006D38" w:rsidP="00317DB8">
            <w:pPr>
              <w:jc w:val="center"/>
              <w:rPr>
                <w:b/>
              </w:rPr>
            </w:pPr>
            <w:r w:rsidRPr="000127EF">
              <w:rPr>
                <w:b/>
              </w:rPr>
              <w:t>External Audit Costs</w:t>
            </w:r>
          </w:p>
        </w:tc>
        <w:tc>
          <w:tcPr>
            <w:tcW w:w="1534" w:type="dxa"/>
          </w:tcPr>
          <w:p w14:paraId="6E91635A" w14:textId="7B233977" w:rsidR="00006D38" w:rsidRPr="00734E53" w:rsidRDefault="008608AF" w:rsidP="00317DB8">
            <w:pPr>
              <w:jc w:val="center"/>
              <w:rPr>
                <w:b/>
              </w:rPr>
            </w:pPr>
            <w:r w:rsidRPr="00734E53">
              <w:rPr>
                <w:b/>
              </w:rPr>
              <w:t>2019/20</w:t>
            </w:r>
          </w:p>
        </w:tc>
      </w:tr>
      <w:tr w:rsidR="00006D38" w:rsidRPr="000127EF" w14:paraId="3E50EEC1" w14:textId="77777777" w:rsidTr="00504E82">
        <w:trPr>
          <w:jc w:val="center"/>
        </w:trPr>
        <w:tc>
          <w:tcPr>
            <w:tcW w:w="1454" w:type="dxa"/>
          </w:tcPr>
          <w:p w14:paraId="640CC08A" w14:textId="77777777" w:rsidR="00006D38" w:rsidRPr="000127EF" w:rsidRDefault="00006D38" w:rsidP="001F2D6B">
            <w:pPr>
              <w:jc w:val="center"/>
              <w:rPr>
                <w:b/>
                <w:i/>
              </w:rPr>
            </w:pPr>
            <w:r w:rsidRPr="000127EF">
              <w:rPr>
                <w:b/>
                <w:i/>
              </w:rPr>
              <w:t>£000</w:t>
            </w:r>
          </w:p>
        </w:tc>
        <w:tc>
          <w:tcPr>
            <w:tcW w:w="5634" w:type="dxa"/>
          </w:tcPr>
          <w:p w14:paraId="584365DE" w14:textId="77777777" w:rsidR="00006D38" w:rsidRPr="000127EF" w:rsidRDefault="00006D38" w:rsidP="00317DB8">
            <w:pPr>
              <w:jc w:val="center"/>
              <w:rPr>
                <w:b/>
              </w:rPr>
            </w:pPr>
          </w:p>
        </w:tc>
        <w:tc>
          <w:tcPr>
            <w:tcW w:w="1534" w:type="dxa"/>
            <w:shd w:val="clear" w:color="auto" w:fill="C5E0B3" w:themeFill="accent6" w:themeFillTint="66"/>
          </w:tcPr>
          <w:p w14:paraId="2CA7D988" w14:textId="77777777" w:rsidR="00006D38" w:rsidRPr="00734E53" w:rsidRDefault="00006D38" w:rsidP="00317DB8">
            <w:pPr>
              <w:jc w:val="center"/>
              <w:rPr>
                <w:b/>
              </w:rPr>
            </w:pPr>
            <w:r w:rsidRPr="00734E53">
              <w:rPr>
                <w:b/>
              </w:rPr>
              <w:t>£000</w:t>
            </w:r>
          </w:p>
        </w:tc>
      </w:tr>
      <w:tr w:rsidR="008608AF" w:rsidRPr="000127EF" w14:paraId="1A93DD31" w14:textId="77777777" w:rsidTr="00BC2812">
        <w:trPr>
          <w:jc w:val="center"/>
        </w:trPr>
        <w:tc>
          <w:tcPr>
            <w:tcW w:w="1454" w:type="dxa"/>
            <w:vAlign w:val="bottom"/>
          </w:tcPr>
          <w:p w14:paraId="41E42C5E" w14:textId="49549A07" w:rsidR="008608AF" w:rsidRPr="00793CC6" w:rsidRDefault="00D31AB5" w:rsidP="008608AF">
            <w:pPr>
              <w:jc w:val="right"/>
              <w:rPr>
                <w:i/>
                <w:szCs w:val="22"/>
              </w:rPr>
            </w:pPr>
            <w:r>
              <w:rPr>
                <w:szCs w:val="22"/>
              </w:rPr>
              <w:t>52</w:t>
            </w:r>
          </w:p>
        </w:tc>
        <w:tc>
          <w:tcPr>
            <w:tcW w:w="5634" w:type="dxa"/>
            <w:vAlign w:val="center"/>
          </w:tcPr>
          <w:p w14:paraId="6986EC36" w14:textId="77777777" w:rsidR="008608AF" w:rsidRPr="00793CC6" w:rsidRDefault="008608AF" w:rsidP="008608AF">
            <w:pPr>
              <w:rPr>
                <w:rFonts w:cs="Arial"/>
                <w:szCs w:val="22"/>
                <w:lang w:val="en-US"/>
              </w:rPr>
            </w:pPr>
            <w:r w:rsidRPr="00793CC6">
              <w:rPr>
                <w:rFonts w:cs="Arial"/>
                <w:szCs w:val="22"/>
                <w:lang w:val="en-US"/>
              </w:rPr>
              <w:t>Fees payable with regard to external audit services carried out by the appointed auditor for the year</w:t>
            </w:r>
          </w:p>
        </w:tc>
        <w:tc>
          <w:tcPr>
            <w:tcW w:w="1534" w:type="dxa"/>
            <w:shd w:val="clear" w:color="auto" w:fill="C5E0B3" w:themeFill="accent6" w:themeFillTint="66"/>
            <w:vAlign w:val="bottom"/>
          </w:tcPr>
          <w:p w14:paraId="7820BA31" w14:textId="13CE7CA4" w:rsidR="008608AF" w:rsidRPr="00793CC6" w:rsidRDefault="00734E53" w:rsidP="008608AF">
            <w:pPr>
              <w:jc w:val="right"/>
              <w:rPr>
                <w:szCs w:val="22"/>
              </w:rPr>
            </w:pPr>
            <w:r w:rsidRPr="00793CC6">
              <w:rPr>
                <w:szCs w:val="22"/>
              </w:rPr>
              <w:t>56</w:t>
            </w:r>
          </w:p>
        </w:tc>
      </w:tr>
      <w:tr w:rsidR="008608AF" w:rsidRPr="000127EF" w14:paraId="25CD47A0" w14:textId="77777777" w:rsidTr="00BC2812">
        <w:trPr>
          <w:jc w:val="center"/>
        </w:trPr>
        <w:tc>
          <w:tcPr>
            <w:tcW w:w="1454" w:type="dxa"/>
            <w:tcBorders>
              <w:bottom w:val="nil"/>
            </w:tcBorders>
            <w:vAlign w:val="bottom"/>
          </w:tcPr>
          <w:p w14:paraId="0983A2EF" w14:textId="15348431" w:rsidR="008608AF" w:rsidRPr="00793CC6" w:rsidRDefault="008608AF" w:rsidP="008608AF">
            <w:pPr>
              <w:jc w:val="right"/>
              <w:rPr>
                <w:i/>
                <w:szCs w:val="22"/>
              </w:rPr>
            </w:pPr>
            <w:r w:rsidRPr="00793CC6">
              <w:rPr>
                <w:szCs w:val="22"/>
              </w:rPr>
              <w:t>7</w:t>
            </w:r>
          </w:p>
        </w:tc>
        <w:tc>
          <w:tcPr>
            <w:tcW w:w="5634" w:type="dxa"/>
            <w:tcBorders>
              <w:bottom w:val="nil"/>
            </w:tcBorders>
          </w:tcPr>
          <w:p w14:paraId="1A0E57EF" w14:textId="77777777" w:rsidR="008608AF" w:rsidRPr="00793CC6" w:rsidRDefault="008608AF" w:rsidP="008608AF">
            <w:pPr>
              <w:rPr>
                <w:szCs w:val="22"/>
              </w:rPr>
            </w:pPr>
            <w:r w:rsidRPr="00793CC6">
              <w:rPr>
                <w:rFonts w:cs="Arial"/>
                <w:szCs w:val="22"/>
                <w:lang w:val="en-US"/>
              </w:rPr>
              <w:t>Fees payable for the certification of grant claims and returns for the year</w:t>
            </w:r>
          </w:p>
        </w:tc>
        <w:tc>
          <w:tcPr>
            <w:tcW w:w="1534" w:type="dxa"/>
            <w:tcBorders>
              <w:bottom w:val="nil"/>
            </w:tcBorders>
            <w:shd w:val="clear" w:color="auto" w:fill="C5E0B3" w:themeFill="accent6" w:themeFillTint="66"/>
            <w:vAlign w:val="bottom"/>
          </w:tcPr>
          <w:p w14:paraId="33502CA3" w14:textId="73905A65" w:rsidR="008608AF" w:rsidRPr="00793CC6" w:rsidRDefault="00734E53" w:rsidP="008608AF">
            <w:pPr>
              <w:jc w:val="right"/>
              <w:rPr>
                <w:szCs w:val="22"/>
              </w:rPr>
            </w:pPr>
            <w:r w:rsidRPr="00793CC6">
              <w:rPr>
                <w:szCs w:val="22"/>
              </w:rPr>
              <w:t>7</w:t>
            </w:r>
          </w:p>
        </w:tc>
      </w:tr>
      <w:tr w:rsidR="008608AF" w:rsidRPr="000127EF" w14:paraId="5FF600A2" w14:textId="77777777" w:rsidTr="00BC2812">
        <w:trPr>
          <w:jc w:val="center"/>
        </w:trPr>
        <w:tc>
          <w:tcPr>
            <w:tcW w:w="1454" w:type="dxa"/>
            <w:tcBorders>
              <w:bottom w:val="single" w:sz="8" w:space="0" w:color="auto"/>
            </w:tcBorders>
            <w:vAlign w:val="bottom"/>
          </w:tcPr>
          <w:p w14:paraId="4F4199DE" w14:textId="549122DE" w:rsidR="008608AF" w:rsidRPr="00793CC6" w:rsidRDefault="008608AF" w:rsidP="008608AF">
            <w:pPr>
              <w:jc w:val="right"/>
              <w:rPr>
                <w:i/>
                <w:szCs w:val="22"/>
              </w:rPr>
            </w:pPr>
            <w:r w:rsidRPr="00793CC6">
              <w:rPr>
                <w:szCs w:val="22"/>
              </w:rPr>
              <w:t>4</w:t>
            </w:r>
          </w:p>
        </w:tc>
        <w:tc>
          <w:tcPr>
            <w:tcW w:w="5634" w:type="dxa"/>
            <w:tcBorders>
              <w:bottom w:val="nil"/>
            </w:tcBorders>
          </w:tcPr>
          <w:p w14:paraId="22B8C433" w14:textId="77777777" w:rsidR="008608AF" w:rsidRPr="00793CC6" w:rsidRDefault="008608AF" w:rsidP="008608AF">
            <w:pPr>
              <w:rPr>
                <w:szCs w:val="22"/>
              </w:rPr>
            </w:pPr>
            <w:r w:rsidRPr="00793CC6">
              <w:rPr>
                <w:rFonts w:cs="Arial"/>
                <w:szCs w:val="22"/>
                <w:lang w:val="en-US"/>
              </w:rPr>
              <w:t>Fees payable in respect of other services provided by the appointed auditor during the year</w:t>
            </w:r>
          </w:p>
        </w:tc>
        <w:tc>
          <w:tcPr>
            <w:tcW w:w="1534" w:type="dxa"/>
            <w:tcBorders>
              <w:bottom w:val="single" w:sz="8" w:space="0" w:color="auto"/>
            </w:tcBorders>
            <w:shd w:val="clear" w:color="auto" w:fill="C5E0B3" w:themeFill="accent6" w:themeFillTint="66"/>
            <w:vAlign w:val="bottom"/>
          </w:tcPr>
          <w:p w14:paraId="254B973F" w14:textId="03E8C516" w:rsidR="008608AF" w:rsidRPr="00793CC6" w:rsidRDefault="00734E53" w:rsidP="008608AF">
            <w:pPr>
              <w:jc w:val="right"/>
              <w:rPr>
                <w:szCs w:val="22"/>
              </w:rPr>
            </w:pPr>
            <w:r w:rsidRPr="00793CC6">
              <w:rPr>
                <w:szCs w:val="22"/>
              </w:rPr>
              <w:t>1</w:t>
            </w:r>
          </w:p>
        </w:tc>
      </w:tr>
      <w:tr w:rsidR="008608AF" w:rsidRPr="000127EF" w14:paraId="34BC41B7" w14:textId="77777777" w:rsidTr="00E165AE">
        <w:trPr>
          <w:jc w:val="center"/>
        </w:trPr>
        <w:tc>
          <w:tcPr>
            <w:tcW w:w="1454" w:type="dxa"/>
            <w:tcBorders>
              <w:top w:val="single" w:sz="8" w:space="0" w:color="auto"/>
              <w:bottom w:val="single" w:sz="8" w:space="0" w:color="auto"/>
            </w:tcBorders>
          </w:tcPr>
          <w:p w14:paraId="7B834241" w14:textId="435269CD" w:rsidR="008608AF" w:rsidRPr="00793CC6" w:rsidRDefault="00D31AB5" w:rsidP="008608AF">
            <w:pPr>
              <w:jc w:val="right"/>
              <w:rPr>
                <w:b/>
                <w:i/>
                <w:szCs w:val="22"/>
              </w:rPr>
            </w:pPr>
            <w:r>
              <w:rPr>
                <w:b/>
                <w:szCs w:val="22"/>
              </w:rPr>
              <w:fldChar w:fldCharType="begin"/>
            </w:r>
            <w:r>
              <w:rPr>
                <w:b/>
                <w:szCs w:val="22"/>
              </w:rPr>
              <w:instrText xml:space="preserve"> =SUM(ABOVE) \# "0" </w:instrText>
            </w:r>
            <w:r>
              <w:rPr>
                <w:b/>
                <w:szCs w:val="22"/>
              </w:rPr>
              <w:fldChar w:fldCharType="separate"/>
            </w:r>
            <w:r>
              <w:rPr>
                <w:b/>
                <w:noProof/>
                <w:szCs w:val="22"/>
              </w:rPr>
              <w:t>63</w:t>
            </w:r>
            <w:r>
              <w:rPr>
                <w:b/>
                <w:szCs w:val="22"/>
              </w:rPr>
              <w:fldChar w:fldCharType="end"/>
            </w:r>
          </w:p>
        </w:tc>
        <w:tc>
          <w:tcPr>
            <w:tcW w:w="5634" w:type="dxa"/>
            <w:tcBorders>
              <w:bottom w:val="nil"/>
            </w:tcBorders>
          </w:tcPr>
          <w:p w14:paraId="7591BE08" w14:textId="77777777" w:rsidR="008608AF" w:rsidRPr="00793CC6" w:rsidRDefault="008608AF" w:rsidP="008608AF">
            <w:pPr>
              <w:rPr>
                <w:b/>
                <w:szCs w:val="22"/>
              </w:rPr>
            </w:pPr>
            <w:r w:rsidRPr="00793CC6">
              <w:rPr>
                <w:b/>
                <w:szCs w:val="22"/>
              </w:rPr>
              <w:t>Total</w:t>
            </w:r>
          </w:p>
        </w:tc>
        <w:tc>
          <w:tcPr>
            <w:tcW w:w="1534" w:type="dxa"/>
            <w:tcBorders>
              <w:top w:val="single" w:sz="8" w:space="0" w:color="auto"/>
              <w:bottom w:val="single" w:sz="8" w:space="0" w:color="auto"/>
            </w:tcBorders>
            <w:shd w:val="clear" w:color="auto" w:fill="C5E0B3" w:themeFill="accent6" w:themeFillTint="66"/>
          </w:tcPr>
          <w:p w14:paraId="73343403" w14:textId="796ADE40" w:rsidR="008608AF" w:rsidRPr="00793CC6" w:rsidRDefault="00734E53" w:rsidP="008608AF">
            <w:pPr>
              <w:jc w:val="right"/>
              <w:rPr>
                <w:b/>
                <w:szCs w:val="22"/>
              </w:rPr>
            </w:pPr>
            <w:r w:rsidRPr="00793CC6">
              <w:rPr>
                <w:b/>
                <w:szCs w:val="22"/>
              </w:rPr>
              <w:t>6</w:t>
            </w:r>
            <w:r w:rsidR="00324A80" w:rsidRPr="00793CC6">
              <w:rPr>
                <w:b/>
                <w:szCs w:val="22"/>
              </w:rPr>
              <w:t>4</w:t>
            </w:r>
          </w:p>
        </w:tc>
      </w:tr>
      <w:tr w:rsidR="009E7647" w:rsidRPr="000127EF" w14:paraId="18D02B11" w14:textId="77777777" w:rsidTr="00C50B51">
        <w:trPr>
          <w:trHeight w:hRule="exact" w:val="142"/>
          <w:jc w:val="center"/>
        </w:trPr>
        <w:tc>
          <w:tcPr>
            <w:tcW w:w="1454" w:type="dxa"/>
            <w:tcBorders>
              <w:top w:val="nil"/>
            </w:tcBorders>
          </w:tcPr>
          <w:p w14:paraId="0388C7E1" w14:textId="77777777" w:rsidR="009E7647" w:rsidRPr="000127EF" w:rsidRDefault="009E7647" w:rsidP="00317DB8">
            <w:pPr>
              <w:jc w:val="right"/>
              <w:rPr>
                <w:i/>
                <w:sz w:val="12"/>
                <w:szCs w:val="12"/>
              </w:rPr>
            </w:pPr>
          </w:p>
        </w:tc>
        <w:tc>
          <w:tcPr>
            <w:tcW w:w="5634" w:type="dxa"/>
            <w:tcBorders>
              <w:top w:val="nil"/>
            </w:tcBorders>
          </w:tcPr>
          <w:p w14:paraId="3168BFCE" w14:textId="77777777" w:rsidR="009E7647" w:rsidRPr="000127EF" w:rsidRDefault="009E7647" w:rsidP="00317DB8">
            <w:pPr>
              <w:jc w:val="both"/>
              <w:rPr>
                <w:sz w:val="12"/>
                <w:szCs w:val="12"/>
              </w:rPr>
            </w:pPr>
          </w:p>
        </w:tc>
        <w:tc>
          <w:tcPr>
            <w:tcW w:w="1534" w:type="dxa"/>
            <w:tcBorders>
              <w:top w:val="nil"/>
            </w:tcBorders>
          </w:tcPr>
          <w:p w14:paraId="1A931D1A" w14:textId="77777777" w:rsidR="009E7647" w:rsidRPr="000127EF" w:rsidRDefault="009E7647" w:rsidP="00317DB8">
            <w:pPr>
              <w:jc w:val="right"/>
              <w:rPr>
                <w:sz w:val="12"/>
                <w:szCs w:val="12"/>
              </w:rPr>
            </w:pPr>
          </w:p>
        </w:tc>
      </w:tr>
    </w:tbl>
    <w:p w14:paraId="73636BC0" w14:textId="77777777" w:rsidR="00504E82" w:rsidRPr="000127EF" w:rsidRDefault="00504E82" w:rsidP="00F4090B">
      <w:pPr>
        <w:pStyle w:val="Heading1"/>
        <w:numPr>
          <w:ilvl w:val="0"/>
          <w:numId w:val="8"/>
        </w:numPr>
        <w:spacing w:after="140"/>
        <w:ind w:left="425" w:hanging="357"/>
        <w:rPr>
          <w:sz w:val="22"/>
          <w:szCs w:val="22"/>
        </w:rPr>
      </w:pPr>
      <w:r w:rsidRPr="000127EF">
        <w:rPr>
          <w:sz w:val="22"/>
          <w:szCs w:val="22"/>
        </w:rPr>
        <w:t>Dedicated Schools Grant (DSG)</w:t>
      </w:r>
    </w:p>
    <w:p w14:paraId="482994FE" w14:textId="2500B3F7" w:rsidR="00504E82" w:rsidRPr="000127EF" w:rsidRDefault="00504E82" w:rsidP="00F4090B">
      <w:pPr>
        <w:spacing w:before="120" w:after="80"/>
        <w:jc w:val="both"/>
      </w:pPr>
      <w:r w:rsidRPr="000127EF">
        <w:t>Details of the deplo</w:t>
      </w:r>
      <w:r w:rsidR="00827786" w:rsidRPr="000127EF">
        <w:t>yme</w:t>
      </w:r>
      <w:r w:rsidR="008608AF">
        <w:t>nt of DSG receivable for 2019/20</w:t>
      </w:r>
      <w:r w:rsidRPr="000127EF">
        <w:t xml:space="preserve"> and for t</w:t>
      </w:r>
      <w:r w:rsidR="008608AF">
        <w:t>he previous financial year, 2018/19</w:t>
      </w:r>
      <w:r w:rsidRPr="000127EF">
        <w:t xml:space="preserve"> follows:</w:t>
      </w:r>
    </w:p>
    <w:tbl>
      <w:tblPr>
        <w:tblStyle w:val="TableGrid"/>
        <w:tblW w:w="10212"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ayout w:type="fixed"/>
        <w:tblLook w:val="04A0" w:firstRow="1" w:lastRow="0" w:firstColumn="1" w:lastColumn="0" w:noHBand="0" w:noVBand="1"/>
      </w:tblPr>
      <w:tblGrid>
        <w:gridCol w:w="4359"/>
        <w:gridCol w:w="743"/>
        <w:gridCol w:w="1245"/>
        <w:gridCol w:w="455"/>
        <w:gridCol w:w="1671"/>
        <w:gridCol w:w="29"/>
        <w:gridCol w:w="1700"/>
        <w:gridCol w:w="10"/>
      </w:tblGrid>
      <w:tr w:rsidR="00C50B51" w:rsidRPr="000127EF" w14:paraId="7F9DB257" w14:textId="77777777" w:rsidTr="00436CE7">
        <w:trPr>
          <w:gridAfter w:val="1"/>
          <w:wAfter w:w="10" w:type="dxa"/>
          <w:trHeight w:val="611"/>
        </w:trPr>
        <w:tc>
          <w:tcPr>
            <w:tcW w:w="5102" w:type="dxa"/>
            <w:gridSpan w:val="2"/>
            <w:vAlign w:val="center"/>
          </w:tcPr>
          <w:p w14:paraId="7E45B201" w14:textId="77777777" w:rsidR="00C50B51" w:rsidRPr="000127EF" w:rsidRDefault="00C50B51" w:rsidP="00BD7F27">
            <w:pPr>
              <w:rPr>
                <w:b/>
              </w:rPr>
            </w:pPr>
            <w:r w:rsidRPr="000127EF">
              <w:rPr>
                <w:b/>
              </w:rPr>
              <w:lastRenderedPageBreak/>
              <w:t>Schools Budget Funded by Dedicated Schools Grant</w:t>
            </w:r>
          </w:p>
        </w:tc>
        <w:tc>
          <w:tcPr>
            <w:tcW w:w="1700" w:type="dxa"/>
            <w:gridSpan w:val="2"/>
            <w:vAlign w:val="center"/>
          </w:tcPr>
          <w:p w14:paraId="52CAD97B" w14:textId="77777777" w:rsidR="00C50B51" w:rsidRPr="00E96ECE" w:rsidRDefault="00C50B51" w:rsidP="00BD7F27">
            <w:pPr>
              <w:jc w:val="center"/>
              <w:rPr>
                <w:b/>
              </w:rPr>
            </w:pPr>
            <w:r w:rsidRPr="00E96ECE">
              <w:rPr>
                <w:b/>
              </w:rPr>
              <w:t>C</w:t>
            </w:r>
            <w:r w:rsidR="00E6250A" w:rsidRPr="00E96ECE">
              <w:rPr>
                <w:b/>
              </w:rPr>
              <w:t xml:space="preserve">entral </w:t>
            </w:r>
            <w:r w:rsidRPr="00E96ECE">
              <w:rPr>
                <w:b/>
              </w:rPr>
              <w:t>Expenditure</w:t>
            </w:r>
          </w:p>
        </w:tc>
        <w:tc>
          <w:tcPr>
            <w:tcW w:w="1700" w:type="dxa"/>
            <w:gridSpan w:val="2"/>
            <w:vAlign w:val="center"/>
          </w:tcPr>
          <w:p w14:paraId="4B062D1B" w14:textId="77777777" w:rsidR="00C50B51" w:rsidRPr="00E96ECE" w:rsidRDefault="00C50B51" w:rsidP="00BD7F27">
            <w:pPr>
              <w:jc w:val="center"/>
              <w:rPr>
                <w:b/>
              </w:rPr>
            </w:pPr>
            <w:r w:rsidRPr="00E96ECE">
              <w:rPr>
                <w:b/>
              </w:rPr>
              <w:t>I</w:t>
            </w:r>
            <w:r w:rsidR="00CB0958" w:rsidRPr="00E96ECE">
              <w:rPr>
                <w:b/>
              </w:rPr>
              <w:t xml:space="preserve">ndividual School </w:t>
            </w:r>
            <w:r w:rsidRPr="00E96ECE">
              <w:rPr>
                <w:b/>
              </w:rPr>
              <w:t>B</w:t>
            </w:r>
            <w:r w:rsidR="00CB0958" w:rsidRPr="00E96ECE">
              <w:rPr>
                <w:b/>
              </w:rPr>
              <w:t>udget</w:t>
            </w:r>
            <w:r w:rsidR="00317DB8" w:rsidRPr="00E96ECE">
              <w:rPr>
                <w:b/>
              </w:rPr>
              <w:t xml:space="preserve"> (ISB)</w:t>
            </w:r>
          </w:p>
        </w:tc>
        <w:tc>
          <w:tcPr>
            <w:tcW w:w="1700" w:type="dxa"/>
            <w:vAlign w:val="center"/>
          </w:tcPr>
          <w:p w14:paraId="46FD5474" w14:textId="77777777" w:rsidR="00C50B51" w:rsidRPr="00E96ECE" w:rsidRDefault="00C50B51" w:rsidP="00BD7F27">
            <w:pPr>
              <w:jc w:val="center"/>
              <w:rPr>
                <w:b/>
              </w:rPr>
            </w:pPr>
            <w:r w:rsidRPr="00E96ECE">
              <w:rPr>
                <w:b/>
              </w:rPr>
              <w:t>Total</w:t>
            </w:r>
          </w:p>
        </w:tc>
      </w:tr>
      <w:tr w:rsidR="00C50B51" w:rsidRPr="000127EF" w14:paraId="1A497368" w14:textId="77777777" w:rsidTr="00436CE7">
        <w:trPr>
          <w:gridAfter w:val="1"/>
          <w:wAfter w:w="10" w:type="dxa"/>
        </w:trPr>
        <w:tc>
          <w:tcPr>
            <w:tcW w:w="5102" w:type="dxa"/>
            <w:gridSpan w:val="2"/>
          </w:tcPr>
          <w:p w14:paraId="5FCFA964" w14:textId="77777777" w:rsidR="00C50B51" w:rsidRPr="000127EF" w:rsidRDefault="00C50B51" w:rsidP="00C50B51">
            <w:pPr>
              <w:jc w:val="both"/>
            </w:pPr>
          </w:p>
        </w:tc>
        <w:tc>
          <w:tcPr>
            <w:tcW w:w="1700" w:type="dxa"/>
            <w:gridSpan w:val="2"/>
          </w:tcPr>
          <w:p w14:paraId="3CA24FD9" w14:textId="77777777" w:rsidR="00C50B51" w:rsidRPr="00E96ECE" w:rsidRDefault="00CB0958" w:rsidP="00CB0958">
            <w:pPr>
              <w:jc w:val="center"/>
              <w:rPr>
                <w:b/>
              </w:rPr>
            </w:pPr>
            <w:r w:rsidRPr="00E96ECE">
              <w:rPr>
                <w:b/>
              </w:rPr>
              <w:t>£000</w:t>
            </w:r>
          </w:p>
        </w:tc>
        <w:tc>
          <w:tcPr>
            <w:tcW w:w="1700" w:type="dxa"/>
            <w:gridSpan w:val="2"/>
          </w:tcPr>
          <w:p w14:paraId="39DE0E9A" w14:textId="77777777" w:rsidR="00C50B51" w:rsidRPr="00E96ECE" w:rsidRDefault="00CB0958" w:rsidP="00CB0958">
            <w:pPr>
              <w:jc w:val="center"/>
            </w:pPr>
            <w:r w:rsidRPr="00E96ECE">
              <w:rPr>
                <w:b/>
              </w:rPr>
              <w:t>£000</w:t>
            </w:r>
          </w:p>
        </w:tc>
        <w:tc>
          <w:tcPr>
            <w:tcW w:w="1700" w:type="dxa"/>
            <w:shd w:val="clear" w:color="auto" w:fill="C5E0B3" w:themeFill="accent6" w:themeFillTint="66"/>
          </w:tcPr>
          <w:p w14:paraId="16E2EA76" w14:textId="77777777" w:rsidR="00C50B51" w:rsidRPr="00E96ECE" w:rsidRDefault="00CB0958" w:rsidP="00CB0958">
            <w:pPr>
              <w:jc w:val="center"/>
            </w:pPr>
            <w:r w:rsidRPr="00E96ECE">
              <w:rPr>
                <w:b/>
              </w:rPr>
              <w:t>£000</w:t>
            </w:r>
          </w:p>
        </w:tc>
      </w:tr>
      <w:tr w:rsidR="00C50B51" w:rsidRPr="000127EF" w14:paraId="7D1902AA" w14:textId="77777777" w:rsidTr="00436CE7">
        <w:trPr>
          <w:gridAfter w:val="1"/>
          <w:wAfter w:w="10" w:type="dxa"/>
        </w:trPr>
        <w:tc>
          <w:tcPr>
            <w:tcW w:w="5102" w:type="dxa"/>
            <w:gridSpan w:val="2"/>
          </w:tcPr>
          <w:p w14:paraId="0EDD1BA6" w14:textId="366FB1BE" w:rsidR="00C50B51" w:rsidRPr="000127EF" w:rsidRDefault="00CB0958" w:rsidP="00BA4E2E">
            <w:r w:rsidRPr="000127EF">
              <w:t>Final DSG for 201</w:t>
            </w:r>
            <w:r w:rsidR="00D7478A">
              <w:t>9/20</w:t>
            </w:r>
            <w:r w:rsidRPr="000127EF">
              <w:t xml:space="preserve"> before Academy Recoupment</w:t>
            </w:r>
          </w:p>
        </w:tc>
        <w:tc>
          <w:tcPr>
            <w:tcW w:w="1700" w:type="dxa"/>
            <w:gridSpan w:val="2"/>
            <w:vAlign w:val="bottom"/>
          </w:tcPr>
          <w:p w14:paraId="537A71FD" w14:textId="77777777" w:rsidR="00C50B51" w:rsidRPr="00E96ECE" w:rsidRDefault="00C50B51" w:rsidP="00CB0958">
            <w:pPr>
              <w:ind w:right="259"/>
              <w:jc w:val="right"/>
            </w:pPr>
          </w:p>
        </w:tc>
        <w:tc>
          <w:tcPr>
            <w:tcW w:w="1700" w:type="dxa"/>
            <w:gridSpan w:val="2"/>
            <w:vAlign w:val="bottom"/>
          </w:tcPr>
          <w:p w14:paraId="1B73EA14" w14:textId="77777777" w:rsidR="00C50B51" w:rsidRPr="00E96ECE" w:rsidRDefault="00C50B51" w:rsidP="00CB0958">
            <w:pPr>
              <w:ind w:right="310"/>
              <w:jc w:val="right"/>
            </w:pPr>
          </w:p>
        </w:tc>
        <w:tc>
          <w:tcPr>
            <w:tcW w:w="1700" w:type="dxa"/>
            <w:shd w:val="clear" w:color="auto" w:fill="C5E0B3" w:themeFill="accent6" w:themeFillTint="66"/>
            <w:vAlign w:val="bottom"/>
          </w:tcPr>
          <w:p w14:paraId="48E7BBB6" w14:textId="23445C6A" w:rsidR="00C50B51" w:rsidRPr="00E96ECE" w:rsidRDefault="00E96ECE" w:rsidP="00993D14">
            <w:pPr>
              <w:ind w:right="220"/>
              <w:jc w:val="right"/>
            </w:pPr>
            <w:r w:rsidRPr="00E96ECE">
              <w:t>(29,355)</w:t>
            </w:r>
          </w:p>
        </w:tc>
      </w:tr>
      <w:tr w:rsidR="00C50B51" w:rsidRPr="000127EF" w14:paraId="19267D93" w14:textId="77777777" w:rsidTr="00436CE7">
        <w:trPr>
          <w:gridAfter w:val="1"/>
          <w:wAfter w:w="10" w:type="dxa"/>
        </w:trPr>
        <w:tc>
          <w:tcPr>
            <w:tcW w:w="5102" w:type="dxa"/>
            <w:gridSpan w:val="2"/>
          </w:tcPr>
          <w:p w14:paraId="438833E3" w14:textId="6BB8E214" w:rsidR="00C50B51" w:rsidRPr="000127EF" w:rsidRDefault="00CB0958" w:rsidP="00AE329C">
            <w:r w:rsidRPr="000127EF">
              <w:t>Academy Figure Recouped for 201</w:t>
            </w:r>
            <w:r w:rsidR="00D7478A">
              <w:t>9/20</w:t>
            </w:r>
          </w:p>
        </w:tc>
        <w:tc>
          <w:tcPr>
            <w:tcW w:w="1700" w:type="dxa"/>
            <w:gridSpan w:val="2"/>
            <w:vAlign w:val="bottom"/>
          </w:tcPr>
          <w:p w14:paraId="5B3B5651" w14:textId="77777777" w:rsidR="00C50B51" w:rsidRPr="00E96ECE" w:rsidRDefault="00C50B51" w:rsidP="00CB0958">
            <w:pPr>
              <w:ind w:right="259"/>
              <w:jc w:val="right"/>
            </w:pPr>
          </w:p>
        </w:tc>
        <w:tc>
          <w:tcPr>
            <w:tcW w:w="1700" w:type="dxa"/>
            <w:gridSpan w:val="2"/>
            <w:vAlign w:val="bottom"/>
          </w:tcPr>
          <w:p w14:paraId="0E6B4CE0" w14:textId="77777777" w:rsidR="00C50B51" w:rsidRPr="00E96ECE" w:rsidRDefault="00C50B51" w:rsidP="00CB0958">
            <w:pPr>
              <w:ind w:right="310"/>
              <w:jc w:val="right"/>
            </w:pPr>
          </w:p>
        </w:tc>
        <w:tc>
          <w:tcPr>
            <w:tcW w:w="1700" w:type="dxa"/>
            <w:tcBorders>
              <w:bottom w:val="single" w:sz="8" w:space="0" w:color="auto"/>
            </w:tcBorders>
            <w:shd w:val="clear" w:color="auto" w:fill="C5E0B3" w:themeFill="accent6" w:themeFillTint="66"/>
            <w:vAlign w:val="bottom"/>
          </w:tcPr>
          <w:p w14:paraId="4570F2FC" w14:textId="109A195D" w:rsidR="00C50B51" w:rsidRPr="00E96ECE" w:rsidRDefault="00E96ECE" w:rsidP="00993D14">
            <w:pPr>
              <w:ind w:right="220"/>
              <w:jc w:val="right"/>
            </w:pPr>
            <w:r w:rsidRPr="00E96ECE">
              <w:t>21,845</w:t>
            </w:r>
          </w:p>
        </w:tc>
      </w:tr>
      <w:tr w:rsidR="00CB0958" w:rsidRPr="000127EF" w14:paraId="69F696D8" w14:textId="77777777" w:rsidTr="00436CE7">
        <w:trPr>
          <w:gridAfter w:val="1"/>
          <w:wAfter w:w="10" w:type="dxa"/>
        </w:trPr>
        <w:tc>
          <w:tcPr>
            <w:tcW w:w="5102" w:type="dxa"/>
            <w:gridSpan w:val="2"/>
          </w:tcPr>
          <w:p w14:paraId="74AC2393" w14:textId="5DE7E1F3" w:rsidR="00CB0958" w:rsidRPr="000127EF" w:rsidRDefault="00CB0958" w:rsidP="00BA4E2E">
            <w:r w:rsidRPr="000127EF">
              <w:t>Total DSG after Academy recoupment for 201</w:t>
            </w:r>
            <w:r w:rsidR="00D7478A">
              <w:t>9/20</w:t>
            </w:r>
          </w:p>
        </w:tc>
        <w:tc>
          <w:tcPr>
            <w:tcW w:w="1700" w:type="dxa"/>
            <w:gridSpan w:val="2"/>
            <w:vAlign w:val="center"/>
          </w:tcPr>
          <w:p w14:paraId="0ADDC0EE" w14:textId="77777777" w:rsidR="00CB0958" w:rsidRPr="00E96ECE" w:rsidRDefault="00CB0958" w:rsidP="00317DB8">
            <w:pPr>
              <w:ind w:right="259"/>
              <w:jc w:val="right"/>
            </w:pPr>
          </w:p>
        </w:tc>
        <w:tc>
          <w:tcPr>
            <w:tcW w:w="1700" w:type="dxa"/>
            <w:gridSpan w:val="2"/>
            <w:vAlign w:val="center"/>
          </w:tcPr>
          <w:p w14:paraId="783F2E1E" w14:textId="77777777" w:rsidR="00CB0958" w:rsidRPr="00E96ECE" w:rsidRDefault="00CB0958" w:rsidP="00317DB8">
            <w:pPr>
              <w:ind w:right="310"/>
              <w:jc w:val="right"/>
            </w:pPr>
          </w:p>
        </w:tc>
        <w:tc>
          <w:tcPr>
            <w:tcW w:w="1700" w:type="dxa"/>
            <w:tcBorders>
              <w:top w:val="single" w:sz="8" w:space="0" w:color="auto"/>
            </w:tcBorders>
            <w:shd w:val="clear" w:color="auto" w:fill="C5E0B3" w:themeFill="accent6" w:themeFillTint="66"/>
            <w:vAlign w:val="center"/>
          </w:tcPr>
          <w:p w14:paraId="2AD935ED" w14:textId="02CBC9E0" w:rsidR="00CB0958" w:rsidRPr="00E96ECE" w:rsidRDefault="00E96ECE" w:rsidP="00993D14">
            <w:pPr>
              <w:ind w:right="220"/>
              <w:jc w:val="right"/>
            </w:pPr>
            <w:r w:rsidRPr="00E96ECE">
              <w:t>(7,510)</w:t>
            </w:r>
          </w:p>
        </w:tc>
      </w:tr>
      <w:tr w:rsidR="00CB0958" w:rsidRPr="000127EF" w14:paraId="7F611F5E" w14:textId="77777777" w:rsidTr="00436CE7">
        <w:trPr>
          <w:gridAfter w:val="1"/>
          <w:wAfter w:w="10" w:type="dxa"/>
        </w:trPr>
        <w:tc>
          <w:tcPr>
            <w:tcW w:w="5102" w:type="dxa"/>
            <w:gridSpan w:val="2"/>
          </w:tcPr>
          <w:p w14:paraId="3405BCD4" w14:textId="44A755A3" w:rsidR="00CB0958" w:rsidRPr="000127EF" w:rsidRDefault="00CB0958" w:rsidP="00BA4E2E">
            <w:r w:rsidRPr="000127EF">
              <w:t>Brought Forward from 201</w:t>
            </w:r>
            <w:r w:rsidR="00D7478A">
              <w:t>9/20</w:t>
            </w:r>
          </w:p>
        </w:tc>
        <w:tc>
          <w:tcPr>
            <w:tcW w:w="1700" w:type="dxa"/>
            <w:gridSpan w:val="2"/>
            <w:tcBorders>
              <w:bottom w:val="single" w:sz="8" w:space="0" w:color="auto"/>
            </w:tcBorders>
            <w:vAlign w:val="bottom"/>
          </w:tcPr>
          <w:p w14:paraId="5B29DB1E" w14:textId="77777777" w:rsidR="00CB0958" w:rsidRPr="00E96ECE" w:rsidRDefault="00CB0958" w:rsidP="00CB0958">
            <w:pPr>
              <w:ind w:right="259"/>
              <w:jc w:val="right"/>
            </w:pPr>
          </w:p>
        </w:tc>
        <w:tc>
          <w:tcPr>
            <w:tcW w:w="1700" w:type="dxa"/>
            <w:gridSpan w:val="2"/>
            <w:tcBorders>
              <w:bottom w:val="single" w:sz="8" w:space="0" w:color="auto"/>
            </w:tcBorders>
            <w:vAlign w:val="bottom"/>
          </w:tcPr>
          <w:p w14:paraId="6FC80063" w14:textId="77777777" w:rsidR="00CB0958" w:rsidRPr="00E96ECE" w:rsidRDefault="00CB0958" w:rsidP="00CB0958">
            <w:pPr>
              <w:ind w:right="310"/>
              <w:jc w:val="right"/>
            </w:pPr>
          </w:p>
        </w:tc>
        <w:tc>
          <w:tcPr>
            <w:tcW w:w="1700" w:type="dxa"/>
            <w:tcBorders>
              <w:bottom w:val="single" w:sz="8" w:space="0" w:color="auto"/>
            </w:tcBorders>
            <w:shd w:val="clear" w:color="auto" w:fill="C5E0B3" w:themeFill="accent6" w:themeFillTint="66"/>
            <w:vAlign w:val="bottom"/>
          </w:tcPr>
          <w:p w14:paraId="66C3C4C8" w14:textId="5F0C359E" w:rsidR="00CB0958" w:rsidRPr="00E96ECE" w:rsidRDefault="00E96ECE" w:rsidP="00993D14">
            <w:pPr>
              <w:ind w:right="220"/>
              <w:jc w:val="right"/>
            </w:pPr>
            <w:r w:rsidRPr="00E96ECE">
              <w:t>111</w:t>
            </w:r>
          </w:p>
        </w:tc>
      </w:tr>
      <w:tr w:rsidR="00CB0958" w:rsidRPr="000127EF" w14:paraId="1F7DA1ED" w14:textId="77777777" w:rsidTr="0021587E">
        <w:trPr>
          <w:gridAfter w:val="1"/>
          <w:wAfter w:w="10" w:type="dxa"/>
        </w:trPr>
        <w:tc>
          <w:tcPr>
            <w:tcW w:w="5102" w:type="dxa"/>
            <w:gridSpan w:val="2"/>
          </w:tcPr>
          <w:p w14:paraId="4BFD5CDF" w14:textId="096DC3A2" w:rsidR="00CB0958" w:rsidRPr="000127EF" w:rsidRDefault="00CB0958" w:rsidP="00BA4E2E">
            <w:r w:rsidRPr="000127EF">
              <w:t>Agreed initial budgeted distribution in 201</w:t>
            </w:r>
            <w:r w:rsidR="00D7478A">
              <w:t>9/20</w:t>
            </w:r>
          </w:p>
        </w:tc>
        <w:tc>
          <w:tcPr>
            <w:tcW w:w="1700" w:type="dxa"/>
            <w:gridSpan w:val="2"/>
            <w:tcBorders>
              <w:top w:val="single" w:sz="8" w:space="0" w:color="auto"/>
              <w:bottom w:val="nil"/>
            </w:tcBorders>
            <w:vAlign w:val="center"/>
          </w:tcPr>
          <w:p w14:paraId="51E0BD70" w14:textId="130B8DAB" w:rsidR="00CB0958" w:rsidRPr="00E96ECE" w:rsidRDefault="00E96ECE" w:rsidP="00502946">
            <w:pPr>
              <w:ind w:right="259"/>
              <w:jc w:val="right"/>
            </w:pPr>
            <w:r w:rsidRPr="00E96ECE">
              <w:t>(3,</w:t>
            </w:r>
            <w:r w:rsidR="00502946">
              <w:t>966</w:t>
            </w:r>
            <w:r w:rsidRPr="00E96ECE">
              <w:t>)</w:t>
            </w:r>
          </w:p>
        </w:tc>
        <w:tc>
          <w:tcPr>
            <w:tcW w:w="1700" w:type="dxa"/>
            <w:gridSpan w:val="2"/>
            <w:tcBorders>
              <w:top w:val="single" w:sz="8" w:space="0" w:color="auto"/>
              <w:bottom w:val="nil"/>
            </w:tcBorders>
            <w:vAlign w:val="center"/>
          </w:tcPr>
          <w:p w14:paraId="35D05724" w14:textId="59936564" w:rsidR="00CB0958" w:rsidRPr="00E96ECE" w:rsidRDefault="00E96ECE" w:rsidP="00502946">
            <w:pPr>
              <w:ind w:right="310"/>
              <w:jc w:val="right"/>
            </w:pPr>
            <w:r w:rsidRPr="00E96ECE">
              <w:t>(3,</w:t>
            </w:r>
            <w:r w:rsidR="00502946">
              <w:t>432</w:t>
            </w:r>
            <w:r w:rsidRPr="00E96ECE">
              <w:t>)</w:t>
            </w:r>
          </w:p>
        </w:tc>
        <w:tc>
          <w:tcPr>
            <w:tcW w:w="1700" w:type="dxa"/>
            <w:tcBorders>
              <w:top w:val="single" w:sz="8" w:space="0" w:color="auto"/>
              <w:bottom w:val="nil"/>
            </w:tcBorders>
            <w:shd w:val="clear" w:color="auto" w:fill="C5E0B3" w:themeFill="accent6" w:themeFillTint="66"/>
            <w:vAlign w:val="center"/>
          </w:tcPr>
          <w:p w14:paraId="14ABD7AC" w14:textId="5894EC37" w:rsidR="00CB0958" w:rsidRPr="00E96ECE" w:rsidRDefault="00E96ECE" w:rsidP="00993D14">
            <w:pPr>
              <w:ind w:right="220"/>
              <w:jc w:val="right"/>
            </w:pPr>
            <w:r w:rsidRPr="00E96ECE">
              <w:t>(7,39</w:t>
            </w:r>
            <w:r w:rsidR="004F5B6B">
              <w:t>8</w:t>
            </w:r>
            <w:r w:rsidRPr="00E96ECE">
              <w:t>)</w:t>
            </w:r>
          </w:p>
        </w:tc>
      </w:tr>
      <w:tr w:rsidR="0021587E" w:rsidRPr="000127EF" w14:paraId="066BBD28" w14:textId="77777777" w:rsidTr="0021587E">
        <w:trPr>
          <w:gridAfter w:val="1"/>
          <w:wAfter w:w="10" w:type="dxa"/>
        </w:trPr>
        <w:tc>
          <w:tcPr>
            <w:tcW w:w="5102" w:type="dxa"/>
            <w:gridSpan w:val="2"/>
          </w:tcPr>
          <w:p w14:paraId="07BEB066" w14:textId="6E444B58" w:rsidR="0021587E" w:rsidRPr="0021587E" w:rsidRDefault="0021587E" w:rsidP="00BA4E2E">
            <w:r w:rsidRPr="0021587E">
              <w:t>In Year Adjustment</w:t>
            </w:r>
          </w:p>
        </w:tc>
        <w:tc>
          <w:tcPr>
            <w:tcW w:w="1700" w:type="dxa"/>
            <w:gridSpan w:val="2"/>
            <w:tcBorders>
              <w:top w:val="nil"/>
              <w:bottom w:val="single" w:sz="8" w:space="0" w:color="auto"/>
            </w:tcBorders>
            <w:vAlign w:val="bottom"/>
          </w:tcPr>
          <w:p w14:paraId="3981FF57" w14:textId="77777777" w:rsidR="0021587E" w:rsidRPr="00E96ECE" w:rsidRDefault="0021587E" w:rsidP="004E3DF7">
            <w:pPr>
              <w:ind w:right="259"/>
              <w:jc w:val="right"/>
              <w:rPr>
                <w:b/>
              </w:rPr>
            </w:pPr>
          </w:p>
        </w:tc>
        <w:tc>
          <w:tcPr>
            <w:tcW w:w="1700" w:type="dxa"/>
            <w:gridSpan w:val="2"/>
            <w:tcBorders>
              <w:top w:val="nil"/>
              <w:bottom w:val="single" w:sz="8" w:space="0" w:color="auto"/>
            </w:tcBorders>
            <w:vAlign w:val="bottom"/>
          </w:tcPr>
          <w:p w14:paraId="4B2D6E9E" w14:textId="1664D820" w:rsidR="0021587E" w:rsidRPr="0021587E" w:rsidRDefault="0021587E" w:rsidP="00502946">
            <w:pPr>
              <w:ind w:right="310"/>
              <w:jc w:val="right"/>
            </w:pPr>
            <w:r w:rsidRPr="0021587E">
              <w:t>(11</w:t>
            </w:r>
            <w:r w:rsidR="00502946">
              <w:t>7</w:t>
            </w:r>
            <w:r w:rsidRPr="0021587E">
              <w:t>)</w:t>
            </w:r>
          </w:p>
        </w:tc>
        <w:tc>
          <w:tcPr>
            <w:tcW w:w="1700" w:type="dxa"/>
            <w:tcBorders>
              <w:top w:val="nil"/>
              <w:bottom w:val="single" w:sz="8" w:space="0" w:color="auto"/>
            </w:tcBorders>
            <w:shd w:val="clear" w:color="auto" w:fill="C5E0B3" w:themeFill="accent6" w:themeFillTint="66"/>
            <w:vAlign w:val="bottom"/>
          </w:tcPr>
          <w:p w14:paraId="28F97E37" w14:textId="3ACBA808" w:rsidR="0021587E" w:rsidRPr="0021587E" w:rsidRDefault="0021587E" w:rsidP="00502946">
            <w:pPr>
              <w:ind w:right="220"/>
              <w:jc w:val="right"/>
            </w:pPr>
            <w:r w:rsidRPr="0021587E">
              <w:t>(11</w:t>
            </w:r>
            <w:r w:rsidR="00502946">
              <w:t>7</w:t>
            </w:r>
            <w:r w:rsidRPr="0021587E">
              <w:t>)</w:t>
            </w:r>
          </w:p>
        </w:tc>
      </w:tr>
      <w:tr w:rsidR="00CA197B" w:rsidRPr="000127EF" w14:paraId="3DE9FAD2" w14:textId="77777777" w:rsidTr="0021587E">
        <w:trPr>
          <w:gridAfter w:val="1"/>
          <w:wAfter w:w="10" w:type="dxa"/>
        </w:trPr>
        <w:tc>
          <w:tcPr>
            <w:tcW w:w="5102" w:type="dxa"/>
            <w:gridSpan w:val="2"/>
          </w:tcPr>
          <w:p w14:paraId="60F24EFD" w14:textId="5A946FFF" w:rsidR="00CA197B" w:rsidRPr="000127EF" w:rsidRDefault="00AE329C" w:rsidP="00BA4E2E">
            <w:pPr>
              <w:rPr>
                <w:b/>
              </w:rPr>
            </w:pPr>
            <w:r w:rsidRPr="000127EF">
              <w:rPr>
                <w:b/>
              </w:rPr>
              <w:t>Final budgeted distribution 201</w:t>
            </w:r>
            <w:r w:rsidR="00D7478A">
              <w:rPr>
                <w:b/>
              </w:rPr>
              <w:t>9/20</w:t>
            </w:r>
          </w:p>
        </w:tc>
        <w:tc>
          <w:tcPr>
            <w:tcW w:w="1700" w:type="dxa"/>
            <w:gridSpan w:val="2"/>
            <w:tcBorders>
              <w:top w:val="single" w:sz="8" w:space="0" w:color="auto"/>
            </w:tcBorders>
            <w:vAlign w:val="bottom"/>
          </w:tcPr>
          <w:p w14:paraId="4ACD36BF" w14:textId="7D180C10" w:rsidR="00CA197B" w:rsidRPr="00E96ECE" w:rsidRDefault="00E96ECE" w:rsidP="004E3DF7">
            <w:pPr>
              <w:ind w:right="259"/>
              <w:jc w:val="right"/>
              <w:rPr>
                <w:b/>
              </w:rPr>
            </w:pPr>
            <w:r w:rsidRPr="00E96ECE">
              <w:rPr>
                <w:b/>
              </w:rPr>
              <w:t>(3,966)</w:t>
            </w:r>
          </w:p>
        </w:tc>
        <w:tc>
          <w:tcPr>
            <w:tcW w:w="1700" w:type="dxa"/>
            <w:gridSpan w:val="2"/>
            <w:tcBorders>
              <w:top w:val="single" w:sz="8" w:space="0" w:color="auto"/>
            </w:tcBorders>
            <w:vAlign w:val="bottom"/>
          </w:tcPr>
          <w:p w14:paraId="3DBA1A60" w14:textId="5FBBCEEC" w:rsidR="00CA197B" w:rsidRPr="00E96ECE" w:rsidRDefault="00E96ECE" w:rsidP="00502946">
            <w:pPr>
              <w:ind w:right="310"/>
              <w:jc w:val="right"/>
              <w:rPr>
                <w:b/>
              </w:rPr>
            </w:pPr>
            <w:r w:rsidRPr="00E96ECE">
              <w:rPr>
                <w:b/>
              </w:rPr>
              <w:t>(3,</w:t>
            </w:r>
            <w:r w:rsidR="0021587E">
              <w:rPr>
                <w:b/>
              </w:rPr>
              <w:t>5</w:t>
            </w:r>
            <w:r w:rsidR="00502946">
              <w:rPr>
                <w:b/>
              </w:rPr>
              <w:t>49</w:t>
            </w:r>
            <w:r w:rsidRPr="00E96ECE">
              <w:rPr>
                <w:b/>
              </w:rPr>
              <w:t>)</w:t>
            </w:r>
          </w:p>
        </w:tc>
        <w:tc>
          <w:tcPr>
            <w:tcW w:w="1700" w:type="dxa"/>
            <w:tcBorders>
              <w:top w:val="single" w:sz="8" w:space="0" w:color="auto"/>
            </w:tcBorders>
            <w:shd w:val="clear" w:color="auto" w:fill="C5E0B3" w:themeFill="accent6" w:themeFillTint="66"/>
            <w:vAlign w:val="bottom"/>
          </w:tcPr>
          <w:p w14:paraId="27929850" w14:textId="2A1332C7" w:rsidR="00CA197B" w:rsidRPr="00E96ECE" w:rsidRDefault="00E96ECE" w:rsidP="00502946">
            <w:pPr>
              <w:ind w:right="220"/>
              <w:jc w:val="right"/>
              <w:rPr>
                <w:b/>
              </w:rPr>
            </w:pPr>
            <w:r w:rsidRPr="00E96ECE">
              <w:rPr>
                <w:b/>
              </w:rPr>
              <w:t>(7,</w:t>
            </w:r>
            <w:r w:rsidR="0021587E">
              <w:rPr>
                <w:b/>
              </w:rPr>
              <w:t>51</w:t>
            </w:r>
            <w:r w:rsidR="00502946">
              <w:rPr>
                <w:b/>
              </w:rPr>
              <w:t>5</w:t>
            </w:r>
            <w:r w:rsidRPr="00E96ECE">
              <w:rPr>
                <w:b/>
              </w:rPr>
              <w:t>)</w:t>
            </w:r>
          </w:p>
        </w:tc>
      </w:tr>
      <w:tr w:rsidR="00CB0958" w:rsidRPr="000127EF" w14:paraId="0EF159F0" w14:textId="77777777" w:rsidTr="00436CE7">
        <w:trPr>
          <w:gridAfter w:val="1"/>
          <w:wAfter w:w="10" w:type="dxa"/>
        </w:trPr>
        <w:tc>
          <w:tcPr>
            <w:tcW w:w="5102" w:type="dxa"/>
            <w:gridSpan w:val="2"/>
          </w:tcPr>
          <w:p w14:paraId="54482840" w14:textId="77777777" w:rsidR="00CB0958" w:rsidRPr="000127EF" w:rsidRDefault="00317DB8" w:rsidP="00317DB8">
            <w:r w:rsidRPr="000127EF">
              <w:t>Less actual central expenditure</w:t>
            </w:r>
          </w:p>
        </w:tc>
        <w:tc>
          <w:tcPr>
            <w:tcW w:w="1700" w:type="dxa"/>
            <w:gridSpan w:val="2"/>
            <w:vAlign w:val="bottom"/>
          </w:tcPr>
          <w:p w14:paraId="6F3CF08B" w14:textId="32E09F86" w:rsidR="00CB0958" w:rsidRPr="00E96ECE" w:rsidRDefault="00E96ECE" w:rsidP="003710FD">
            <w:pPr>
              <w:ind w:right="259"/>
              <w:jc w:val="right"/>
            </w:pPr>
            <w:r w:rsidRPr="00E96ECE">
              <w:t>3,193</w:t>
            </w:r>
          </w:p>
        </w:tc>
        <w:tc>
          <w:tcPr>
            <w:tcW w:w="1700" w:type="dxa"/>
            <w:gridSpan w:val="2"/>
            <w:vAlign w:val="bottom"/>
          </w:tcPr>
          <w:p w14:paraId="0FE507C6" w14:textId="6E54B749" w:rsidR="00CB0958" w:rsidRPr="00E96ECE" w:rsidRDefault="00E96ECE" w:rsidP="00CB0958">
            <w:pPr>
              <w:ind w:right="310"/>
              <w:jc w:val="right"/>
            </w:pPr>
            <w:r w:rsidRPr="00E96ECE">
              <w:t>-</w:t>
            </w:r>
          </w:p>
        </w:tc>
        <w:tc>
          <w:tcPr>
            <w:tcW w:w="1700" w:type="dxa"/>
            <w:shd w:val="clear" w:color="auto" w:fill="C5E0B3" w:themeFill="accent6" w:themeFillTint="66"/>
            <w:vAlign w:val="bottom"/>
          </w:tcPr>
          <w:p w14:paraId="6067F365" w14:textId="43086308" w:rsidR="00CB0958" w:rsidRPr="00E96ECE" w:rsidRDefault="00E96ECE" w:rsidP="00993D14">
            <w:pPr>
              <w:ind w:right="220"/>
              <w:jc w:val="right"/>
            </w:pPr>
            <w:r w:rsidRPr="00E96ECE">
              <w:t>3,193</w:t>
            </w:r>
          </w:p>
        </w:tc>
      </w:tr>
      <w:tr w:rsidR="006C6B6D" w:rsidRPr="000127EF" w14:paraId="78600E9F" w14:textId="77777777" w:rsidTr="00436CE7">
        <w:trPr>
          <w:gridAfter w:val="1"/>
          <w:wAfter w:w="10" w:type="dxa"/>
        </w:trPr>
        <w:tc>
          <w:tcPr>
            <w:tcW w:w="5102" w:type="dxa"/>
            <w:gridSpan w:val="2"/>
          </w:tcPr>
          <w:p w14:paraId="242F22EF" w14:textId="2DCB67CD" w:rsidR="006C6B6D" w:rsidRPr="000127EF" w:rsidRDefault="006C6B6D" w:rsidP="006C6B6D">
            <w:r w:rsidRPr="000127EF">
              <w:t>Less actual ISB deployed to schools</w:t>
            </w:r>
          </w:p>
        </w:tc>
        <w:tc>
          <w:tcPr>
            <w:tcW w:w="1700" w:type="dxa"/>
            <w:gridSpan w:val="2"/>
            <w:vAlign w:val="bottom"/>
          </w:tcPr>
          <w:p w14:paraId="3F5BF740" w14:textId="33CBF8F5" w:rsidR="006C6B6D" w:rsidRPr="00E96ECE" w:rsidRDefault="00E96ECE" w:rsidP="006C6B6D">
            <w:pPr>
              <w:ind w:right="259"/>
              <w:jc w:val="right"/>
            </w:pPr>
            <w:r w:rsidRPr="00E96ECE">
              <w:t>-</w:t>
            </w:r>
          </w:p>
        </w:tc>
        <w:tc>
          <w:tcPr>
            <w:tcW w:w="1700" w:type="dxa"/>
            <w:gridSpan w:val="2"/>
            <w:vAlign w:val="bottom"/>
          </w:tcPr>
          <w:p w14:paraId="46293694" w14:textId="520B288A" w:rsidR="006C6B6D" w:rsidRPr="00E96ECE" w:rsidRDefault="00E96ECE" w:rsidP="00502946">
            <w:pPr>
              <w:ind w:right="310"/>
              <w:jc w:val="right"/>
            </w:pPr>
            <w:r w:rsidRPr="00E96ECE">
              <w:t>4,</w:t>
            </w:r>
            <w:r w:rsidR="007D08DB">
              <w:t>59</w:t>
            </w:r>
            <w:r w:rsidR="00502946">
              <w:t>0</w:t>
            </w:r>
          </w:p>
        </w:tc>
        <w:tc>
          <w:tcPr>
            <w:tcW w:w="1700" w:type="dxa"/>
            <w:shd w:val="clear" w:color="auto" w:fill="C5E0B3" w:themeFill="accent6" w:themeFillTint="66"/>
            <w:vAlign w:val="bottom"/>
          </w:tcPr>
          <w:p w14:paraId="361FADEC" w14:textId="08491EEF" w:rsidR="006C6B6D" w:rsidRPr="00E96ECE" w:rsidRDefault="007D08DB" w:rsidP="00502946">
            <w:pPr>
              <w:ind w:right="220"/>
              <w:jc w:val="right"/>
            </w:pPr>
            <w:r>
              <w:t>4,59</w:t>
            </w:r>
            <w:r w:rsidR="00502946">
              <w:t>0</w:t>
            </w:r>
          </w:p>
        </w:tc>
      </w:tr>
      <w:tr w:rsidR="006C6B6D" w:rsidRPr="000127EF" w14:paraId="5236057E" w14:textId="77777777" w:rsidTr="00436CE7">
        <w:trPr>
          <w:gridAfter w:val="1"/>
          <w:wAfter w:w="10" w:type="dxa"/>
        </w:trPr>
        <w:tc>
          <w:tcPr>
            <w:tcW w:w="5102" w:type="dxa"/>
            <w:gridSpan w:val="2"/>
          </w:tcPr>
          <w:p w14:paraId="5F259A36" w14:textId="35EF5CB7" w:rsidR="006C6B6D" w:rsidRPr="000127EF" w:rsidRDefault="00AE329C" w:rsidP="006C6B6D">
            <w:pPr>
              <w:rPr>
                <w:b/>
              </w:rPr>
            </w:pPr>
            <w:r w:rsidRPr="000127EF">
              <w:rPr>
                <w:b/>
              </w:rPr>
              <w:t>Carry forward to 20</w:t>
            </w:r>
            <w:r w:rsidR="00D7478A">
              <w:rPr>
                <w:b/>
              </w:rPr>
              <w:t>20/21</w:t>
            </w:r>
          </w:p>
        </w:tc>
        <w:tc>
          <w:tcPr>
            <w:tcW w:w="1700" w:type="dxa"/>
            <w:gridSpan w:val="2"/>
            <w:tcBorders>
              <w:top w:val="single" w:sz="8" w:space="0" w:color="auto"/>
              <w:bottom w:val="single" w:sz="8" w:space="0" w:color="auto"/>
            </w:tcBorders>
            <w:vAlign w:val="bottom"/>
          </w:tcPr>
          <w:p w14:paraId="4099E3AE" w14:textId="721BB973" w:rsidR="006C6B6D" w:rsidRPr="00E96ECE" w:rsidRDefault="00E96ECE" w:rsidP="00502946">
            <w:pPr>
              <w:ind w:right="259"/>
              <w:jc w:val="right"/>
              <w:rPr>
                <w:b/>
              </w:rPr>
            </w:pPr>
            <w:r w:rsidRPr="00E96ECE">
              <w:rPr>
                <w:b/>
              </w:rPr>
              <w:t>(7</w:t>
            </w:r>
            <w:r w:rsidR="00502946">
              <w:rPr>
                <w:b/>
              </w:rPr>
              <w:t>73</w:t>
            </w:r>
            <w:r w:rsidRPr="00E96ECE">
              <w:rPr>
                <w:b/>
              </w:rPr>
              <w:t>)</w:t>
            </w:r>
          </w:p>
        </w:tc>
        <w:tc>
          <w:tcPr>
            <w:tcW w:w="1700" w:type="dxa"/>
            <w:gridSpan w:val="2"/>
            <w:tcBorders>
              <w:top w:val="single" w:sz="8" w:space="0" w:color="auto"/>
              <w:bottom w:val="single" w:sz="8" w:space="0" w:color="auto"/>
            </w:tcBorders>
            <w:vAlign w:val="bottom"/>
          </w:tcPr>
          <w:p w14:paraId="6AC070C9" w14:textId="60854C29" w:rsidR="00E96ECE" w:rsidRPr="00E96ECE" w:rsidRDefault="00E96ECE" w:rsidP="00E96ECE">
            <w:pPr>
              <w:ind w:right="310"/>
              <w:jc w:val="right"/>
              <w:rPr>
                <w:b/>
              </w:rPr>
            </w:pPr>
            <w:r w:rsidRPr="00E96ECE">
              <w:rPr>
                <w:b/>
              </w:rPr>
              <w:t>1,041</w:t>
            </w:r>
          </w:p>
        </w:tc>
        <w:tc>
          <w:tcPr>
            <w:tcW w:w="1700" w:type="dxa"/>
            <w:tcBorders>
              <w:top w:val="single" w:sz="8" w:space="0" w:color="auto"/>
              <w:bottom w:val="single" w:sz="8" w:space="0" w:color="auto"/>
            </w:tcBorders>
            <w:shd w:val="clear" w:color="auto" w:fill="C5E0B3" w:themeFill="accent6" w:themeFillTint="66"/>
            <w:vAlign w:val="bottom"/>
          </w:tcPr>
          <w:p w14:paraId="73B3C268" w14:textId="0ED8F265" w:rsidR="006C6B6D" w:rsidRPr="00E96ECE" w:rsidRDefault="00532DF8" w:rsidP="007D08DB">
            <w:pPr>
              <w:ind w:right="220"/>
              <w:jc w:val="right"/>
              <w:rPr>
                <w:b/>
              </w:rPr>
            </w:pPr>
            <w:r>
              <w:rPr>
                <w:b/>
              </w:rPr>
              <w:t>26</w:t>
            </w:r>
            <w:r w:rsidR="00502946">
              <w:rPr>
                <w:b/>
              </w:rPr>
              <w:t>8</w:t>
            </w:r>
          </w:p>
        </w:tc>
      </w:tr>
      <w:tr w:rsidR="006C6B6D" w:rsidRPr="000127EF" w14:paraId="51AEE58D" w14:textId="77777777" w:rsidTr="00436CE7">
        <w:trPr>
          <w:trHeight w:hRule="exact" w:val="142"/>
        </w:trPr>
        <w:tc>
          <w:tcPr>
            <w:tcW w:w="4359" w:type="dxa"/>
          </w:tcPr>
          <w:p w14:paraId="7D7D9A65" w14:textId="75480E60" w:rsidR="006C6B6D" w:rsidRPr="000127EF" w:rsidRDefault="006C6B6D" w:rsidP="006C6B6D">
            <w:pPr>
              <w:jc w:val="both"/>
              <w:rPr>
                <w:sz w:val="12"/>
                <w:szCs w:val="12"/>
              </w:rPr>
            </w:pPr>
          </w:p>
        </w:tc>
        <w:tc>
          <w:tcPr>
            <w:tcW w:w="1988" w:type="dxa"/>
            <w:gridSpan w:val="2"/>
            <w:vAlign w:val="bottom"/>
          </w:tcPr>
          <w:p w14:paraId="56991CE9" w14:textId="77777777" w:rsidR="006C6B6D" w:rsidRPr="000127EF" w:rsidRDefault="006C6B6D" w:rsidP="006C6B6D">
            <w:pPr>
              <w:ind w:right="259"/>
              <w:jc w:val="right"/>
              <w:rPr>
                <w:sz w:val="12"/>
                <w:szCs w:val="12"/>
              </w:rPr>
            </w:pPr>
          </w:p>
        </w:tc>
        <w:tc>
          <w:tcPr>
            <w:tcW w:w="2126" w:type="dxa"/>
            <w:gridSpan w:val="2"/>
            <w:vAlign w:val="bottom"/>
          </w:tcPr>
          <w:p w14:paraId="4AF6F92D" w14:textId="77777777" w:rsidR="006C6B6D" w:rsidRPr="000127EF" w:rsidRDefault="006C6B6D" w:rsidP="006C6B6D">
            <w:pPr>
              <w:ind w:right="310"/>
              <w:jc w:val="right"/>
              <w:rPr>
                <w:sz w:val="12"/>
                <w:szCs w:val="12"/>
              </w:rPr>
            </w:pPr>
          </w:p>
        </w:tc>
        <w:tc>
          <w:tcPr>
            <w:tcW w:w="1739" w:type="dxa"/>
            <w:gridSpan w:val="3"/>
            <w:vAlign w:val="bottom"/>
          </w:tcPr>
          <w:p w14:paraId="7FC207B7" w14:textId="77777777" w:rsidR="006C6B6D" w:rsidRPr="000127EF" w:rsidRDefault="006C6B6D" w:rsidP="006C6B6D">
            <w:pPr>
              <w:ind w:right="220"/>
              <w:jc w:val="right"/>
              <w:rPr>
                <w:sz w:val="12"/>
                <w:szCs w:val="12"/>
              </w:rPr>
            </w:pPr>
          </w:p>
        </w:tc>
      </w:tr>
    </w:tbl>
    <w:p w14:paraId="3DA9259E" w14:textId="77777777" w:rsidR="00317DB8" w:rsidRPr="000127EF" w:rsidRDefault="00317DB8" w:rsidP="009171A6">
      <w:pPr>
        <w:spacing w:before="120" w:after="120"/>
        <w:jc w:val="both"/>
      </w:pPr>
      <w:r w:rsidRPr="000127EF">
        <w:t xml:space="preserve">The authority's expenditure on schools is funded primarily by grant i.e. the Dedicated Schools Grant (DSG) which is provided by the Department for Education. An element of DSG is recouped by the Department to fund academy schools within the council's area.  </w:t>
      </w:r>
    </w:p>
    <w:p w14:paraId="1D14FE9C" w14:textId="63CF1618" w:rsidR="001A3CBA" w:rsidRPr="000127EF" w:rsidRDefault="00317DB8" w:rsidP="009171A6">
      <w:pPr>
        <w:spacing w:before="120" w:after="120"/>
        <w:jc w:val="both"/>
      </w:pPr>
      <w:r w:rsidRPr="000127EF">
        <w:t xml:space="preserve">DSG is ring-fenced and can only be applied to meet expenditure properly included in the schools budget, as defined in the School Finance (England) Regulations. The schools budget </w:t>
      </w:r>
      <w:r w:rsidRPr="002A23DF">
        <w:t>includes elements for a range of educational services provided on an authority-wide basis and for the Individual Schools Budget, which is divided into a budget share for each maintained school</w:t>
      </w:r>
      <w:r w:rsidR="001A3CBA" w:rsidRPr="002A23DF">
        <w:t>.</w:t>
      </w:r>
      <w:r w:rsidR="00F30F55" w:rsidRPr="002A23DF">
        <w:t xml:space="preserve"> The deficit carry forward for 20</w:t>
      </w:r>
      <w:r w:rsidR="00091DE5" w:rsidRPr="002A23DF">
        <w:t>1</w:t>
      </w:r>
      <w:r w:rsidR="00F30F55" w:rsidRPr="002A23DF">
        <w:t>9/20 is £268k which is largely attributable to the statutory requirements on Special Educational Needs. This</w:t>
      </w:r>
      <w:r w:rsidR="00F30F55">
        <w:t xml:space="preserve"> deficit is shown within the schools reserve on the balance sheet</w:t>
      </w:r>
    </w:p>
    <w:tbl>
      <w:tblPr>
        <w:tblStyle w:val="TableGrid"/>
        <w:tblW w:w="10212"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ayout w:type="fixed"/>
        <w:tblLook w:val="04A0" w:firstRow="1" w:lastRow="0" w:firstColumn="1" w:lastColumn="0" w:noHBand="0" w:noVBand="1"/>
      </w:tblPr>
      <w:tblGrid>
        <w:gridCol w:w="4361"/>
        <w:gridCol w:w="741"/>
        <w:gridCol w:w="1243"/>
        <w:gridCol w:w="458"/>
        <w:gridCol w:w="1669"/>
        <w:gridCol w:w="32"/>
        <w:gridCol w:w="1701"/>
        <w:gridCol w:w="7"/>
      </w:tblGrid>
      <w:tr w:rsidR="00827786" w:rsidRPr="000127EF" w14:paraId="49BC2FE5" w14:textId="77777777" w:rsidTr="00436CE7">
        <w:trPr>
          <w:gridAfter w:val="1"/>
          <w:wAfter w:w="7" w:type="dxa"/>
          <w:trHeight w:val="611"/>
        </w:trPr>
        <w:tc>
          <w:tcPr>
            <w:tcW w:w="5102" w:type="dxa"/>
            <w:gridSpan w:val="2"/>
            <w:vAlign w:val="center"/>
          </w:tcPr>
          <w:p w14:paraId="02AD88AD" w14:textId="77777777" w:rsidR="00827786" w:rsidRPr="000127EF" w:rsidRDefault="00827786" w:rsidP="00F40AF3">
            <w:pPr>
              <w:rPr>
                <w:b/>
              </w:rPr>
            </w:pPr>
            <w:r w:rsidRPr="000127EF">
              <w:rPr>
                <w:b/>
              </w:rPr>
              <w:t>Schools Budget Funded by Dedicated Schools Grant</w:t>
            </w:r>
          </w:p>
        </w:tc>
        <w:tc>
          <w:tcPr>
            <w:tcW w:w="1701" w:type="dxa"/>
            <w:gridSpan w:val="2"/>
            <w:vAlign w:val="center"/>
          </w:tcPr>
          <w:p w14:paraId="566117FB" w14:textId="77777777" w:rsidR="00827786" w:rsidRPr="000127EF" w:rsidRDefault="00827786" w:rsidP="00F40AF3">
            <w:pPr>
              <w:jc w:val="center"/>
              <w:rPr>
                <w:b/>
              </w:rPr>
            </w:pPr>
            <w:r w:rsidRPr="000127EF">
              <w:rPr>
                <w:b/>
              </w:rPr>
              <w:t>Central Expenditure</w:t>
            </w:r>
          </w:p>
        </w:tc>
        <w:tc>
          <w:tcPr>
            <w:tcW w:w="1701" w:type="dxa"/>
            <w:gridSpan w:val="2"/>
            <w:vAlign w:val="center"/>
          </w:tcPr>
          <w:p w14:paraId="65E1EECC" w14:textId="77777777" w:rsidR="00827786" w:rsidRPr="000127EF" w:rsidRDefault="00827786" w:rsidP="00F40AF3">
            <w:pPr>
              <w:jc w:val="center"/>
              <w:rPr>
                <w:b/>
              </w:rPr>
            </w:pPr>
            <w:r w:rsidRPr="000127EF">
              <w:rPr>
                <w:b/>
              </w:rPr>
              <w:t>Individual School Budget (ISB)</w:t>
            </w:r>
          </w:p>
        </w:tc>
        <w:tc>
          <w:tcPr>
            <w:tcW w:w="1701" w:type="dxa"/>
            <w:vAlign w:val="center"/>
          </w:tcPr>
          <w:p w14:paraId="2792E732" w14:textId="77777777" w:rsidR="00827786" w:rsidRPr="000127EF" w:rsidRDefault="00827786" w:rsidP="00F40AF3">
            <w:pPr>
              <w:jc w:val="center"/>
              <w:rPr>
                <w:b/>
              </w:rPr>
            </w:pPr>
            <w:r w:rsidRPr="000127EF">
              <w:rPr>
                <w:b/>
              </w:rPr>
              <w:t>Total</w:t>
            </w:r>
          </w:p>
        </w:tc>
      </w:tr>
      <w:tr w:rsidR="00827786" w:rsidRPr="000127EF" w14:paraId="0FAC13CB" w14:textId="77777777" w:rsidTr="00436CE7">
        <w:trPr>
          <w:gridAfter w:val="1"/>
          <w:wAfter w:w="7" w:type="dxa"/>
        </w:trPr>
        <w:tc>
          <w:tcPr>
            <w:tcW w:w="5102" w:type="dxa"/>
            <w:gridSpan w:val="2"/>
          </w:tcPr>
          <w:p w14:paraId="53865003" w14:textId="77777777" w:rsidR="00827786" w:rsidRPr="000127EF" w:rsidRDefault="00827786" w:rsidP="00F40AF3">
            <w:pPr>
              <w:jc w:val="both"/>
            </w:pPr>
          </w:p>
        </w:tc>
        <w:tc>
          <w:tcPr>
            <w:tcW w:w="1701" w:type="dxa"/>
            <w:gridSpan w:val="2"/>
          </w:tcPr>
          <w:p w14:paraId="62B86B8A" w14:textId="77777777" w:rsidR="00827786" w:rsidRPr="000127EF" w:rsidRDefault="00827786" w:rsidP="00F40AF3">
            <w:pPr>
              <w:jc w:val="center"/>
              <w:rPr>
                <w:b/>
              </w:rPr>
            </w:pPr>
            <w:r w:rsidRPr="000127EF">
              <w:rPr>
                <w:b/>
              </w:rPr>
              <w:t>£000</w:t>
            </w:r>
          </w:p>
        </w:tc>
        <w:tc>
          <w:tcPr>
            <w:tcW w:w="1701" w:type="dxa"/>
            <w:gridSpan w:val="2"/>
          </w:tcPr>
          <w:p w14:paraId="58026EEA" w14:textId="77777777" w:rsidR="00827786" w:rsidRPr="000127EF" w:rsidRDefault="00827786" w:rsidP="00F40AF3">
            <w:pPr>
              <w:jc w:val="center"/>
            </w:pPr>
            <w:r w:rsidRPr="000127EF">
              <w:rPr>
                <w:b/>
              </w:rPr>
              <w:t>£000</w:t>
            </w:r>
          </w:p>
        </w:tc>
        <w:tc>
          <w:tcPr>
            <w:tcW w:w="1701" w:type="dxa"/>
            <w:shd w:val="clear" w:color="auto" w:fill="C5E0B3" w:themeFill="accent6" w:themeFillTint="66"/>
          </w:tcPr>
          <w:p w14:paraId="7065E26B" w14:textId="77777777" w:rsidR="00827786" w:rsidRPr="000127EF" w:rsidRDefault="00827786" w:rsidP="00F40AF3">
            <w:pPr>
              <w:jc w:val="center"/>
            </w:pPr>
            <w:r w:rsidRPr="000127EF">
              <w:rPr>
                <w:b/>
              </w:rPr>
              <w:t>£000</w:t>
            </w:r>
          </w:p>
        </w:tc>
      </w:tr>
      <w:tr w:rsidR="00D7478A" w:rsidRPr="000127EF" w14:paraId="4887E80D" w14:textId="77777777" w:rsidTr="00436CE7">
        <w:trPr>
          <w:gridAfter w:val="1"/>
          <w:wAfter w:w="7" w:type="dxa"/>
        </w:trPr>
        <w:tc>
          <w:tcPr>
            <w:tcW w:w="5102" w:type="dxa"/>
            <w:gridSpan w:val="2"/>
          </w:tcPr>
          <w:p w14:paraId="577FFC08" w14:textId="4BB69139" w:rsidR="00D7478A" w:rsidRPr="00D7478A" w:rsidRDefault="00D7478A" w:rsidP="00D7478A">
            <w:pPr>
              <w:rPr>
                <w:i/>
                <w:iCs/>
              </w:rPr>
            </w:pPr>
            <w:r w:rsidRPr="00D7478A">
              <w:rPr>
                <w:i/>
                <w:iCs/>
              </w:rPr>
              <w:t>Final DSG for 2018/19 before Academy Recoupment</w:t>
            </w:r>
          </w:p>
        </w:tc>
        <w:tc>
          <w:tcPr>
            <w:tcW w:w="1701" w:type="dxa"/>
            <w:gridSpan w:val="2"/>
            <w:vAlign w:val="bottom"/>
          </w:tcPr>
          <w:p w14:paraId="63F49BF7" w14:textId="77777777" w:rsidR="00D7478A" w:rsidRPr="00D7478A" w:rsidRDefault="00D7478A" w:rsidP="00D7478A">
            <w:pPr>
              <w:ind w:right="259"/>
              <w:jc w:val="right"/>
              <w:rPr>
                <w:i/>
                <w:iCs/>
              </w:rPr>
            </w:pPr>
          </w:p>
        </w:tc>
        <w:tc>
          <w:tcPr>
            <w:tcW w:w="1701" w:type="dxa"/>
            <w:gridSpan w:val="2"/>
            <w:vAlign w:val="bottom"/>
          </w:tcPr>
          <w:p w14:paraId="3A104380" w14:textId="77777777" w:rsidR="00D7478A" w:rsidRPr="00D7478A" w:rsidRDefault="00D7478A" w:rsidP="00D7478A">
            <w:pPr>
              <w:ind w:right="310"/>
              <w:jc w:val="right"/>
              <w:rPr>
                <w:i/>
                <w:iCs/>
              </w:rPr>
            </w:pPr>
          </w:p>
        </w:tc>
        <w:tc>
          <w:tcPr>
            <w:tcW w:w="1701" w:type="dxa"/>
            <w:shd w:val="clear" w:color="auto" w:fill="C5E0B3" w:themeFill="accent6" w:themeFillTint="66"/>
            <w:vAlign w:val="bottom"/>
          </w:tcPr>
          <w:p w14:paraId="1CFA4724" w14:textId="0BD18AA7" w:rsidR="00D7478A" w:rsidRPr="00D7478A" w:rsidRDefault="00D7478A" w:rsidP="00D7478A">
            <w:pPr>
              <w:ind w:right="220"/>
              <w:jc w:val="right"/>
              <w:rPr>
                <w:i/>
                <w:iCs/>
              </w:rPr>
            </w:pPr>
            <w:r w:rsidRPr="00D7478A">
              <w:rPr>
                <w:i/>
                <w:iCs/>
              </w:rPr>
              <w:t>(28,949)</w:t>
            </w:r>
          </w:p>
        </w:tc>
      </w:tr>
      <w:tr w:rsidR="00D7478A" w:rsidRPr="000127EF" w14:paraId="7EC1A150" w14:textId="77777777" w:rsidTr="00436CE7">
        <w:trPr>
          <w:gridAfter w:val="1"/>
          <w:wAfter w:w="7" w:type="dxa"/>
        </w:trPr>
        <w:tc>
          <w:tcPr>
            <w:tcW w:w="5102" w:type="dxa"/>
            <w:gridSpan w:val="2"/>
          </w:tcPr>
          <w:p w14:paraId="20DE0880" w14:textId="036276C1" w:rsidR="00D7478A" w:rsidRPr="00D7478A" w:rsidRDefault="00D7478A" w:rsidP="00D7478A">
            <w:pPr>
              <w:rPr>
                <w:i/>
                <w:iCs/>
              </w:rPr>
            </w:pPr>
            <w:r w:rsidRPr="00D7478A">
              <w:rPr>
                <w:i/>
                <w:iCs/>
              </w:rPr>
              <w:t>Academy Figure Recouped for 2018/19</w:t>
            </w:r>
          </w:p>
        </w:tc>
        <w:tc>
          <w:tcPr>
            <w:tcW w:w="1701" w:type="dxa"/>
            <w:gridSpan w:val="2"/>
            <w:vAlign w:val="bottom"/>
          </w:tcPr>
          <w:p w14:paraId="00F8DECF" w14:textId="77777777" w:rsidR="00D7478A" w:rsidRPr="00D7478A" w:rsidRDefault="00D7478A" w:rsidP="00D7478A">
            <w:pPr>
              <w:ind w:right="259"/>
              <w:jc w:val="right"/>
              <w:rPr>
                <w:i/>
                <w:iCs/>
              </w:rPr>
            </w:pPr>
          </w:p>
        </w:tc>
        <w:tc>
          <w:tcPr>
            <w:tcW w:w="1701" w:type="dxa"/>
            <w:gridSpan w:val="2"/>
            <w:vAlign w:val="bottom"/>
          </w:tcPr>
          <w:p w14:paraId="6688698A" w14:textId="77777777" w:rsidR="00D7478A" w:rsidRPr="00D7478A" w:rsidRDefault="00D7478A" w:rsidP="00D7478A">
            <w:pPr>
              <w:ind w:right="310"/>
              <w:jc w:val="right"/>
              <w:rPr>
                <w:i/>
                <w:iCs/>
              </w:rPr>
            </w:pPr>
          </w:p>
        </w:tc>
        <w:tc>
          <w:tcPr>
            <w:tcW w:w="1701" w:type="dxa"/>
            <w:tcBorders>
              <w:bottom w:val="single" w:sz="8" w:space="0" w:color="auto"/>
            </w:tcBorders>
            <w:shd w:val="clear" w:color="auto" w:fill="C5E0B3" w:themeFill="accent6" w:themeFillTint="66"/>
            <w:vAlign w:val="bottom"/>
          </w:tcPr>
          <w:p w14:paraId="1A45B1C5" w14:textId="08C1F89E" w:rsidR="00D7478A" w:rsidRPr="00D7478A" w:rsidRDefault="00D7478A" w:rsidP="00D7478A">
            <w:pPr>
              <w:ind w:right="220"/>
              <w:jc w:val="right"/>
              <w:rPr>
                <w:i/>
                <w:iCs/>
              </w:rPr>
            </w:pPr>
            <w:r w:rsidRPr="00D7478A">
              <w:rPr>
                <w:i/>
                <w:iCs/>
              </w:rPr>
              <w:t>20,121</w:t>
            </w:r>
          </w:p>
        </w:tc>
      </w:tr>
      <w:tr w:rsidR="00D7478A" w:rsidRPr="000127EF" w14:paraId="336EE38A" w14:textId="77777777" w:rsidTr="00436CE7">
        <w:trPr>
          <w:gridAfter w:val="1"/>
          <w:wAfter w:w="7" w:type="dxa"/>
        </w:trPr>
        <w:tc>
          <w:tcPr>
            <w:tcW w:w="5102" w:type="dxa"/>
            <w:gridSpan w:val="2"/>
          </w:tcPr>
          <w:p w14:paraId="65567697" w14:textId="78C70987" w:rsidR="00D7478A" w:rsidRPr="00D7478A" w:rsidRDefault="00D7478A" w:rsidP="00D7478A">
            <w:pPr>
              <w:rPr>
                <w:i/>
                <w:iCs/>
              </w:rPr>
            </w:pPr>
            <w:r w:rsidRPr="00D7478A">
              <w:rPr>
                <w:i/>
                <w:iCs/>
              </w:rPr>
              <w:t>Total DSG after Academy recoupment for 2018/19</w:t>
            </w:r>
          </w:p>
        </w:tc>
        <w:tc>
          <w:tcPr>
            <w:tcW w:w="1701" w:type="dxa"/>
            <w:gridSpan w:val="2"/>
            <w:vAlign w:val="center"/>
          </w:tcPr>
          <w:p w14:paraId="41107ADD" w14:textId="77777777" w:rsidR="00D7478A" w:rsidRPr="00D7478A" w:rsidRDefault="00D7478A" w:rsidP="00D7478A">
            <w:pPr>
              <w:ind w:right="259"/>
              <w:jc w:val="right"/>
              <w:rPr>
                <w:i/>
                <w:iCs/>
              </w:rPr>
            </w:pPr>
          </w:p>
        </w:tc>
        <w:tc>
          <w:tcPr>
            <w:tcW w:w="1701" w:type="dxa"/>
            <w:gridSpan w:val="2"/>
            <w:vAlign w:val="center"/>
          </w:tcPr>
          <w:p w14:paraId="30463B5D" w14:textId="77777777" w:rsidR="00D7478A" w:rsidRPr="00D7478A" w:rsidRDefault="00D7478A" w:rsidP="00D7478A">
            <w:pPr>
              <w:ind w:right="310"/>
              <w:jc w:val="right"/>
              <w:rPr>
                <w:i/>
                <w:iCs/>
              </w:rPr>
            </w:pPr>
          </w:p>
        </w:tc>
        <w:tc>
          <w:tcPr>
            <w:tcW w:w="1701" w:type="dxa"/>
            <w:tcBorders>
              <w:top w:val="single" w:sz="8" w:space="0" w:color="auto"/>
            </w:tcBorders>
            <w:shd w:val="clear" w:color="auto" w:fill="C5E0B3" w:themeFill="accent6" w:themeFillTint="66"/>
            <w:vAlign w:val="center"/>
          </w:tcPr>
          <w:p w14:paraId="116038C7" w14:textId="61F28157" w:rsidR="00D7478A" w:rsidRPr="00D7478A" w:rsidRDefault="00D7478A" w:rsidP="00D7478A">
            <w:pPr>
              <w:ind w:right="220"/>
              <w:jc w:val="right"/>
              <w:rPr>
                <w:i/>
                <w:iCs/>
              </w:rPr>
            </w:pPr>
            <w:r w:rsidRPr="00D7478A">
              <w:rPr>
                <w:i/>
                <w:iCs/>
              </w:rPr>
              <w:fldChar w:fldCharType="begin"/>
            </w:r>
            <w:r w:rsidRPr="00D7478A">
              <w:rPr>
                <w:i/>
                <w:iCs/>
              </w:rPr>
              <w:instrText xml:space="preserve"> =SUM(D3:d4) </w:instrText>
            </w:r>
            <w:r w:rsidRPr="00D7478A">
              <w:rPr>
                <w:i/>
                <w:iCs/>
              </w:rPr>
              <w:fldChar w:fldCharType="separate"/>
            </w:r>
            <w:r w:rsidRPr="00D7478A">
              <w:rPr>
                <w:i/>
                <w:iCs/>
                <w:noProof/>
              </w:rPr>
              <w:t>(8,828)</w:t>
            </w:r>
            <w:r w:rsidRPr="00D7478A">
              <w:rPr>
                <w:i/>
                <w:iCs/>
              </w:rPr>
              <w:fldChar w:fldCharType="end"/>
            </w:r>
          </w:p>
        </w:tc>
      </w:tr>
      <w:tr w:rsidR="00D7478A" w:rsidRPr="000127EF" w14:paraId="6D84102D" w14:textId="77777777" w:rsidTr="00436CE7">
        <w:trPr>
          <w:gridAfter w:val="1"/>
          <w:wAfter w:w="7" w:type="dxa"/>
        </w:trPr>
        <w:tc>
          <w:tcPr>
            <w:tcW w:w="5102" w:type="dxa"/>
            <w:gridSpan w:val="2"/>
          </w:tcPr>
          <w:p w14:paraId="401BF648" w14:textId="7B6880BF" w:rsidR="00D7478A" w:rsidRPr="00D7478A" w:rsidRDefault="00D7478A" w:rsidP="00D7478A">
            <w:pPr>
              <w:rPr>
                <w:i/>
                <w:iCs/>
              </w:rPr>
            </w:pPr>
            <w:r w:rsidRPr="00D7478A">
              <w:rPr>
                <w:i/>
                <w:iCs/>
              </w:rPr>
              <w:t>Brought Forward from 2018/19</w:t>
            </w:r>
          </w:p>
        </w:tc>
        <w:tc>
          <w:tcPr>
            <w:tcW w:w="1701" w:type="dxa"/>
            <w:gridSpan w:val="2"/>
            <w:tcBorders>
              <w:bottom w:val="single" w:sz="8" w:space="0" w:color="auto"/>
            </w:tcBorders>
            <w:vAlign w:val="bottom"/>
          </w:tcPr>
          <w:p w14:paraId="0BC3F722" w14:textId="77777777" w:rsidR="00D7478A" w:rsidRPr="00D7478A" w:rsidRDefault="00D7478A" w:rsidP="00D7478A">
            <w:pPr>
              <w:ind w:right="259"/>
              <w:jc w:val="right"/>
              <w:rPr>
                <w:i/>
                <w:iCs/>
              </w:rPr>
            </w:pPr>
          </w:p>
        </w:tc>
        <w:tc>
          <w:tcPr>
            <w:tcW w:w="1701" w:type="dxa"/>
            <w:gridSpan w:val="2"/>
            <w:tcBorders>
              <w:bottom w:val="single" w:sz="8" w:space="0" w:color="auto"/>
            </w:tcBorders>
            <w:vAlign w:val="bottom"/>
          </w:tcPr>
          <w:p w14:paraId="77EC980F" w14:textId="77777777" w:rsidR="00D7478A" w:rsidRPr="00D7478A" w:rsidRDefault="00D7478A" w:rsidP="00D7478A">
            <w:pPr>
              <w:ind w:right="310"/>
              <w:jc w:val="right"/>
              <w:rPr>
                <w:i/>
                <w:iCs/>
              </w:rPr>
            </w:pPr>
          </w:p>
        </w:tc>
        <w:tc>
          <w:tcPr>
            <w:tcW w:w="1701" w:type="dxa"/>
            <w:tcBorders>
              <w:bottom w:val="single" w:sz="8" w:space="0" w:color="auto"/>
            </w:tcBorders>
            <w:shd w:val="clear" w:color="auto" w:fill="C5E0B3" w:themeFill="accent6" w:themeFillTint="66"/>
            <w:vAlign w:val="bottom"/>
          </w:tcPr>
          <w:p w14:paraId="4A9266F1" w14:textId="30D367EA" w:rsidR="00D7478A" w:rsidRPr="00D7478A" w:rsidRDefault="00D7478A" w:rsidP="00D7478A">
            <w:pPr>
              <w:ind w:right="220"/>
              <w:jc w:val="right"/>
              <w:rPr>
                <w:i/>
                <w:iCs/>
              </w:rPr>
            </w:pPr>
            <w:r w:rsidRPr="00D7478A">
              <w:rPr>
                <w:i/>
                <w:iCs/>
              </w:rPr>
              <w:t>175</w:t>
            </w:r>
          </w:p>
        </w:tc>
      </w:tr>
      <w:tr w:rsidR="00D7478A" w:rsidRPr="000127EF" w14:paraId="70E70F67" w14:textId="77777777" w:rsidTr="00436CE7">
        <w:trPr>
          <w:gridAfter w:val="1"/>
          <w:wAfter w:w="7" w:type="dxa"/>
        </w:trPr>
        <w:tc>
          <w:tcPr>
            <w:tcW w:w="5102" w:type="dxa"/>
            <w:gridSpan w:val="2"/>
          </w:tcPr>
          <w:p w14:paraId="7E6D8C60" w14:textId="5778589C" w:rsidR="00D7478A" w:rsidRPr="00D7478A" w:rsidRDefault="00D7478A" w:rsidP="00D7478A">
            <w:pPr>
              <w:rPr>
                <w:i/>
                <w:iCs/>
              </w:rPr>
            </w:pPr>
            <w:r w:rsidRPr="00D7478A">
              <w:rPr>
                <w:i/>
                <w:iCs/>
              </w:rPr>
              <w:t>Agreed initial budgeted distribution in 2018/19</w:t>
            </w:r>
          </w:p>
        </w:tc>
        <w:tc>
          <w:tcPr>
            <w:tcW w:w="1701" w:type="dxa"/>
            <w:gridSpan w:val="2"/>
            <w:tcBorders>
              <w:top w:val="single" w:sz="8" w:space="0" w:color="auto"/>
              <w:bottom w:val="nil"/>
            </w:tcBorders>
            <w:vAlign w:val="center"/>
          </w:tcPr>
          <w:p w14:paraId="4BAF2CCB" w14:textId="09293CEF" w:rsidR="00D7478A" w:rsidRPr="00D7478A" w:rsidRDefault="00D7478A" w:rsidP="00D7478A">
            <w:pPr>
              <w:ind w:right="259"/>
              <w:jc w:val="right"/>
              <w:rPr>
                <w:i/>
                <w:iCs/>
              </w:rPr>
            </w:pPr>
            <w:r w:rsidRPr="00D7478A">
              <w:rPr>
                <w:i/>
                <w:iCs/>
              </w:rPr>
              <w:t>(3,517)</w:t>
            </w:r>
          </w:p>
        </w:tc>
        <w:tc>
          <w:tcPr>
            <w:tcW w:w="1701" w:type="dxa"/>
            <w:gridSpan w:val="2"/>
            <w:tcBorders>
              <w:top w:val="single" w:sz="8" w:space="0" w:color="auto"/>
              <w:bottom w:val="nil"/>
            </w:tcBorders>
            <w:vAlign w:val="center"/>
          </w:tcPr>
          <w:p w14:paraId="1A565392" w14:textId="16BFE2DA" w:rsidR="00D7478A" w:rsidRPr="00D7478A" w:rsidRDefault="00D7478A" w:rsidP="00D7478A">
            <w:pPr>
              <w:ind w:right="310"/>
              <w:jc w:val="right"/>
              <w:rPr>
                <w:i/>
                <w:iCs/>
              </w:rPr>
            </w:pPr>
            <w:r w:rsidRPr="00D7478A">
              <w:rPr>
                <w:i/>
                <w:iCs/>
              </w:rPr>
              <w:t>(5,136)</w:t>
            </w:r>
          </w:p>
        </w:tc>
        <w:tc>
          <w:tcPr>
            <w:tcW w:w="1701" w:type="dxa"/>
            <w:tcBorders>
              <w:top w:val="single" w:sz="8" w:space="0" w:color="auto"/>
              <w:bottom w:val="nil"/>
            </w:tcBorders>
            <w:shd w:val="clear" w:color="auto" w:fill="C5E0B3" w:themeFill="accent6" w:themeFillTint="66"/>
            <w:vAlign w:val="center"/>
          </w:tcPr>
          <w:p w14:paraId="7CD0CA1F" w14:textId="5F0642E4" w:rsidR="00D7478A" w:rsidRPr="00D7478A" w:rsidRDefault="00D7478A" w:rsidP="00D7478A">
            <w:pPr>
              <w:ind w:right="220"/>
              <w:jc w:val="right"/>
              <w:rPr>
                <w:i/>
                <w:iCs/>
              </w:rPr>
            </w:pPr>
            <w:r w:rsidRPr="00D7478A">
              <w:rPr>
                <w:i/>
                <w:iCs/>
              </w:rPr>
              <w:fldChar w:fldCharType="begin"/>
            </w:r>
            <w:r w:rsidRPr="00D7478A">
              <w:rPr>
                <w:i/>
                <w:iCs/>
              </w:rPr>
              <w:instrText xml:space="preserve"> =SUM(D5:D6) </w:instrText>
            </w:r>
            <w:r w:rsidRPr="00D7478A">
              <w:rPr>
                <w:i/>
                <w:iCs/>
              </w:rPr>
              <w:fldChar w:fldCharType="separate"/>
            </w:r>
            <w:r w:rsidRPr="00D7478A">
              <w:rPr>
                <w:i/>
                <w:iCs/>
                <w:noProof/>
              </w:rPr>
              <w:t>(8,653)</w:t>
            </w:r>
            <w:r w:rsidRPr="00D7478A">
              <w:rPr>
                <w:i/>
                <w:iCs/>
              </w:rPr>
              <w:fldChar w:fldCharType="end"/>
            </w:r>
          </w:p>
        </w:tc>
      </w:tr>
      <w:tr w:rsidR="00D7478A" w:rsidRPr="000127EF" w14:paraId="492687B8" w14:textId="77777777" w:rsidTr="00436CE7">
        <w:trPr>
          <w:gridAfter w:val="1"/>
          <w:wAfter w:w="7" w:type="dxa"/>
        </w:trPr>
        <w:tc>
          <w:tcPr>
            <w:tcW w:w="5102" w:type="dxa"/>
            <w:gridSpan w:val="2"/>
          </w:tcPr>
          <w:p w14:paraId="6B46E444" w14:textId="70B59DED" w:rsidR="00D7478A" w:rsidRPr="00D7478A" w:rsidRDefault="00D7478A" w:rsidP="00D7478A">
            <w:pPr>
              <w:rPr>
                <w:i/>
                <w:iCs/>
              </w:rPr>
            </w:pPr>
            <w:r w:rsidRPr="00D7478A">
              <w:rPr>
                <w:i/>
                <w:iCs/>
              </w:rPr>
              <w:t>In year Adjustments</w:t>
            </w:r>
          </w:p>
        </w:tc>
        <w:tc>
          <w:tcPr>
            <w:tcW w:w="1701" w:type="dxa"/>
            <w:gridSpan w:val="2"/>
            <w:tcBorders>
              <w:top w:val="nil"/>
              <w:bottom w:val="single" w:sz="8" w:space="0" w:color="auto"/>
            </w:tcBorders>
            <w:vAlign w:val="bottom"/>
          </w:tcPr>
          <w:p w14:paraId="19AFFCAA" w14:textId="77777777" w:rsidR="00D7478A" w:rsidRPr="00D7478A" w:rsidRDefault="00D7478A" w:rsidP="00D7478A">
            <w:pPr>
              <w:ind w:right="259"/>
              <w:jc w:val="right"/>
              <w:rPr>
                <w:i/>
                <w:iCs/>
              </w:rPr>
            </w:pPr>
          </w:p>
        </w:tc>
        <w:tc>
          <w:tcPr>
            <w:tcW w:w="1701" w:type="dxa"/>
            <w:gridSpan w:val="2"/>
            <w:tcBorders>
              <w:top w:val="nil"/>
              <w:bottom w:val="single" w:sz="8" w:space="0" w:color="auto"/>
            </w:tcBorders>
            <w:vAlign w:val="bottom"/>
          </w:tcPr>
          <w:p w14:paraId="0F7CD842" w14:textId="02787A46" w:rsidR="00D7478A" w:rsidRPr="00D7478A" w:rsidRDefault="00D7478A" w:rsidP="00D7478A">
            <w:pPr>
              <w:ind w:right="310"/>
              <w:jc w:val="right"/>
              <w:rPr>
                <w:i/>
                <w:iCs/>
              </w:rPr>
            </w:pPr>
            <w:r w:rsidRPr="00D7478A">
              <w:rPr>
                <w:i/>
                <w:iCs/>
              </w:rPr>
              <w:t>(1)</w:t>
            </w:r>
          </w:p>
        </w:tc>
        <w:tc>
          <w:tcPr>
            <w:tcW w:w="1701" w:type="dxa"/>
            <w:tcBorders>
              <w:top w:val="nil"/>
              <w:bottom w:val="single" w:sz="8" w:space="0" w:color="auto"/>
            </w:tcBorders>
            <w:shd w:val="clear" w:color="auto" w:fill="C5E0B3" w:themeFill="accent6" w:themeFillTint="66"/>
            <w:vAlign w:val="bottom"/>
          </w:tcPr>
          <w:p w14:paraId="43810EEE" w14:textId="4A6626FA" w:rsidR="00D7478A" w:rsidRPr="00D7478A" w:rsidRDefault="00D7478A" w:rsidP="00D7478A">
            <w:pPr>
              <w:ind w:right="220"/>
              <w:jc w:val="right"/>
              <w:rPr>
                <w:i/>
                <w:iCs/>
              </w:rPr>
            </w:pPr>
            <w:r w:rsidRPr="00D7478A">
              <w:rPr>
                <w:i/>
                <w:iCs/>
              </w:rPr>
              <w:t>(1)</w:t>
            </w:r>
          </w:p>
        </w:tc>
      </w:tr>
      <w:tr w:rsidR="00D7478A" w:rsidRPr="000127EF" w14:paraId="39AE897E" w14:textId="77777777" w:rsidTr="00436CE7">
        <w:trPr>
          <w:gridAfter w:val="1"/>
          <w:wAfter w:w="7" w:type="dxa"/>
        </w:trPr>
        <w:tc>
          <w:tcPr>
            <w:tcW w:w="5102" w:type="dxa"/>
            <w:gridSpan w:val="2"/>
          </w:tcPr>
          <w:p w14:paraId="66316DB7" w14:textId="20E2BE57" w:rsidR="00D7478A" w:rsidRPr="00D7478A" w:rsidRDefault="00D7478A" w:rsidP="00D7478A">
            <w:pPr>
              <w:rPr>
                <w:b/>
                <w:i/>
                <w:iCs/>
              </w:rPr>
            </w:pPr>
            <w:r w:rsidRPr="00D7478A">
              <w:rPr>
                <w:b/>
                <w:i/>
                <w:iCs/>
              </w:rPr>
              <w:t>Final budgeted distribution 2018/19</w:t>
            </w:r>
          </w:p>
        </w:tc>
        <w:tc>
          <w:tcPr>
            <w:tcW w:w="1701" w:type="dxa"/>
            <w:gridSpan w:val="2"/>
            <w:tcBorders>
              <w:top w:val="single" w:sz="8" w:space="0" w:color="auto"/>
            </w:tcBorders>
            <w:vAlign w:val="bottom"/>
          </w:tcPr>
          <w:p w14:paraId="114AF773" w14:textId="3FBC2EB0" w:rsidR="00D7478A" w:rsidRPr="00D7478A" w:rsidRDefault="00D7478A" w:rsidP="00D7478A">
            <w:pPr>
              <w:ind w:right="259"/>
              <w:jc w:val="right"/>
              <w:rPr>
                <w:b/>
                <w:i/>
                <w:iCs/>
              </w:rPr>
            </w:pPr>
            <w:r w:rsidRPr="00D7478A">
              <w:rPr>
                <w:b/>
                <w:i/>
                <w:iCs/>
              </w:rPr>
              <w:fldChar w:fldCharType="begin"/>
            </w:r>
            <w:r w:rsidRPr="00D7478A">
              <w:rPr>
                <w:b/>
                <w:i/>
                <w:iCs/>
              </w:rPr>
              <w:instrText xml:space="preserve"> =SUM(B7) </w:instrText>
            </w:r>
            <w:r w:rsidRPr="00D7478A">
              <w:rPr>
                <w:b/>
                <w:i/>
                <w:iCs/>
              </w:rPr>
              <w:fldChar w:fldCharType="separate"/>
            </w:r>
            <w:r w:rsidRPr="00D7478A">
              <w:rPr>
                <w:b/>
                <w:i/>
                <w:iCs/>
                <w:noProof/>
              </w:rPr>
              <w:t>(3,517)</w:t>
            </w:r>
            <w:r w:rsidRPr="00D7478A">
              <w:rPr>
                <w:b/>
                <w:i/>
                <w:iCs/>
              </w:rPr>
              <w:fldChar w:fldCharType="end"/>
            </w:r>
          </w:p>
        </w:tc>
        <w:tc>
          <w:tcPr>
            <w:tcW w:w="1701" w:type="dxa"/>
            <w:gridSpan w:val="2"/>
            <w:tcBorders>
              <w:top w:val="single" w:sz="8" w:space="0" w:color="auto"/>
            </w:tcBorders>
            <w:vAlign w:val="bottom"/>
          </w:tcPr>
          <w:p w14:paraId="0403B4D2" w14:textId="175F8268" w:rsidR="00D7478A" w:rsidRPr="00D7478A" w:rsidRDefault="00D7478A" w:rsidP="00D7478A">
            <w:pPr>
              <w:ind w:right="310"/>
              <w:jc w:val="right"/>
              <w:rPr>
                <w:b/>
                <w:i/>
                <w:iCs/>
              </w:rPr>
            </w:pPr>
            <w:r w:rsidRPr="00D7478A">
              <w:rPr>
                <w:b/>
                <w:i/>
                <w:iCs/>
              </w:rPr>
              <w:fldChar w:fldCharType="begin"/>
            </w:r>
            <w:r w:rsidRPr="00D7478A">
              <w:rPr>
                <w:b/>
                <w:i/>
                <w:iCs/>
              </w:rPr>
              <w:instrText xml:space="preserve"> =c7+c8 </w:instrText>
            </w:r>
            <w:r w:rsidRPr="00D7478A">
              <w:rPr>
                <w:b/>
                <w:i/>
                <w:iCs/>
              </w:rPr>
              <w:fldChar w:fldCharType="separate"/>
            </w:r>
            <w:r w:rsidRPr="00D7478A">
              <w:rPr>
                <w:b/>
                <w:i/>
                <w:iCs/>
                <w:noProof/>
              </w:rPr>
              <w:t>(5,137)</w:t>
            </w:r>
            <w:r w:rsidRPr="00D7478A">
              <w:rPr>
                <w:b/>
                <w:i/>
                <w:iCs/>
              </w:rPr>
              <w:fldChar w:fldCharType="end"/>
            </w:r>
          </w:p>
        </w:tc>
        <w:tc>
          <w:tcPr>
            <w:tcW w:w="1701" w:type="dxa"/>
            <w:tcBorders>
              <w:top w:val="single" w:sz="8" w:space="0" w:color="auto"/>
            </w:tcBorders>
            <w:shd w:val="clear" w:color="auto" w:fill="C5E0B3" w:themeFill="accent6" w:themeFillTint="66"/>
            <w:vAlign w:val="bottom"/>
          </w:tcPr>
          <w:p w14:paraId="1D3C9F0D" w14:textId="01A332BB" w:rsidR="00D7478A" w:rsidRPr="00D7478A" w:rsidRDefault="00D7478A" w:rsidP="00D7478A">
            <w:pPr>
              <w:ind w:right="220"/>
              <w:jc w:val="right"/>
              <w:rPr>
                <w:b/>
                <w:i/>
                <w:iCs/>
              </w:rPr>
            </w:pPr>
            <w:r w:rsidRPr="00D7478A">
              <w:rPr>
                <w:b/>
                <w:i/>
                <w:iCs/>
              </w:rPr>
              <w:fldChar w:fldCharType="begin"/>
            </w:r>
            <w:r w:rsidRPr="00D7478A">
              <w:rPr>
                <w:b/>
                <w:i/>
                <w:iCs/>
              </w:rPr>
              <w:instrText xml:space="preserve"> =SUM(d7:d8) </w:instrText>
            </w:r>
            <w:r w:rsidRPr="00D7478A">
              <w:rPr>
                <w:b/>
                <w:i/>
                <w:iCs/>
              </w:rPr>
              <w:fldChar w:fldCharType="separate"/>
            </w:r>
            <w:r w:rsidRPr="00D7478A">
              <w:rPr>
                <w:b/>
                <w:i/>
                <w:iCs/>
                <w:noProof/>
              </w:rPr>
              <w:t>(8,654)</w:t>
            </w:r>
            <w:r w:rsidRPr="00D7478A">
              <w:rPr>
                <w:b/>
                <w:i/>
                <w:iCs/>
              </w:rPr>
              <w:fldChar w:fldCharType="end"/>
            </w:r>
          </w:p>
        </w:tc>
      </w:tr>
      <w:tr w:rsidR="00D7478A" w:rsidRPr="000127EF" w14:paraId="30E971E6" w14:textId="77777777" w:rsidTr="00436CE7">
        <w:trPr>
          <w:gridAfter w:val="1"/>
          <w:wAfter w:w="7" w:type="dxa"/>
        </w:trPr>
        <w:tc>
          <w:tcPr>
            <w:tcW w:w="5102" w:type="dxa"/>
            <w:gridSpan w:val="2"/>
          </w:tcPr>
          <w:p w14:paraId="77DD8375" w14:textId="17A0A25D" w:rsidR="00D7478A" w:rsidRPr="00D7478A" w:rsidRDefault="00D7478A" w:rsidP="00D7478A">
            <w:pPr>
              <w:rPr>
                <w:i/>
                <w:iCs/>
              </w:rPr>
            </w:pPr>
            <w:r w:rsidRPr="00D7478A">
              <w:rPr>
                <w:i/>
                <w:iCs/>
              </w:rPr>
              <w:t>Less actual central expenditure</w:t>
            </w:r>
          </w:p>
        </w:tc>
        <w:tc>
          <w:tcPr>
            <w:tcW w:w="1701" w:type="dxa"/>
            <w:gridSpan w:val="2"/>
            <w:vAlign w:val="bottom"/>
          </w:tcPr>
          <w:p w14:paraId="080913CC" w14:textId="6C1F3475" w:rsidR="00D7478A" w:rsidRPr="00D7478A" w:rsidRDefault="00D7478A" w:rsidP="00D7478A">
            <w:pPr>
              <w:ind w:right="259"/>
              <w:jc w:val="right"/>
              <w:rPr>
                <w:i/>
                <w:iCs/>
              </w:rPr>
            </w:pPr>
            <w:r w:rsidRPr="00D7478A">
              <w:rPr>
                <w:i/>
                <w:iCs/>
              </w:rPr>
              <w:t>3,002</w:t>
            </w:r>
          </w:p>
        </w:tc>
        <w:tc>
          <w:tcPr>
            <w:tcW w:w="1701" w:type="dxa"/>
            <w:gridSpan w:val="2"/>
            <w:vAlign w:val="bottom"/>
          </w:tcPr>
          <w:p w14:paraId="5F4928FD" w14:textId="32F21FF0" w:rsidR="00D7478A" w:rsidRPr="00D7478A" w:rsidRDefault="00D7478A" w:rsidP="00D7478A">
            <w:pPr>
              <w:ind w:right="310"/>
              <w:jc w:val="right"/>
              <w:rPr>
                <w:i/>
                <w:iCs/>
              </w:rPr>
            </w:pPr>
            <w:r w:rsidRPr="00D7478A">
              <w:rPr>
                <w:i/>
                <w:iCs/>
              </w:rPr>
              <w:t>-</w:t>
            </w:r>
          </w:p>
        </w:tc>
        <w:tc>
          <w:tcPr>
            <w:tcW w:w="1701" w:type="dxa"/>
            <w:shd w:val="clear" w:color="auto" w:fill="C5E0B3" w:themeFill="accent6" w:themeFillTint="66"/>
            <w:vAlign w:val="bottom"/>
          </w:tcPr>
          <w:p w14:paraId="14B64E60" w14:textId="1D2BFDF3" w:rsidR="00D7478A" w:rsidRPr="00D7478A" w:rsidRDefault="00D7478A" w:rsidP="00D7478A">
            <w:pPr>
              <w:ind w:right="220"/>
              <w:jc w:val="right"/>
              <w:rPr>
                <w:i/>
                <w:iCs/>
              </w:rPr>
            </w:pPr>
            <w:r w:rsidRPr="00D7478A">
              <w:rPr>
                <w:b/>
                <w:i/>
                <w:iCs/>
              </w:rPr>
              <w:fldChar w:fldCharType="begin"/>
            </w:r>
            <w:r w:rsidRPr="00D7478A">
              <w:rPr>
                <w:b/>
                <w:i/>
                <w:iCs/>
              </w:rPr>
              <w:instrText xml:space="preserve"> =SUM(b10:c10) </w:instrText>
            </w:r>
            <w:r w:rsidRPr="00D7478A">
              <w:rPr>
                <w:b/>
                <w:i/>
                <w:iCs/>
              </w:rPr>
              <w:fldChar w:fldCharType="separate"/>
            </w:r>
            <w:r w:rsidRPr="00D7478A">
              <w:rPr>
                <w:b/>
                <w:i/>
                <w:iCs/>
                <w:noProof/>
              </w:rPr>
              <w:t>3,002</w:t>
            </w:r>
            <w:r w:rsidRPr="00D7478A">
              <w:rPr>
                <w:b/>
                <w:i/>
                <w:iCs/>
              </w:rPr>
              <w:fldChar w:fldCharType="end"/>
            </w:r>
          </w:p>
        </w:tc>
      </w:tr>
      <w:tr w:rsidR="00D7478A" w:rsidRPr="000127EF" w14:paraId="7DC2B366" w14:textId="77777777" w:rsidTr="00436CE7">
        <w:trPr>
          <w:gridAfter w:val="1"/>
          <w:wAfter w:w="7" w:type="dxa"/>
        </w:trPr>
        <w:tc>
          <w:tcPr>
            <w:tcW w:w="5102" w:type="dxa"/>
            <w:gridSpan w:val="2"/>
          </w:tcPr>
          <w:p w14:paraId="06C340CD" w14:textId="6D2E6E6D" w:rsidR="00D7478A" w:rsidRPr="00D7478A" w:rsidRDefault="00D7478A" w:rsidP="00D7478A">
            <w:pPr>
              <w:rPr>
                <w:i/>
                <w:iCs/>
              </w:rPr>
            </w:pPr>
            <w:r w:rsidRPr="00D7478A">
              <w:rPr>
                <w:i/>
                <w:iCs/>
              </w:rPr>
              <w:t>Less actual ISB deployed to schools</w:t>
            </w:r>
          </w:p>
        </w:tc>
        <w:tc>
          <w:tcPr>
            <w:tcW w:w="1701" w:type="dxa"/>
            <w:gridSpan w:val="2"/>
            <w:vAlign w:val="bottom"/>
          </w:tcPr>
          <w:p w14:paraId="0B99AD73" w14:textId="5FD44365" w:rsidR="00D7478A" w:rsidRPr="00D7478A" w:rsidRDefault="00D7478A" w:rsidP="00D7478A">
            <w:pPr>
              <w:ind w:right="259"/>
              <w:jc w:val="right"/>
              <w:rPr>
                <w:i/>
                <w:iCs/>
              </w:rPr>
            </w:pPr>
            <w:r w:rsidRPr="00D7478A">
              <w:rPr>
                <w:i/>
                <w:iCs/>
              </w:rPr>
              <w:t>-</w:t>
            </w:r>
          </w:p>
        </w:tc>
        <w:tc>
          <w:tcPr>
            <w:tcW w:w="1701" w:type="dxa"/>
            <w:gridSpan w:val="2"/>
            <w:vAlign w:val="bottom"/>
          </w:tcPr>
          <w:p w14:paraId="219FD85D" w14:textId="10654572" w:rsidR="00D7478A" w:rsidRPr="00D7478A" w:rsidRDefault="00D7478A" w:rsidP="00D7478A">
            <w:pPr>
              <w:ind w:right="310"/>
              <w:jc w:val="right"/>
              <w:rPr>
                <w:i/>
                <w:iCs/>
              </w:rPr>
            </w:pPr>
            <w:r w:rsidRPr="00D7478A">
              <w:rPr>
                <w:i/>
                <w:iCs/>
              </w:rPr>
              <w:t>5,763</w:t>
            </w:r>
          </w:p>
        </w:tc>
        <w:tc>
          <w:tcPr>
            <w:tcW w:w="1701" w:type="dxa"/>
            <w:shd w:val="clear" w:color="auto" w:fill="C5E0B3" w:themeFill="accent6" w:themeFillTint="66"/>
            <w:vAlign w:val="bottom"/>
          </w:tcPr>
          <w:p w14:paraId="0C3C3B7C" w14:textId="00B17FA8" w:rsidR="00D7478A" w:rsidRPr="00D7478A" w:rsidRDefault="00D7478A" w:rsidP="00D7478A">
            <w:pPr>
              <w:ind w:right="220"/>
              <w:jc w:val="right"/>
              <w:rPr>
                <w:i/>
                <w:iCs/>
              </w:rPr>
            </w:pPr>
            <w:r w:rsidRPr="00D7478A">
              <w:rPr>
                <w:b/>
                <w:i/>
                <w:iCs/>
              </w:rPr>
              <w:fldChar w:fldCharType="begin"/>
            </w:r>
            <w:r w:rsidRPr="00D7478A">
              <w:rPr>
                <w:b/>
                <w:i/>
                <w:iCs/>
              </w:rPr>
              <w:instrText xml:space="preserve"> =SUM(b11:c11) </w:instrText>
            </w:r>
            <w:r w:rsidRPr="00D7478A">
              <w:rPr>
                <w:b/>
                <w:i/>
                <w:iCs/>
              </w:rPr>
              <w:fldChar w:fldCharType="separate"/>
            </w:r>
            <w:r w:rsidRPr="00D7478A">
              <w:rPr>
                <w:b/>
                <w:i/>
                <w:iCs/>
                <w:noProof/>
              </w:rPr>
              <w:t>5,763</w:t>
            </w:r>
            <w:r w:rsidRPr="00D7478A">
              <w:rPr>
                <w:b/>
                <w:i/>
                <w:iCs/>
              </w:rPr>
              <w:fldChar w:fldCharType="end"/>
            </w:r>
          </w:p>
        </w:tc>
      </w:tr>
      <w:tr w:rsidR="00D7478A" w:rsidRPr="000127EF" w14:paraId="01CE3469" w14:textId="77777777" w:rsidTr="00436CE7">
        <w:trPr>
          <w:gridAfter w:val="1"/>
          <w:wAfter w:w="7" w:type="dxa"/>
        </w:trPr>
        <w:tc>
          <w:tcPr>
            <w:tcW w:w="5102" w:type="dxa"/>
            <w:gridSpan w:val="2"/>
          </w:tcPr>
          <w:p w14:paraId="31694877" w14:textId="6F33D909" w:rsidR="00D7478A" w:rsidRPr="00D7478A" w:rsidRDefault="00D7478A" w:rsidP="00D7478A">
            <w:pPr>
              <w:rPr>
                <w:i/>
                <w:iCs/>
              </w:rPr>
            </w:pPr>
            <w:r w:rsidRPr="00D7478A">
              <w:rPr>
                <w:i/>
                <w:iCs/>
              </w:rPr>
              <w:t>Plus Local Authority contribution for 2017/18</w:t>
            </w:r>
          </w:p>
        </w:tc>
        <w:tc>
          <w:tcPr>
            <w:tcW w:w="1701" w:type="dxa"/>
            <w:gridSpan w:val="2"/>
            <w:tcBorders>
              <w:bottom w:val="single" w:sz="8" w:space="0" w:color="auto"/>
            </w:tcBorders>
            <w:vAlign w:val="bottom"/>
          </w:tcPr>
          <w:p w14:paraId="2F0DD32D" w14:textId="0A3B6A70" w:rsidR="00D7478A" w:rsidRPr="00D7478A" w:rsidRDefault="00D7478A" w:rsidP="00D7478A">
            <w:pPr>
              <w:ind w:right="259"/>
              <w:jc w:val="right"/>
              <w:rPr>
                <w:i/>
                <w:iCs/>
              </w:rPr>
            </w:pPr>
            <w:r w:rsidRPr="00D7478A">
              <w:rPr>
                <w:i/>
                <w:iCs/>
              </w:rPr>
              <w:t>-</w:t>
            </w:r>
          </w:p>
        </w:tc>
        <w:tc>
          <w:tcPr>
            <w:tcW w:w="1701" w:type="dxa"/>
            <w:gridSpan w:val="2"/>
            <w:tcBorders>
              <w:bottom w:val="single" w:sz="8" w:space="0" w:color="auto"/>
            </w:tcBorders>
            <w:vAlign w:val="bottom"/>
          </w:tcPr>
          <w:p w14:paraId="406B25F0" w14:textId="4F675675" w:rsidR="00D7478A" w:rsidRPr="00D7478A" w:rsidRDefault="00D7478A" w:rsidP="00D7478A">
            <w:pPr>
              <w:ind w:right="310"/>
              <w:jc w:val="right"/>
              <w:rPr>
                <w:i/>
                <w:iCs/>
              </w:rPr>
            </w:pPr>
            <w:r w:rsidRPr="00D7478A">
              <w:rPr>
                <w:i/>
                <w:iCs/>
              </w:rPr>
              <w:t>-</w:t>
            </w:r>
          </w:p>
        </w:tc>
        <w:tc>
          <w:tcPr>
            <w:tcW w:w="1701" w:type="dxa"/>
            <w:tcBorders>
              <w:bottom w:val="single" w:sz="8" w:space="0" w:color="auto"/>
            </w:tcBorders>
            <w:shd w:val="clear" w:color="auto" w:fill="C5E0B3" w:themeFill="accent6" w:themeFillTint="66"/>
            <w:vAlign w:val="bottom"/>
          </w:tcPr>
          <w:p w14:paraId="699B31B1" w14:textId="4583B3CD" w:rsidR="00D7478A" w:rsidRPr="00D7478A" w:rsidRDefault="00D7478A" w:rsidP="00D7478A">
            <w:pPr>
              <w:ind w:right="220"/>
              <w:jc w:val="right"/>
              <w:rPr>
                <w:i/>
                <w:iCs/>
              </w:rPr>
            </w:pPr>
            <w:r w:rsidRPr="00D7478A">
              <w:rPr>
                <w:i/>
                <w:iCs/>
              </w:rPr>
              <w:t>-</w:t>
            </w:r>
          </w:p>
        </w:tc>
      </w:tr>
      <w:tr w:rsidR="00D7478A" w:rsidRPr="000127EF" w14:paraId="720A85B0" w14:textId="77777777" w:rsidTr="00436CE7">
        <w:trPr>
          <w:gridAfter w:val="1"/>
          <w:wAfter w:w="7" w:type="dxa"/>
        </w:trPr>
        <w:tc>
          <w:tcPr>
            <w:tcW w:w="5102" w:type="dxa"/>
            <w:gridSpan w:val="2"/>
          </w:tcPr>
          <w:p w14:paraId="5EBD6334" w14:textId="50FEA304" w:rsidR="00D7478A" w:rsidRPr="00D7478A" w:rsidRDefault="00D7478A" w:rsidP="00D7478A">
            <w:pPr>
              <w:rPr>
                <w:b/>
                <w:i/>
                <w:iCs/>
              </w:rPr>
            </w:pPr>
            <w:r w:rsidRPr="00D7478A">
              <w:rPr>
                <w:b/>
                <w:i/>
                <w:iCs/>
              </w:rPr>
              <w:t>Carry forward to 2019/20</w:t>
            </w:r>
          </w:p>
        </w:tc>
        <w:tc>
          <w:tcPr>
            <w:tcW w:w="1701" w:type="dxa"/>
            <w:gridSpan w:val="2"/>
            <w:tcBorders>
              <w:top w:val="single" w:sz="8" w:space="0" w:color="auto"/>
              <w:bottom w:val="single" w:sz="8" w:space="0" w:color="auto"/>
            </w:tcBorders>
            <w:vAlign w:val="bottom"/>
          </w:tcPr>
          <w:p w14:paraId="2293B18A" w14:textId="203AFD77" w:rsidR="00D7478A" w:rsidRPr="00D7478A" w:rsidRDefault="00D7478A" w:rsidP="00D7478A">
            <w:pPr>
              <w:ind w:right="259"/>
              <w:jc w:val="right"/>
              <w:rPr>
                <w:b/>
                <w:i/>
                <w:iCs/>
              </w:rPr>
            </w:pPr>
            <w:r w:rsidRPr="00D7478A">
              <w:rPr>
                <w:b/>
                <w:i/>
                <w:iCs/>
              </w:rPr>
              <w:fldChar w:fldCharType="begin"/>
            </w:r>
            <w:r w:rsidRPr="00D7478A">
              <w:rPr>
                <w:b/>
                <w:i/>
                <w:iCs/>
              </w:rPr>
              <w:instrText xml:space="preserve"> =b7+b10 </w:instrText>
            </w:r>
            <w:r w:rsidRPr="00D7478A">
              <w:rPr>
                <w:b/>
                <w:i/>
                <w:iCs/>
              </w:rPr>
              <w:fldChar w:fldCharType="separate"/>
            </w:r>
            <w:r w:rsidRPr="00D7478A">
              <w:rPr>
                <w:b/>
                <w:i/>
                <w:iCs/>
                <w:noProof/>
              </w:rPr>
              <w:t>(515)</w:t>
            </w:r>
            <w:r w:rsidRPr="00D7478A">
              <w:rPr>
                <w:b/>
                <w:i/>
                <w:iCs/>
              </w:rPr>
              <w:fldChar w:fldCharType="end"/>
            </w:r>
          </w:p>
        </w:tc>
        <w:tc>
          <w:tcPr>
            <w:tcW w:w="1701" w:type="dxa"/>
            <w:gridSpan w:val="2"/>
            <w:tcBorders>
              <w:top w:val="single" w:sz="8" w:space="0" w:color="auto"/>
              <w:bottom w:val="single" w:sz="8" w:space="0" w:color="auto"/>
            </w:tcBorders>
            <w:vAlign w:val="bottom"/>
          </w:tcPr>
          <w:p w14:paraId="170EB7FA" w14:textId="1DE1C366" w:rsidR="00D7478A" w:rsidRPr="00D7478A" w:rsidRDefault="00D7478A" w:rsidP="00D7478A">
            <w:pPr>
              <w:ind w:right="310"/>
              <w:jc w:val="right"/>
              <w:rPr>
                <w:b/>
                <w:i/>
                <w:iCs/>
              </w:rPr>
            </w:pPr>
            <w:r w:rsidRPr="00D7478A">
              <w:rPr>
                <w:b/>
                <w:i/>
                <w:iCs/>
              </w:rPr>
              <w:fldChar w:fldCharType="begin"/>
            </w:r>
            <w:r w:rsidRPr="00D7478A">
              <w:rPr>
                <w:b/>
                <w:i/>
                <w:iCs/>
              </w:rPr>
              <w:instrText xml:space="preserve"> =c9+c11 \# "0;(00)" </w:instrText>
            </w:r>
            <w:r w:rsidRPr="00D7478A">
              <w:rPr>
                <w:b/>
                <w:i/>
                <w:iCs/>
              </w:rPr>
              <w:fldChar w:fldCharType="separate"/>
            </w:r>
            <w:r w:rsidRPr="00D7478A">
              <w:rPr>
                <w:b/>
                <w:i/>
                <w:iCs/>
                <w:noProof/>
              </w:rPr>
              <w:t>626</w:t>
            </w:r>
            <w:r w:rsidRPr="00D7478A">
              <w:rPr>
                <w:b/>
                <w:i/>
                <w:iCs/>
              </w:rPr>
              <w:fldChar w:fldCharType="end"/>
            </w:r>
          </w:p>
        </w:tc>
        <w:tc>
          <w:tcPr>
            <w:tcW w:w="1701" w:type="dxa"/>
            <w:tcBorders>
              <w:top w:val="single" w:sz="8" w:space="0" w:color="auto"/>
              <w:bottom w:val="single" w:sz="8" w:space="0" w:color="auto"/>
            </w:tcBorders>
            <w:shd w:val="clear" w:color="auto" w:fill="C5E0B3" w:themeFill="accent6" w:themeFillTint="66"/>
            <w:vAlign w:val="bottom"/>
          </w:tcPr>
          <w:p w14:paraId="2AB4B82E" w14:textId="3F035684" w:rsidR="00D7478A" w:rsidRPr="00D7478A" w:rsidRDefault="00D7478A" w:rsidP="00D7478A">
            <w:pPr>
              <w:ind w:right="220"/>
              <w:jc w:val="right"/>
              <w:rPr>
                <w:b/>
                <w:i/>
                <w:iCs/>
              </w:rPr>
            </w:pPr>
            <w:r w:rsidRPr="00D7478A">
              <w:rPr>
                <w:b/>
                <w:i/>
                <w:iCs/>
              </w:rPr>
              <w:fldChar w:fldCharType="begin"/>
            </w:r>
            <w:r w:rsidRPr="00D7478A">
              <w:rPr>
                <w:b/>
                <w:i/>
                <w:iCs/>
              </w:rPr>
              <w:instrText xml:space="preserve"> =SUM(d9:d11) </w:instrText>
            </w:r>
            <w:r w:rsidRPr="00D7478A">
              <w:rPr>
                <w:b/>
                <w:i/>
                <w:iCs/>
              </w:rPr>
              <w:fldChar w:fldCharType="separate"/>
            </w:r>
            <w:r w:rsidRPr="00D7478A">
              <w:rPr>
                <w:b/>
                <w:i/>
                <w:iCs/>
                <w:noProof/>
              </w:rPr>
              <w:t>111</w:t>
            </w:r>
            <w:r w:rsidRPr="00D7478A">
              <w:rPr>
                <w:b/>
                <w:i/>
                <w:iCs/>
              </w:rPr>
              <w:fldChar w:fldCharType="end"/>
            </w:r>
          </w:p>
        </w:tc>
      </w:tr>
      <w:tr w:rsidR="00827786" w:rsidRPr="000127EF" w14:paraId="39FA63CB" w14:textId="77777777" w:rsidTr="00F40AF3">
        <w:trPr>
          <w:trHeight w:hRule="exact" w:val="142"/>
        </w:trPr>
        <w:tc>
          <w:tcPr>
            <w:tcW w:w="4361" w:type="dxa"/>
          </w:tcPr>
          <w:p w14:paraId="18B7ADFF" w14:textId="77777777" w:rsidR="00827786" w:rsidRPr="000127EF" w:rsidRDefault="00827786" w:rsidP="00F40AF3">
            <w:pPr>
              <w:jc w:val="both"/>
              <w:rPr>
                <w:sz w:val="12"/>
                <w:szCs w:val="12"/>
              </w:rPr>
            </w:pPr>
          </w:p>
        </w:tc>
        <w:tc>
          <w:tcPr>
            <w:tcW w:w="1984" w:type="dxa"/>
            <w:gridSpan w:val="2"/>
            <w:vAlign w:val="bottom"/>
          </w:tcPr>
          <w:p w14:paraId="599AC941" w14:textId="77777777" w:rsidR="00827786" w:rsidRPr="000127EF" w:rsidRDefault="00827786" w:rsidP="00F40AF3">
            <w:pPr>
              <w:ind w:right="259"/>
              <w:jc w:val="right"/>
              <w:rPr>
                <w:sz w:val="12"/>
                <w:szCs w:val="12"/>
              </w:rPr>
            </w:pPr>
          </w:p>
        </w:tc>
        <w:tc>
          <w:tcPr>
            <w:tcW w:w="2127" w:type="dxa"/>
            <w:gridSpan w:val="2"/>
            <w:vAlign w:val="bottom"/>
          </w:tcPr>
          <w:p w14:paraId="2227B69B" w14:textId="77777777" w:rsidR="00827786" w:rsidRPr="000127EF" w:rsidRDefault="00827786" w:rsidP="00F40AF3">
            <w:pPr>
              <w:ind w:right="310"/>
              <w:jc w:val="right"/>
              <w:rPr>
                <w:sz w:val="12"/>
                <w:szCs w:val="12"/>
              </w:rPr>
            </w:pPr>
          </w:p>
        </w:tc>
        <w:tc>
          <w:tcPr>
            <w:tcW w:w="1740" w:type="dxa"/>
            <w:gridSpan w:val="3"/>
            <w:vAlign w:val="bottom"/>
          </w:tcPr>
          <w:p w14:paraId="689512AD" w14:textId="77777777" w:rsidR="00827786" w:rsidRPr="000127EF" w:rsidRDefault="00827786" w:rsidP="00F40AF3">
            <w:pPr>
              <w:ind w:right="220"/>
              <w:jc w:val="right"/>
              <w:rPr>
                <w:sz w:val="12"/>
                <w:szCs w:val="12"/>
              </w:rPr>
            </w:pPr>
          </w:p>
        </w:tc>
      </w:tr>
    </w:tbl>
    <w:p w14:paraId="4F2C8CDC" w14:textId="08682B12" w:rsidR="00D32330" w:rsidRPr="000127EF" w:rsidRDefault="00D32330"/>
    <w:p w14:paraId="0ADBBABA" w14:textId="77777777" w:rsidR="00A161C6" w:rsidRPr="000127EF" w:rsidRDefault="00A161C6" w:rsidP="00AD2D42">
      <w:pPr>
        <w:pStyle w:val="Heading1"/>
        <w:numPr>
          <w:ilvl w:val="0"/>
          <w:numId w:val="8"/>
        </w:numPr>
        <w:spacing w:after="200"/>
        <w:ind w:left="425" w:hanging="357"/>
        <w:rPr>
          <w:sz w:val="22"/>
          <w:szCs w:val="22"/>
        </w:rPr>
      </w:pPr>
      <w:r w:rsidRPr="000127EF">
        <w:rPr>
          <w:sz w:val="22"/>
          <w:szCs w:val="22"/>
        </w:rPr>
        <w:t>Pooled Funds</w:t>
      </w:r>
    </w:p>
    <w:p w14:paraId="1F490A69" w14:textId="39743461" w:rsidR="00DA0C25" w:rsidRDefault="00F91FF7" w:rsidP="009171A6">
      <w:pPr>
        <w:spacing w:before="120" w:after="120"/>
        <w:jc w:val="both"/>
        <w:rPr>
          <w:rFonts w:cs="Arial"/>
          <w:szCs w:val="22"/>
          <w:lang w:eastAsia="en-GB"/>
        </w:rPr>
      </w:pPr>
      <w:r w:rsidRPr="00F91FF7">
        <w:rPr>
          <w:rFonts w:cs="Arial"/>
          <w:szCs w:val="22"/>
          <w:lang w:eastAsia="en-GB"/>
        </w:rPr>
        <w:t>Under the terms of a Section 75 Agreement (Health Act 2006), the authority’s social services department has entered into a pooled budget arrangement for the supply of aids for daily living with Leicester City Council, Leicestershire County Council and the three Clinical Commissioning Groups covering the area.  Leicester City Council acts as the host authority. The total income to the pool for 2019/20 was £5.482 million (£5.062 million 2018/19) of which Rutland County Council contributed £0.07 million (£0.08 million 2018/19). Total expenditure from the pool was £5.482 million (£5.062 million 2018/19).</w:t>
      </w:r>
    </w:p>
    <w:p w14:paraId="156E6DD8" w14:textId="73784D5C" w:rsidR="001F58CA" w:rsidRPr="000127EF" w:rsidRDefault="001F58CA" w:rsidP="009171A6">
      <w:pPr>
        <w:spacing w:before="120" w:after="120"/>
        <w:jc w:val="both"/>
        <w:rPr>
          <w:b/>
          <w:u w:val="single"/>
        </w:rPr>
      </w:pPr>
      <w:r w:rsidRPr="000127EF">
        <w:rPr>
          <w:b/>
          <w:u w:val="single"/>
        </w:rPr>
        <w:lastRenderedPageBreak/>
        <w:t>Better Care Fund (BCF) – Pooled Budget</w:t>
      </w:r>
    </w:p>
    <w:p w14:paraId="702DA39A" w14:textId="76F74A08" w:rsidR="00D83C75" w:rsidRDefault="00F91FF7" w:rsidP="00A65346">
      <w:pPr>
        <w:rPr>
          <w:rFonts w:cs="Arial"/>
          <w:szCs w:val="22"/>
          <w:lang w:eastAsia="en-GB"/>
        </w:rPr>
      </w:pPr>
      <w:r w:rsidRPr="00F91FF7">
        <w:rPr>
          <w:rFonts w:cs="Arial"/>
          <w:szCs w:val="22"/>
          <w:lang w:eastAsia="en-GB"/>
        </w:rPr>
        <w:t>From 1 April 2019 the Council entered into a £2.939m pooled budget arrangement (section 75 agreement) for the Better Care Fund. Officers and Members of the Council are working across Leicester, Leicestershire and Rutland (LLR) to integrate reform and transform services.  This is a budget to improve the ways health services and social care services work together, starting with services for older people and people with long term conditions. The Council and East Leicestershire and Rutland Clinical Commissioning Group (ELRCCG) have agreed a Better Care Fund plan; this has been fully approved by NHS England.</w:t>
      </w:r>
    </w:p>
    <w:p w14:paraId="07E0017B" w14:textId="77777777" w:rsidR="00F91FF7" w:rsidRPr="00656352" w:rsidRDefault="00F91FF7" w:rsidP="00A65346">
      <w:pPr>
        <w:rPr>
          <w:highlight w:val="yellow"/>
        </w:rPr>
      </w:pPr>
    </w:p>
    <w:p w14:paraId="06F23F03" w14:textId="77777777" w:rsidR="00D83C75" w:rsidRPr="00E51E22" w:rsidRDefault="00D83C75" w:rsidP="00D83C75">
      <w:r w:rsidRPr="00E51E22">
        <w:t>The contributions from the Council are shown in the Peoples Directorate line in the comprehensive Income and Expenditure statement.</w:t>
      </w:r>
    </w:p>
    <w:p w14:paraId="1668042C" w14:textId="77777777" w:rsidR="00D83C75" w:rsidRPr="00E51E22" w:rsidRDefault="00D83C75" w:rsidP="00D83C75"/>
    <w:p w14:paraId="77768AC6" w14:textId="64314C60" w:rsidR="006C6FC6" w:rsidRPr="000127EF" w:rsidRDefault="00D83C75" w:rsidP="00D83C75">
      <w:r w:rsidRPr="00E51E22">
        <w:t>The Council is holding £</w:t>
      </w:r>
      <w:r w:rsidR="00F91FF7">
        <w:t>42</w:t>
      </w:r>
      <w:r w:rsidR="00E51E22" w:rsidRPr="00E51E22">
        <w:t>7</w:t>
      </w:r>
      <w:r w:rsidRPr="00E51E22">
        <w:t>k (£</w:t>
      </w:r>
      <w:r w:rsidR="00E51E22" w:rsidRPr="00E51E22">
        <w:t>557</w:t>
      </w:r>
      <w:r w:rsidRPr="00E51E22">
        <w:t>k 201</w:t>
      </w:r>
      <w:r w:rsidR="00E51E22" w:rsidRPr="00E51E22">
        <w:t>8</w:t>
      </w:r>
      <w:r w:rsidRPr="00E51E22">
        <w:t>/1</w:t>
      </w:r>
      <w:r w:rsidR="00E51E22" w:rsidRPr="00E51E22">
        <w:t>9</w:t>
      </w:r>
      <w:r w:rsidRPr="00E51E22">
        <w:t>) in a BCF earmarked reserve which will be spend on BCF projects in future years</w:t>
      </w:r>
    </w:p>
    <w:p w14:paraId="30F55498" w14:textId="77777777" w:rsidR="00D83C75" w:rsidRPr="000127EF" w:rsidRDefault="00D83C75" w:rsidP="00D83C75"/>
    <w:tbl>
      <w:tblPr>
        <w:tblStyle w:val="TableGrid"/>
        <w:tblW w:w="8745"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247"/>
        <w:gridCol w:w="207"/>
        <w:gridCol w:w="3005"/>
        <w:gridCol w:w="3024"/>
        <w:gridCol w:w="1247"/>
        <w:gridCol w:w="15"/>
      </w:tblGrid>
      <w:tr w:rsidR="000A66F1" w:rsidRPr="000127EF" w14:paraId="03534F49" w14:textId="77777777" w:rsidTr="00556240">
        <w:trPr>
          <w:gridAfter w:val="1"/>
          <w:wAfter w:w="15" w:type="dxa"/>
          <w:trHeight w:val="283"/>
          <w:jc w:val="center"/>
        </w:trPr>
        <w:tc>
          <w:tcPr>
            <w:tcW w:w="1247" w:type="dxa"/>
            <w:tcBorders>
              <w:top w:val="single" w:sz="18" w:space="0" w:color="A8D08D" w:themeColor="accent6" w:themeTint="99"/>
            </w:tcBorders>
          </w:tcPr>
          <w:p w14:paraId="19B6B3FC" w14:textId="15C2FC42" w:rsidR="000A66F1" w:rsidRPr="000127EF" w:rsidRDefault="000A66F1" w:rsidP="000A66F1">
            <w:pPr>
              <w:jc w:val="center"/>
              <w:rPr>
                <w:b/>
                <w:i/>
              </w:rPr>
            </w:pPr>
            <w:r w:rsidRPr="000127EF">
              <w:rPr>
                <w:b/>
              </w:rPr>
              <w:t>2018/19</w:t>
            </w:r>
          </w:p>
        </w:tc>
        <w:tc>
          <w:tcPr>
            <w:tcW w:w="6236" w:type="dxa"/>
            <w:gridSpan w:val="3"/>
            <w:tcBorders>
              <w:top w:val="single" w:sz="18" w:space="0" w:color="A8D08D" w:themeColor="accent6" w:themeTint="99"/>
            </w:tcBorders>
            <w:vAlign w:val="center"/>
          </w:tcPr>
          <w:p w14:paraId="11238D50" w14:textId="77777777" w:rsidR="000A66F1" w:rsidRPr="000127EF" w:rsidRDefault="000A66F1" w:rsidP="000A66F1">
            <w:pPr>
              <w:jc w:val="center"/>
              <w:rPr>
                <w:b/>
              </w:rPr>
            </w:pPr>
            <w:r w:rsidRPr="000127EF">
              <w:rPr>
                <w:b/>
              </w:rPr>
              <w:t>Better Care Fund</w:t>
            </w:r>
          </w:p>
        </w:tc>
        <w:tc>
          <w:tcPr>
            <w:tcW w:w="1247" w:type="dxa"/>
            <w:tcBorders>
              <w:top w:val="single" w:sz="18" w:space="0" w:color="A8D08D" w:themeColor="accent6" w:themeTint="99"/>
            </w:tcBorders>
          </w:tcPr>
          <w:p w14:paraId="1BF0E379" w14:textId="051D3FC0" w:rsidR="000A66F1" w:rsidRPr="00E51E22" w:rsidRDefault="000A66F1" w:rsidP="000A66F1">
            <w:pPr>
              <w:jc w:val="center"/>
              <w:rPr>
                <w:b/>
              </w:rPr>
            </w:pPr>
            <w:r w:rsidRPr="00E51E22">
              <w:rPr>
                <w:b/>
              </w:rPr>
              <w:t>2019/20</w:t>
            </w:r>
          </w:p>
        </w:tc>
      </w:tr>
      <w:tr w:rsidR="000A66F1" w:rsidRPr="000127EF" w14:paraId="07C8CEA5" w14:textId="77777777" w:rsidTr="00556240">
        <w:trPr>
          <w:gridAfter w:val="1"/>
          <w:wAfter w:w="15" w:type="dxa"/>
          <w:jc w:val="center"/>
        </w:trPr>
        <w:tc>
          <w:tcPr>
            <w:tcW w:w="1247" w:type="dxa"/>
          </w:tcPr>
          <w:p w14:paraId="2E154B15" w14:textId="5B56C582" w:rsidR="000A66F1" w:rsidRPr="000127EF" w:rsidRDefault="000A66F1" w:rsidP="000A66F1">
            <w:pPr>
              <w:jc w:val="center"/>
              <w:rPr>
                <w:b/>
                <w:i/>
              </w:rPr>
            </w:pPr>
            <w:r w:rsidRPr="000127EF">
              <w:rPr>
                <w:b/>
              </w:rPr>
              <w:t>£000</w:t>
            </w:r>
          </w:p>
        </w:tc>
        <w:tc>
          <w:tcPr>
            <w:tcW w:w="6236" w:type="dxa"/>
            <w:gridSpan w:val="3"/>
          </w:tcPr>
          <w:p w14:paraId="01EE3AE1" w14:textId="5E740B33" w:rsidR="000A66F1" w:rsidRPr="000127EF" w:rsidRDefault="000A66F1" w:rsidP="000A66F1">
            <w:pPr>
              <w:jc w:val="center"/>
              <w:rPr>
                <w:b/>
              </w:rPr>
            </w:pPr>
          </w:p>
        </w:tc>
        <w:tc>
          <w:tcPr>
            <w:tcW w:w="1247" w:type="dxa"/>
            <w:tcBorders>
              <w:bottom w:val="nil"/>
            </w:tcBorders>
            <w:shd w:val="clear" w:color="auto" w:fill="C5E0B3" w:themeFill="accent6" w:themeFillTint="66"/>
          </w:tcPr>
          <w:p w14:paraId="2B55707A" w14:textId="77777777" w:rsidR="000A66F1" w:rsidRPr="00E51E22" w:rsidRDefault="000A66F1" w:rsidP="000A66F1">
            <w:pPr>
              <w:jc w:val="center"/>
              <w:rPr>
                <w:b/>
              </w:rPr>
            </w:pPr>
            <w:r w:rsidRPr="00E51E22">
              <w:rPr>
                <w:b/>
              </w:rPr>
              <w:t>£000</w:t>
            </w:r>
          </w:p>
        </w:tc>
      </w:tr>
      <w:tr w:rsidR="000A66F1" w:rsidRPr="000127EF" w14:paraId="36730514" w14:textId="77777777" w:rsidTr="00556240">
        <w:trPr>
          <w:gridAfter w:val="1"/>
          <w:wAfter w:w="15" w:type="dxa"/>
          <w:jc w:val="center"/>
        </w:trPr>
        <w:tc>
          <w:tcPr>
            <w:tcW w:w="1247" w:type="dxa"/>
          </w:tcPr>
          <w:p w14:paraId="3DAC3DA6" w14:textId="77777777" w:rsidR="000A66F1" w:rsidRPr="000127EF" w:rsidRDefault="000A66F1" w:rsidP="000A66F1">
            <w:pPr>
              <w:jc w:val="center"/>
              <w:rPr>
                <w:i/>
              </w:rPr>
            </w:pPr>
          </w:p>
        </w:tc>
        <w:tc>
          <w:tcPr>
            <w:tcW w:w="6236" w:type="dxa"/>
            <w:gridSpan w:val="3"/>
            <w:vAlign w:val="center"/>
          </w:tcPr>
          <w:p w14:paraId="13C5DB81" w14:textId="77777777" w:rsidR="000A66F1" w:rsidRPr="000127EF" w:rsidRDefault="000A66F1" w:rsidP="000A66F1">
            <w:pPr>
              <w:rPr>
                <w:rFonts w:cs="Arial"/>
                <w:b/>
                <w:szCs w:val="22"/>
                <w:lang w:val="en-US"/>
              </w:rPr>
            </w:pPr>
            <w:r w:rsidRPr="000127EF">
              <w:rPr>
                <w:rFonts w:cs="Arial"/>
                <w:b/>
                <w:szCs w:val="22"/>
                <w:lang w:val="en-US"/>
              </w:rPr>
              <w:t>Funding Provided to the Pool</w:t>
            </w:r>
          </w:p>
        </w:tc>
        <w:tc>
          <w:tcPr>
            <w:tcW w:w="1247" w:type="dxa"/>
            <w:tcBorders>
              <w:top w:val="nil"/>
            </w:tcBorders>
            <w:shd w:val="clear" w:color="auto" w:fill="C5E0B3" w:themeFill="accent6" w:themeFillTint="66"/>
          </w:tcPr>
          <w:p w14:paraId="2882A14E" w14:textId="77777777" w:rsidR="000A66F1" w:rsidRPr="00E51E22" w:rsidRDefault="000A66F1" w:rsidP="000A66F1">
            <w:pPr>
              <w:jc w:val="center"/>
            </w:pPr>
          </w:p>
        </w:tc>
      </w:tr>
      <w:tr w:rsidR="000A66F1" w:rsidRPr="000127EF" w14:paraId="56AB96F9" w14:textId="77777777" w:rsidTr="00556240">
        <w:trPr>
          <w:gridAfter w:val="1"/>
          <w:wAfter w:w="15" w:type="dxa"/>
          <w:jc w:val="center"/>
        </w:trPr>
        <w:tc>
          <w:tcPr>
            <w:tcW w:w="1247" w:type="dxa"/>
            <w:tcBorders>
              <w:bottom w:val="nil"/>
            </w:tcBorders>
          </w:tcPr>
          <w:p w14:paraId="75969EA3" w14:textId="075C450E" w:rsidR="000A66F1" w:rsidRPr="000127EF" w:rsidRDefault="000A66F1" w:rsidP="000A66F1">
            <w:pPr>
              <w:jc w:val="right"/>
              <w:rPr>
                <w:i/>
              </w:rPr>
            </w:pPr>
            <w:r w:rsidRPr="000127EF">
              <w:t>2,138</w:t>
            </w:r>
          </w:p>
        </w:tc>
        <w:tc>
          <w:tcPr>
            <w:tcW w:w="6236" w:type="dxa"/>
            <w:gridSpan w:val="3"/>
            <w:tcBorders>
              <w:bottom w:val="nil"/>
            </w:tcBorders>
          </w:tcPr>
          <w:p w14:paraId="2E50D345" w14:textId="77777777" w:rsidR="000A66F1" w:rsidRPr="000127EF" w:rsidRDefault="000A66F1" w:rsidP="000A66F1">
            <w:pPr>
              <w:rPr>
                <w:szCs w:val="22"/>
              </w:rPr>
            </w:pPr>
            <w:r w:rsidRPr="000127EF">
              <w:rPr>
                <w:szCs w:val="22"/>
              </w:rPr>
              <w:t>East Leicestershire and Rutland Clinical Commissioning Group (ELRCCG)</w:t>
            </w:r>
          </w:p>
        </w:tc>
        <w:tc>
          <w:tcPr>
            <w:tcW w:w="1247" w:type="dxa"/>
            <w:tcBorders>
              <w:bottom w:val="nil"/>
            </w:tcBorders>
            <w:shd w:val="clear" w:color="auto" w:fill="C5E0B3" w:themeFill="accent6" w:themeFillTint="66"/>
          </w:tcPr>
          <w:p w14:paraId="6DC5C1E0" w14:textId="7A1F87E1" w:rsidR="000A66F1" w:rsidRPr="00E51E22" w:rsidRDefault="00E51E22" w:rsidP="000A66F1">
            <w:pPr>
              <w:jc w:val="right"/>
            </w:pPr>
            <w:r w:rsidRPr="00E51E22">
              <w:t>2</w:t>
            </w:r>
            <w:r w:rsidR="00EB6509">
              <w:t>,</w:t>
            </w:r>
            <w:r w:rsidRPr="00E51E22">
              <w:t>252</w:t>
            </w:r>
          </w:p>
        </w:tc>
      </w:tr>
      <w:tr w:rsidR="000A66F1" w:rsidRPr="000127EF" w14:paraId="4A52604B" w14:textId="77777777" w:rsidTr="00556240">
        <w:trPr>
          <w:gridAfter w:val="1"/>
          <w:wAfter w:w="15" w:type="dxa"/>
          <w:jc w:val="center"/>
        </w:trPr>
        <w:tc>
          <w:tcPr>
            <w:tcW w:w="1247" w:type="dxa"/>
            <w:tcBorders>
              <w:top w:val="nil"/>
              <w:left w:val="single" w:sz="18" w:space="0" w:color="A8D08D" w:themeColor="accent6" w:themeTint="99"/>
              <w:bottom w:val="nil"/>
            </w:tcBorders>
          </w:tcPr>
          <w:p w14:paraId="0FCBBE2E" w14:textId="01CEFEC4" w:rsidR="000A66F1" w:rsidRPr="000127EF" w:rsidRDefault="000A66F1" w:rsidP="000A66F1">
            <w:pPr>
              <w:jc w:val="right"/>
              <w:rPr>
                <w:i/>
              </w:rPr>
            </w:pPr>
            <w:r w:rsidRPr="000127EF">
              <w:t>415</w:t>
            </w:r>
          </w:p>
        </w:tc>
        <w:tc>
          <w:tcPr>
            <w:tcW w:w="6236" w:type="dxa"/>
            <w:gridSpan w:val="3"/>
            <w:tcBorders>
              <w:top w:val="nil"/>
              <w:bottom w:val="nil"/>
            </w:tcBorders>
          </w:tcPr>
          <w:p w14:paraId="164B9785" w14:textId="77777777" w:rsidR="000A66F1" w:rsidRPr="000127EF" w:rsidRDefault="000A66F1" w:rsidP="000A66F1">
            <w:r w:rsidRPr="000127EF">
              <w:t>Rutland County Council</w:t>
            </w:r>
          </w:p>
        </w:tc>
        <w:tc>
          <w:tcPr>
            <w:tcW w:w="1247" w:type="dxa"/>
            <w:tcBorders>
              <w:top w:val="nil"/>
              <w:bottom w:val="nil"/>
              <w:right w:val="single" w:sz="18" w:space="0" w:color="A8D08D" w:themeColor="accent6" w:themeTint="99"/>
            </w:tcBorders>
            <w:shd w:val="clear" w:color="auto" w:fill="C5E0B3" w:themeFill="accent6" w:themeFillTint="66"/>
          </w:tcPr>
          <w:p w14:paraId="6D00949E" w14:textId="17665BC7" w:rsidR="000A66F1" w:rsidRPr="00E51E22" w:rsidRDefault="00E51E22" w:rsidP="000A66F1">
            <w:pPr>
              <w:jc w:val="right"/>
            </w:pPr>
            <w:r w:rsidRPr="00E51E22">
              <w:t>451</w:t>
            </w:r>
          </w:p>
        </w:tc>
      </w:tr>
      <w:tr w:rsidR="000A66F1" w:rsidRPr="000127EF" w14:paraId="6E75AD2F" w14:textId="77777777" w:rsidTr="00556240">
        <w:trPr>
          <w:gridAfter w:val="1"/>
          <w:wAfter w:w="15" w:type="dxa"/>
          <w:jc w:val="center"/>
        </w:trPr>
        <w:tc>
          <w:tcPr>
            <w:tcW w:w="1247" w:type="dxa"/>
            <w:tcBorders>
              <w:top w:val="nil"/>
              <w:left w:val="single" w:sz="18" w:space="0" w:color="A8D08D" w:themeColor="accent6" w:themeTint="99"/>
              <w:bottom w:val="single" w:sz="4" w:space="0" w:color="auto"/>
            </w:tcBorders>
          </w:tcPr>
          <w:p w14:paraId="5544F07E" w14:textId="77B0D6AD" w:rsidR="000A66F1" w:rsidRPr="000127EF" w:rsidRDefault="000A66F1" w:rsidP="000A66F1">
            <w:pPr>
              <w:jc w:val="right"/>
              <w:rPr>
                <w:i/>
              </w:rPr>
            </w:pPr>
            <w:r w:rsidRPr="000127EF">
              <w:t>428</w:t>
            </w:r>
          </w:p>
        </w:tc>
        <w:tc>
          <w:tcPr>
            <w:tcW w:w="6236" w:type="dxa"/>
            <w:gridSpan w:val="3"/>
            <w:tcBorders>
              <w:top w:val="nil"/>
              <w:bottom w:val="nil"/>
            </w:tcBorders>
          </w:tcPr>
          <w:p w14:paraId="50CAE40B" w14:textId="77777777" w:rsidR="000A66F1" w:rsidRPr="000127EF" w:rsidRDefault="000A66F1" w:rsidP="000A66F1">
            <w:r w:rsidRPr="000127EF">
              <w:t>Use of Reserves</w:t>
            </w:r>
          </w:p>
        </w:tc>
        <w:tc>
          <w:tcPr>
            <w:tcW w:w="1247" w:type="dxa"/>
            <w:tcBorders>
              <w:top w:val="nil"/>
              <w:bottom w:val="single" w:sz="4" w:space="0" w:color="auto"/>
              <w:right w:val="single" w:sz="18" w:space="0" w:color="A8D08D" w:themeColor="accent6" w:themeTint="99"/>
            </w:tcBorders>
            <w:shd w:val="clear" w:color="auto" w:fill="C5E0B3" w:themeFill="accent6" w:themeFillTint="66"/>
          </w:tcPr>
          <w:p w14:paraId="129B64C6" w14:textId="63C2045E" w:rsidR="000A66F1" w:rsidRPr="00E51E22" w:rsidRDefault="00E51E22" w:rsidP="000A66F1">
            <w:pPr>
              <w:jc w:val="right"/>
            </w:pPr>
            <w:r w:rsidRPr="00E51E22">
              <w:t>236</w:t>
            </w:r>
          </w:p>
        </w:tc>
      </w:tr>
      <w:tr w:rsidR="000A66F1" w:rsidRPr="000127EF" w14:paraId="52BB34DE" w14:textId="77777777" w:rsidTr="00556240">
        <w:trPr>
          <w:gridAfter w:val="1"/>
          <w:wAfter w:w="15" w:type="dxa"/>
          <w:jc w:val="center"/>
        </w:trPr>
        <w:tc>
          <w:tcPr>
            <w:tcW w:w="1247" w:type="dxa"/>
            <w:tcBorders>
              <w:top w:val="single" w:sz="4" w:space="0" w:color="auto"/>
              <w:left w:val="single" w:sz="18" w:space="0" w:color="A8D08D" w:themeColor="accent6" w:themeTint="99"/>
              <w:bottom w:val="nil"/>
            </w:tcBorders>
          </w:tcPr>
          <w:p w14:paraId="3381D930" w14:textId="7F5D5E4D" w:rsidR="000A66F1" w:rsidRPr="000127EF" w:rsidRDefault="00E02937" w:rsidP="000A66F1">
            <w:pPr>
              <w:jc w:val="right"/>
              <w:rPr>
                <w:b/>
                <w:i/>
              </w:rPr>
            </w:pPr>
            <w:r>
              <w:rPr>
                <w:b/>
              </w:rPr>
              <w:fldChar w:fldCharType="begin"/>
            </w:r>
            <w:r>
              <w:rPr>
                <w:b/>
              </w:rPr>
              <w:instrText xml:space="preserve"> =SUM(a2:a6) \# "#,##0" </w:instrText>
            </w:r>
            <w:r>
              <w:rPr>
                <w:b/>
              </w:rPr>
              <w:fldChar w:fldCharType="separate"/>
            </w:r>
            <w:r>
              <w:rPr>
                <w:b/>
                <w:noProof/>
              </w:rPr>
              <w:t>2,981</w:t>
            </w:r>
            <w:r>
              <w:rPr>
                <w:b/>
              </w:rPr>
              <w:fldChar w:fldCharType="end"/>
            </w:r>
          </w:p>
        </w:tc>
        <w:tc>
          <w:tcPr>
            <w:tcW w:w="6236" w:type="dxa"/>
            <w:gridSpan w:val="3"/>
            <w:tcBorders>
              <w:top w:val="nil"/>
              <w:bottom w:val="nil"/>
            </w:tcBorders>
          </w:tcPr>
          <w:p w14:paraId="1775DCAF" w14:textId="77777777" w:rsidR="000A66F1" w:rsidRPr="000127EF" w:rsidRDefault="000A66F1" w:rsidP="000A66F1">
            <w:pPr>
              <w:rPr>
                <w:b/>
              </w:rPr>
            </w:pPr>
            <w:r w:rsidRPr="000127EF">
              <w:rPr>
                <w:b/>
              </w:rPr>
              <w:t>Total Funding</w:t>
            </w:r>
          </w:p>
        </w:tc>
        <w:tc>
          <w:tcPr>
            <w:tcW w:w="1247" w:type="dxa"/>
            <w:tcBorders>
              <w:top w:val="single" w:sz="4" w:space="0" w:color="auto"/>
              <w:bottom w:val="nil"/>
              <w:right w:val="single" w:sz="18" w:space="0" w:color="A8D08D" w:themeColor="accent6" w:themeTint="99"/>
            </w:tcBorders>
            <w:shd w:val="clear" w:color="auto" w:fill="C5E0B3" w:themeFill="accent6" w:themeFillTint="66"/>
          </w:tcPr>
          <w:p w14:paraId="1F9FDBAD" w14:textId="3F6C30A6" w:rsidR="000A66F1" w:rsidRPr="00E51E22" w:rsidRDefault="00E51E22" w:rsidP="000A66F1">
            <w:pPr>
              <w:jc w:val="right"/>
              <w:rPr>
                <w:b/>
              </w:rPr>
            </w:pPr>
            <w:r w:rsidRPr="00E51E22">
              <w:rPr>
                <w:b/>
              </w:rPr>
              <w:t>2,939</w:t>
            </w:r>
          </w:p>
        </w:tc>
      </w:tr>
      <w:tr w:rsidR="000A66F1" w:rsidRPr="000127EF" w14:paraId="419177A3" w14:textId="77777777" w:rsidTr="00556240">
        <w:trPr>
          <w:gridAfter w:val="1"/>
          <w:wAfter w:w="15" w:type="dxa"/>
          <w:trHeight w:val="87"/>
          <w:jc w:val="center"/>
        </w:trPr>
        <w:tc>
          <w:tcPr>
            <w:tcW w:w="1247" w:type="dxa"/>
            <w:tcBorders>
              <w:top w:val="nil"/>
              <w:left w:val="single" w:sz="18" w:space="0" w:color="A8D08D" w:themeColor="accent6" w:themeTint="99"/>
              <w:bottom w:val="nil"/>
            </w:tcBorders>
          </w:tcPr>
          <w:p w14:paraId="72E80B40" w14:textId="77777777" w:rsidR="000A66F1" w:rsidRPr="000127EF" w:rsidRDefault="000A66F1" w:rsidP="000A66F1">
            <w:pPr>
              <w:jc w:val="right"/>
              <w:rPr>
                <w:i/>
              </w:rPr>
            </w:pPr>
          </w:p>
        </w:tc>
        <w:tc>
          <w:tcPr>
            <w:tcW w:w="6236" w:type="dxa"/>
            <w:gridSpan w:val="3"/>
            <w:tcBorders>
              <w:top w:val="nil"/>
              <w:bottom w:val="nil"/>
            </w:tcBorders>
          </w:tcPr>
          <w:p w14:paraId="4B0497F3" w14:textId="77777777" w:rsidR="000A66F1" w:rsidRPr="000127EF" w:rsidRDefault="000A66F1" w:rsidP="000A66F1">
            <w:pPr>
              <w:rPr>
                <w:b/>
              </w:rPr>
            </w:pPr>
          </w:p>
        </w:tc>
        <w:tc>
          <w:tcPr>
            <w:tcW w:w="1247" w:type="dxa"/>
            <w:tcBorders>
              <w:top w:val="nil"/>
              <w:bottom w:val="nil"/>
              <w:right w:val="single" w:sz="18" w:space="0" w:color="A8D08D" w:themeColor="accent6" w:themeTint="99"/>
            </w:tcBorders>
            <w:shd w:val="clear" w:color="auto" w:fill="C5E0B3" w:themeFill="accent6" w:themeFillTint="66"/>
          </w:tcPr>
          <w:p w14:paraId="0A462F4E" w14:textId="77777777" w:rsidR="000A66F1" w:rsidRPr="00E51E22" w:rsidRDefault="000A66F1" w:rsidP="000A66F1">
            <w:pPr>
              <w:jc w:val="right"/>
            </w:pPr>
          </w:p>
        </w:tc>
      </w:tr>
      <w:tr w:rsidR="000A66F1" w:rsidRPr="000127EF" w14:paraId="39CD3F92" w14:textId="77777777" w:rsidTr="00556240">
        <w:trPr>
          <w:gridAfter w:val="1"/>
          <w:wAfter w:w="15" w:type="dxa"/>
          <w:jc w:val="center"/>
        </w:trPr>
        <w:tc>
          <w:tcPr>
            <w:tcW w:w="1247" w:type="dxa"/>
            <w:tcBorders>
              <w:top w:val="nil"/>
              <w:left w:val="single" w:sz="18" w:space="0" w:color="A8D08D" w:themeColor="accent6" w:themeTint="99"/>
              <w:bottom w:val="nil"/>
            </w:tcBorders>
          </w:tcPr>
          <w:p w14:paraId="04A779D1" w14:textId="77777777" w:rsidR="000A66F1" w:rsidRPr="000127EF" w:rsidRDefault="000A66F1" w:rsidP="000A66F1">
            <w:pPr>
              <w:jc w:val="right"/>
              <w:rPr>
                <w:i/>
              </w:rPr>
            </w:pPr>
          </w:p>
        </w:tc>
        <w:tc>
          <w:tcPr>
            <w:tcW w:w="6236" w:type="dxa"/>
            <w:gridSpan w:val="3"/>
            <w:tcBorders>
              <w:top w:val="nil"/>
              <w:bottom w:val="nil"/>
            </w:tcBorders>
          </w:tcPr>
          <w:p w14:paraId="27F8F2FC" w14:textId="77777777" w:rsidR="000A66F1" w:rsidRPr="000127EF" w:rsidRDefault="000A66F1" w:rsidP="000A66F1">
            <w:pPr>
              <w:rPr>
                <w:b/>
              </w:rPr>
            </w:pPr>
            <w:r w:rsidRPr="000127EF">
              <w:rPr>
                <w:b/>
              </w:rPr>
              <w:t>Expenditure For BCF Purposes</w:t>
            </w:r>
          </w:p>
        </w:tc>
        <w:tc>
          <w:tcPr>
            <w:tcW w:w="1247" w:type="dxa"/>
            <w:tcBorders>
              <w:top w:val="nil"/>
              <w:bottom w:val="nil"/>
              <w:right w:val="single" w:sz="18" w:space="0" w:color="A8D08D" w:themeColor="accent6" w:themeTint="99"/>
            </w:tcBorders>
            <w:shd w:val="clear" w:color="auto" w:fill="C5E0B3" w:themeFill="accent6" w:themeFillTint="66"/>
          </w:tcPr>
          <w:p w14:paraId="148E7FE5" w14:textId="77777777" w:rsidR="000A66F1" w:rsidRPr="00E51E22" w:rsidRDefault="000A66F1" w:rsidP="000A66F1">
            <w:pPr>
              <w:jc w:val="right"/>
            </w:pPr>
          </w:p>
        </w:tc>
      </w:tr>
      <w:tr w:rsidR="000A66F1" w:rsidRPr="000127EF" w14:paraId="7113DD03" w14:textId="77777777" w:rsidTr="00556240">
        <w:trPr>
          <w:gridAfter w:val="1"/>
          <w:wAfter w:w="15" w:type="dxa"/>
          <w:jc w:val="center"/>
        </w:trPr>
        <w:tc>
          <w:tcPr>
            <w:tcW w:w="1247" w:type="dxa"/>
            <w:tcBorders>
              <w:top w:val="nil"/>
              <w:left w:val="single" w:sz="18" w:space="0" w:color="A8D08D" w:themeColor="accent6" w:themeTint="99"/>
              <w:bottom w:val="nil"/>
            </w:tcBorders>
          </w:tcPr>
          <w:p w14:paraId="120C938B" w14:textId="142549F2" w:rsidR="000A66F1" w:rsidRPr="000127EF" w:rsidRDefault="000A66F1" w:rsidP="000A66F1">
            <w:pPr>
              <w:jc w:val="right"/>
              <w:rPr>
                <w:i/>
              </w:rPr>
            </w:pPr>
            <w:r w:rsidRPr="000127EF">
              <w:t>291</w:t>
            </w:r>
          </w:p>
        </w:tc>
        <w:tc>
          <w:tcPr>
            <w:tcW w:w="6236" w:type="dxa"/>
            <w:gridSpan w:val="3"/>
            <w:tcBorders>
              <w:top w:val="nil"/>
              <w:bottom w:val="nil"/>
            </w:tcBorders>
          </w:tcPr>
          <w:p w14:paraId="0784E443" w14:textId="77777777" w:rsidR="000A66F1" w:rsidRPr="000127EF" w:rsidRDefault="000A66F1" w:rsidP="000A66F1">
            <w:r w:rsidRPr="000127EF">
              <w:t>Unified Prevention Offer</w:t>
            </w:r>
          </w:p>
        </w:tc>
        <w:tc>
          <w:tcPr>
            <w:tcW w:w="1247" w:type="dxa"/>
            <w:tcBorders>
              <w:top w:val="nil"/>
              <w:bottom w:val="nil"/>
              <w:right w:val="single" w:sz="18" w:space="0" w:color="A8D08D" w:themeColor="accent6" w:themeTint="99"/>
            </w:tcBorders>
            <w:shd w:val="clear" w:color="auto" w:fill="C5E0B3" w:themeFill="accent6" w:themeFillTint="66"/>
          </w:tcPr>
          <w:p w14:paraId="10358AA0" w14:textId="42F3B415" w:rsidR="000A66F1" w:rsidRPr="00E51E22" w:rsidRDefault="00E51E22" w:rsidP="00F91FF7">
            <w:pPr>
              <w:jc w:val="right"/>
            </w:pPr>
            <w:r w:rsidRPr="00E51E22">
              <w:t>2</w:t>
            </w:r>
            <w:r w:rsidR="00F91FF7">
              <w:t>60</w:t>
            </w:r>
          </w:p>
        </w:tc>
      </w:tr>
      <w:tr w:rsidR="000A66F1" w:rsidRPr="000127EF" w14:paraId="19409231" w14:textId="77777777" w:rsidTr="00556240">
        <w:trPr>
          <w:gridAfter w:val="1"/>
          <w:wAfter w:w="15" w:type="dxa"/>
          <w:jc w:val="center"/>
        </w:trPr>
        <w:tc>
          <w:tcPr>
            <w:tcW w:w="1247" w:type="dxa"/>
            <w:tcBorders>
              <w:top w:val="nil"/>
              <w:left w:val="single" w:sz="18" w:space="0" w:color="A8D08D" w:themeColor="accent6" w:themeTint="99"/>
              <w:bottom w:val="nil"/>
            </w:tcBorders>
          </w:tcPr>
          <w:p w14:paraId="70A15707" w14:textId="1141C86A" w:rsidR="000A66F1" w:rsidRPr="000127EF" w:rsidRDefault="000A66F1" w:rsidP="000A66F1">
            <w:pPr>
              <w:jc w:val="right"/>
              <w:rPr>
                <w:i/>
              </w:rPr>
            </w:pPr>
            <w:r w:rsidRPr="000127EF">
              <w:t>1,249</w:t>
            </w:r>
          </w:p>
        </w:tc>
        <w:tc>
          <w:tcPr>
            <w:tcW w:w="6236" w:type="dxa"/>
            <w:gridSpan w:val="3"/>
            <w:tcBorders>
              <w:top w:val="nil"/>
              <w:bottom w:val="nil"/>
            </w:tcBorders>
          </w:tcPr>
          <w:p w14:paraId="7894A14C" w14:textId="77777777" w:rsidR="000A66F1" w:rsidRPr="000127EF" w:rsidRDefault="000A66F1" w:rsidP="000A66F1">
            <w:r w:rsidRPr="000127EF">
              <w:t>Holistic Management of Health and Wellbeing in the Community</w:t>
            </w:r>
          </w:p>
        </w:tc>
        <w:tc>
          <w:tcPr>
            <w:tcW w:w="1247" w:type="dxa"/>
            <w:tcBorders>
              <w:top w:val="nil"/>
              <w:bottom w:val="nil"/>
              <w:right w:val="single" w:sz="18" w:space="0" w:color="A8D08D" w:themeColor="accent6" w:themeTint="99"/>
            </w:tcBorders>
            <w:shd w:val="clear" w:color="auto" w:fill="C5E0B3" w:themeFill="accent6" w:themeFillTint="66"/>
          </w:tcPr>
          <w:p w14:paraId="78FCE741" w14:textId="1A91726C" w:rsidR="000A66F1" w:rsidRPr="00E51E22" w:rsidRDefault="00F91FF7" w:rsidP="000A66F1">
            <w:pPr>
              <w:jc w:val="right"/>
            </w:pPr>
            <w:r>
              <w:t>1,224</w:t>
            </w:r>
          </w:p>
        </w:tc>
      </w:tr>
      <w:tr w:rsidR="000A66F1" w:rsidRPr="000127EF" w14:paraId="0E387719" w14:textId="77777777" w:rsidTr="00556240">
        <w:trPr>
          <w:gridAfter w:val="1"/>
          <w:wAfter w:w="15" w:type="dxa"/>
          <w:jc w:val="center"/>
        </w:trPr>
        <w:tc>
          <w:tcPr>
            <w:tcW w:w="1247" w:type="dxa"/>
            <w:tcBorders>
              <w:top w:val="nil"/>
              <w:left w:val="single" w:sz="18" w:space="0" w:color="A8D08D" w:themeColor="accent6" w:themeTint="99"/>
              <w:bottom w:val="nil"/>
            </w:tcBorders>
          </w:tcPr>
          <w:p w14:paraId="5D3512BA" w14:textId="0A3424E0" w:rsidR="000A66F1" w:rsidRPr="000127EF" w:rsidRDefault="000A66F1" w:rsidP="000A66F1">
            <w:pPr>
              <w:jc w:val="right"/>
              <w:rPr>
                <w:i/>
              </w:rPr>
            </w:pPr>
            <w:r w:rsidRPr="000127EF">
              <w:t>1,047</w:t>
            </w:r>
          </w:p>
        </w:tc>
        <w:tc>
          <w:tcPr>
            <w:tcW w:w="6236" w:type="dxa"/>
            <w:gridSpan w:val="3"/>
            <w:tcBorders>
              <w:top w:val="nil"/>
              <w:bottom w:val="nil"/>
            </w:tcBorders>
          </w:tcPr>
          <w:p w14:paraId="581C5ADC" w14:textId="77777777" w:rsidR="000A66F1" w:rsidRPr="000127EF" w:rsidRDefault="000A66F1" w:rsidP="000A66F1">
            <w:r w:rsidRPr="000127EF">
              <w:t>Hospital Flows</w:t>
            </w:r>
          </w:p>
        </w:tc>
        <w:tc>
          <w:tcPr>
            <w:tcW w:w="1247" w:type="dxa"/>
            <w:tcBorders>
              <w:top w:val="nil"/>
              <w:bottom w:val="nil"/>
              <w:right w:val="single" w:sz="18" w:space="0" w:color="A8D08D" w:themeColor="accent6" w:themeTint="99"/>
            </w:tcBorders>
            <w:shd w:val="clear" w:color="auto" w:fill="C5E0B3" w:themeFill="accent6" w:themeFillTint="66"/>
          </w:tcPr>
          <w:p w14:paraId="52D69C56" w14:textId="3DA9765A" w:rsidR="000A66F1" w:rsidRPr="00E51E22" w:rsidRDefault="00E51E22" w:rsidP="000A66F1">
            <w:pPr>
              <w:jc w:val="right"/>
            </w:pPr>
            <w:r w:rsidRPr="00E51E22">
              <w:t>1,056</w:t>
            </w:r>
          </w:p>
        </w:tc>
      </w:tr>
      <w:tr w:rsidR="000A66F1" w:rsidRPr="000127EF" w14:paraId="6B46DDD8" w14:textId="77777777" w:rsidTr="00556240">
        <w:trPr>
          <w:gridAfter w:val="1"/>
          <w:wAfter w:w="15" w:type="dxa"/>
          <w:jc w:val="center"/>
        </w:trPr>
        <w:tc>
          <w:tcPr>
            <w:tcW w:w="1247" w:type="dxa"/>
            <w:tcBorders>
              <w:top w:val="nil"/>
              <w:left w:val="single" w:sz="18" w:space="0" w:color="A8D08D" w:themeColor="accent6" w:themeTint="99"/>
              <w:bottom w:val="single" w:sz="4" w:space="0" w:color="auto"/>
            </w:tcBorders>
          </w:tcPr>
          <w:p w14:paraId="273DA41E" w14:textId="3636B944" w:rsidR="000A66F1" w:rsidRPr="000127EF" w:rsidRDefault="000A66F1" w:rsidP="000A66F1">
            <w:pPr>
              <w:jc w:val="right"/>
              <w:rPr>
                <w:i/>
              </w:rPr>
            </w:pPr>
            <w:r w:rsidRPr="000127EF">
              <w:t>90</w:t>
            </w:r>
          </w:p>
        </w:tc>
        <w:tc>
          <w:tcPr>
            <w:tcW w:w="6236" w:type="dxa"/>
            <w:gridSpan w:val="3"/>
            <w:tcBorders>
              <w:top w:val="nil"/>
              <w:bottom w:val="nil"/>
            </w:tcBorders>
          </w:tcPr>
          <w:p w14:paraId="02CDE8EC" w14:textId="02DD16BA" w:rsidR="000A66F1" w:rsidRPr="000127EF" w:rsidRDefault="000A66F1" w:rsidP="000A66F1">
            <w:r w:rsidRPr="000127EF">
              <w:t>Enablers</w:t>
            </w:r>
          </w:p>
        </w:tc>
        <w:tc>
          <w:tcPr>
            <w:tcW w:w="1247" w:type="dxa"/>
            <w:tcBorders>
              <w:top w:val="nil"/>
              <w:bottom w:val="single" w:sz="4" w:space="0" w:color="auto"/>
              <w:right w:val="single" w:sz="18" w:space="0" w:color="A8D08D" w:themeColor="accent6" w:themeTint="99"/>
            </w:tcBorders>
            <w:shd w:val="clear" w:color="auto" w:fill="C5E0B3" w:themeFill="accent6" w:themeFillTint="66"/>
          </w:tcPr>
          <w:p w14:paraId="306D46EE" w14:textId="6C93DE16" w:rsidR="000A66F1" w:rsidRPr="00E51E22" w:rsidRDefault="00E51E22" w:rsidP="000A66F1">
            <w:pPr>
              <w:jc w:val="right"/>
            </w:pPr>
            <w:r w:rsidRPr="00E51E22">
              <w:t>82</w:t>
            </w:r>
          </w:p>
        </w:tc>
      </w:tr>
      <w:tr w:rsidR="000A66F1" w:rsidRPr="000127EF" w14:paraId="4BDB9D13" w14:textId="77777777" w:rsidTr="00556240">
        <w:trPr>
          <w:gridAfter w:val="1"/>
          <w:wAfter w:w="15" w:type="dxa"/>
          <w:jc w:val="center"/>
        </w:trPr>
        <w:tc>
          <w:tcPr>
            <w:tcW w:w="1247" w:type="dxa"/>
            <w:tcBorders>
              <w:top w:val="single" w:sz="4" w:space="0" w:color="auto"/>
              <w:left w:val="single" w:sz="18" w:space="0" w:color="A8D08D" w:themeColor="accent6" w:themeTint="99"/>
              <w:bottom w:val="nil"/>
            </w:tcBorders>
          </w:tcPr>
          <w:p w14:paraId="18B99FF5" w14:textId="26D14C03" w:rsidR="000A66F1" w:rsidRPr="000127EF" w:rsidRDefault="00E02937" w:rsidP="000A66F1">
            <w:pPr>
              <w:jc w:val="right"/>
              <w:rPr>
                <w:i/>
              </w:rPr>
            </w:pPr>
            <w:r>
              <w:rPr>
                <w:b/>
              </w:rPr>
              <w:fldChar w:fldCharType="begin"/>
            </w:r>
            <w:r>
              <w:rPr>
                <w:b/>
              </w:rPr>
              <w:instrText xml:space="preserve"> =SUM(a8:a14) \# "#,##0" </w:instrText>
            </w:r>
            <w:r>
              <w:rPr>
                <w:b/>
              </w:rPr>
              <w:fldChar w:fldCharType="separate"/>
            </w:r>
            <w:r>
              <w:rPr>
                <w:b/>
                <w:noProof/>
              </w:rPr>
              <w:t>2,677</w:t>
            </w:r>
            <w:r>
              <w:rPr>
                <w:b/>
              </w:rPr>
              <w:fldChar w:fldCharType="end"/>
            </w:r>
          </w:p>
        </w:tc>
        <w:tc>
          <w:tcPr>
            <w:tcW w:w="6236" w:type="dxa"/>
            <w:gridSpan w:val="3"/>
            <w:tcBorders>
              <w:top w:val="nil"/>
              <w:bottom w:val="nil"/>
            </w:tcBorders>
          </w:tcPr>
          <w:p w14:paraId="243A307B" w14:textId="52327318" w:rsidR="000A66F1" w:rsidRPr="000127EF" w:rsidRDefault="000A66F1" w:rsidP="000A66F1">
            <w:r w:rsidRPr="000127EF">
              <w:rPr>
                <w:b/>
              </w:rPr>
              <w:t>Total Expenditure for BCF Purposes</w:t>
            </w:r>
          </w:p>
        </w:tc>
        <w:tc>
          <w:tcPr>
            <w:tcW w:w="1247" w:type="dxa"/>
            <w:tcBorders>
              <w:top w:val="single" w:sz="4" w:space="0" w:color="auto"/>
              <w:bottom w:val="nil"/>
              <w:right w:val="single" w:sz="18" w:space="0" w:color="A8D08D" w:themeColor="accent6" w:themeTint="99"/>
            </w:tcBorders>
            <w:shd w:val="clear" w:color="auto" w:fill="C5E0B3" w:themeFill="accent6" w:themeFillTint="66"/>
          </w:tcPr>
          <w:p w14:paraId="6762942E" w14:textId="3A1122BE" w:rsidR="000A66F1" w:rsidRPr="003A6FDA" w:rsidRDefault="00E51E22" w:rsidP="000A66F1">
            <w:pPr>
              <w:jc w:val="right"/>
              <w:rPr>
                <w:b/>
                <w:bCs/>
              </w:rPr>
            </w:pPr>
            <w:r w:rsidRPr="003A6FDA">
              <w:rPr>
                <w:b/>
                <w:bCs/>
              </w:rPr>
              <w:t>2,622</w:t>
            </w:r>
          </w:p>
        </w:tc>
      </w:tr>
      <w:tr w:rsidR="000A66F1" w:rsidRPr="000127EF" w14:paraId="5A9A6F6F" w14:textId="77777777" w:rsidTr="00556240">
        <w:trPr>
          <w:gridAfter w:val="1"/>
          <w:wAfter w:w="15" w:type="dxa"/>
          <w:jc w:val="center"/>
        </w:trPr>
        <w:tc>
          <w:tcPr>
            <w:tcW w:w="1247" w:type="dxa"/>
            <w:tcBorders>
              <w:top w:val="nil"/>
              <w:left w:val="single" w:sz="18" w:space="0" w:color="A8D08D" w:themeColor="accent6" w:themeTint="99"/>
              <w:bottom w:val="nil"/>
            </w:tcBorders>
          </w:tcPr>
          <w:p w14:paraId="4325BF1D" w14:textId="516CE04F" w:rsidR="000A66F1" w:rsidRPr="000127EF" w:rsidRDefault="000A66F1" w:rsidP="000A66F1">
            <w:pPr>
              <w:jc w:val="right"/>
              <w:rPr>
                <w:b/>
                <w:i/>
              </w:rPr>
            </w:pPr>
          </w:p>
        </w:tc>
        <w:tc>
          <w:tcPr>
            <w:tcW w:w="6236" w:type="dxa"/>
            <w:gridSpan w:val="3"/>
            <w:tcBorders>
              <w:top w:val="nil"/>
              <w:bottom w:val="nil"/>
            </w:tcBorders>
          </w:tcPr>
          <w:p w14:paraId="1A2193E1" w14:textId="58E6266B" w:rsidR="000A66F1" w:rsidRPr="000127EF" w:rsidRDefault="000A66F1" w:rsidP="000A66F1">
            <w:pPr>
              <w:rPr>
                <w:b/>
              </w:rPr>
            </w:pPr>
          </w:p>
        </w:tc>
        <w:tc>
          <w:tcPr>
            <w:tcW w:w="1247" w:type="dxa"/>
            <w:tcBorders>
              <w:top w:val="nil"/>
              <w:bottom w:val="nil"/>
              <w:right w:val="single" w:sz="18" w:space="0" w:color="A8D08D" w:themeColor="accent6" w:themeTint="99"/>
            </w:tcBorders>
            <w:shd w:val="clear" w:color="auto" w:fill="C5E0B3" w:themeFill="accent6" w:themeFillTint="66"/>
          </w:tcPr>
          <w:p w14:paraId="1532D823" w14:textId="105CAA0B" w:rsidR="000A66F1" w:rsidRPr="00E51E22" w:rsidRDefault="000A66F1" w:rsidP="000A66F1">
            <w:pPr>
              <w:jc w:val="right"/>
              <w:rPr>
                <w:b/>
              </w:rPr>
            </w:pPr>
          </w:p>
        </w:tc>
      </w:tr>
      <w:tr w:rsidR="000A66F1" w:rsidRPr="000127EF" w14:paraId="7FBC7B66" w14:textId="77777777" w:rsidTr="00556240">
        <w:trPr>
          <w:gridAfter w:val="1"/>
          <w:wAfter w:w="15" w:type="dxa"/>
          <w:jc w:val="center"/>
        </w:trPr>
        <w:tc>
          <w:tcPr>
            <w:tcW w:w="1247" w:type="dxa"/>
            <w:tcBorders>
              <w:top w:val="nil"/>
              <w:left w:val="single" w:sz="18" w:space="0" w:color="A8D08D" w:themeColor="accent6" w:themeTint="99"/>
              <w:bottom w:val="nil"/>
            </w:tcBorders>
          </w:tcPr>
          <w:p w14:paraId="71B1E26B" w14:textId="77777777" w:rsidR="000A66F1" w:rsidRPr="000127EF" w:rsidRDefault="000A66F1" w:rsidP="000A66F1">
            <w:pPr>
              <w:jc w:val="right"/>
              <w:rPr>
                <w:b/>
                <w:i/>
              </w:rPr>
            </w:pPr>
          </w:p>
        </w:tc>
        <w:tc>
          <w:tcPr>
            <w:tcW w:w="6236" w:type="dxa"/>
            <w:gridSpan w:val="3"/>
            <w:tcBorders>
              <w:top w:val="nil"/>
              <w:bottom w:val="nil"/>
            </w:tcBorders>
          </w:tcPr>
          <w:p w14:paraId="50480EB1" w14:textId="4DF4334C" w:rsidR="000A66F1" w:rsidRPr="000127EF" w:rsidRDefault="000A66F1" w:rsidP="000A66F1">
            <w:pPr>
              <w:rPr>
                <w:b/>
              </w:rPr>
            </w:pPr>
            <w:r w:rsidRPr="000127EF">
              <w:rPr>
                <w:b/>
              </w:rPr>
              <w:t>Expenditure Repayment of Funds (In-line with Section 75 Agreement)</w:t>
            </w:r>
          </w:p>
        </w:tc>
        <w:tc>
          <w:tcPr>
            <w:tcW w:w="1247" w:type="dxa"/>
            <w:tcBorders>
              <w:top w:val="nil"/>
              <w:bottom w:val="nil"/>
              <w:right w:val="single" w:sz="18" w:space="0" w:color="A8D08D" w:themeColor="accent6" w:themeTint="99"/>
            </w:tcBorders>
            <w:shd w:val="clear" w:color="auto" w:fill="C5E0B3" w:themeFill="accent6" w:themeFillTint="66"/>
          </w:tcPr>
          <w:p w14:paraId="776884D3" w14:textId="77777777" w:rsidR="000A66F1" w:rsidRPr="00E51E22" w:rsidRDefault="000A66F1" w:rsidP="000A66F1">
            <w:pPr>
              <w:jc w:val="right"/>
              <w:rPr>
                <w:b/>
              </w:rPr>
            </w:pPr>
          </w:p>
        </w:tc>
      </w:tr>
      <w:tr w:rsidR="000A66F1" w:rsidRPr="000127EF" w14:paraId="7378E829" w14:textId="77777777" w:rsidTr="00556240">
        <w:trPr>
          <w:gridAfter w:val="1"/>
          <w:wAfter w:w="15" w:type="dxa"/>
          <w:jc w:val="center"/>
        </w:trPr>
        <w:tc>
          <w:tcPr>
            <w:tcW w:w="1247" w:type="dxa"/>
            <w:tcBorders>
              <w:top w:val="nil"/>
              <w:left w:val="single" w:sz="18" w:space="0" w:color="A8D08D" w:themeColor="accent6" w:themeTint="99"/>
              <w:bottom w:val="single" w:sz="4" w:space="0" w:color="auto"/>
            </w:tcBorders>
          </w:tcPr>
          <w:p w14:paraId="7CD6F5DB" w14:textId="1AB62BC0" w:rsidR="000A66F1" w:rsidRPr="000127EF" w:rsidRDefault="000A66F1" w:rsidP="000A66F1">
            <w:pPr>
              <w:jc w:val="right"/>
              <w:rPr>
                <w:b/>
                <w:i/>
              </w:rPr>
            </w:pPr>
            <w:r w:rsidRPr="000127EF">
              <w:rPr>
                <w:b/>
              </w:rPr>
              <w:t>-</w:t>
            </w:r>
          </w:p>
        </w:tc>
        <w:tc>
          <w:tcPr>
            <w:tcW w:w="6236" w:type="dxa"/>
            <w:gridSpan w:val="3"/>
            <w:tcBorders>
              <w:top w:val="nil"/>
              <w:bottom w:val="nil"/>
            </w:tcBorders>
          </w:tcPr>
          <w:p w14:paraId="5DA2D1DC" w14:textId="7AEEED71" w:rsidR="000A66F1" w:rsidRPr="000127EF" w:rsidRDefault="000A66F1" w:rsidP="000A66F1">
            <w:pPr>
              <w:rPr>
                <w:b/>
              </w:rPr>
            </w:pPr>
            <w:r w:rsidRPr="000127EF">
              <w:t>ELRCCG</w:t>
            </w:r>
          </w:p>
        </w:tc>
        <w:tc>
          <w:tcPr>
            <w:tcW w:w="1247" w:type="dxa"/>
            <w:tcBorders>
              <w:top w:val="nil"/>
              <w:bottom w:val="single" w:sz="4" w:space="0" w:color="auto"/>
              <w:right w:val="single" w:sz="18" w:space="0" w:color="A8D08D" w:themeColor="accent6" w:themeTint="99"/>
            </w:tcBorders>
            <w:shd w:val="clear" w:color="auto" w:fill="C5E0B3" w:themeFill="accent6" w:themeFillTint="66"/>
          </w:tcPr>
          <w:p w14:paraId="4A59D623" w14:textId="2F125FE1" w:rsidR="000A66F1" w:rsidRPr="003A6FDA" w:rsidRDefault="00F91FF7" w:rsidP="000A66F1">
            <w:pPr>
              <w:jc w:val="right"/>
              <w:rPr>
                <w:b/>
                <w:bCs/>
              </w:rPr>
            </w:pPr>
            <w:r w:rsidRPr="003A6FDA">
              <w:rPr>
                <w:b/>
                <w:bCs/>
              </w:rPr>
              <w:t>93</w:t>
            </w:r>
          </w:p>
        </w:tc>
      </w:tr>
      <w:tr w:rsidR="000A66F1" w:rsidRPr="000127EF" w14:paraId="70FAC3B2" w14:textId="77777777" w:rsidTr="000A66F1">
        <w:trPr>
          <w:gridAfter w:val="1"/>
          <w:wAfter w:w="15" w:type="dxa"/>
          <w:jc w:val="center"/>
        </w:trPr>
        <w:tc>
          <w:tcPr>
            <w:tcW w:w="1247" w:type="dxa"/>
            <w:tcBorders>
              <w:top w:val="single" w:sz="4" w:space="0" w:color="auto"/>
              <w:left w:val="single" w:sz="18" w:space="0" w:color="A8D08D" w:themeColor="accent6" w:themeTint="99"/>
              <w:bottom w:val="nil"/>
            </w:tcBorders>
            <w:vAlign w:val="center"/>
          </w:tcPr>
          <w:p w14:paraId="006F58DF" w14:textId="2EA9664F" w:rsidR="000A66F1" w:rsidRPr="000127EF" w:rsidRDefault="000A66F1" w:rsidP="000A66F1">
            <w:pPr>
              <w:jc w:val="right"/>
              <w:rPr>
                <w:i/>
              </w:rPr>
            </w:pPr>
            <w:r w:rsidRPr="000127EF">
              <w:rPr>
                <w:b/>
              </w:rPr>
              <w:t>-</w:t>
            </w:r>
          </w:p>
        </w:tc>
        <w:tc>
          <w:tcPr>
            <w:tcW w:w="6236" w:type="dxa"/>
            <w:gridSpan w:val="3"/>
            <w:tcBorders>
              <w:top w:val="nil"/>
              <w:bottom w:val="nil"/>
            </w:tcBorders>
          </w:tcPr>
          <w:p w14:paraId="4AB10CBF" w14:textId="6680E76F" w:rsidR="000A66F1" w:rsidRPr="000127EF" w:rsidRDefault="000A66F1" w:rsidP="000A66F1">
            <w:r w:rsidRPr="000127EF">
              <w:rPr>
                <w:b/>
              </w:rPr>
              <w:t>Total Expenditure Repayment of Funds (In-line with Section 75 Agreement)</w:t>
            </w:r>
          </w:p>
        </w:tc>
        <w:tc>
          <w:tcPr>
            <w:tcW w:w="1247" w:type="dxa"/>
            <w:tcBorders>
              <w:top w:val="single" w:sz="4" w:space="0" w:color="auto"/>
              <w:bottom w:val="nil"/>
              <w:right w:val="single" w:sz="18" w:space="0" w:color="A8D08D" w:themeColor="accent6" w:themeTint="99"/>
            </w:tcBorders>
            <w:shd w:val="clear" w:color="auto" w:fill="C5E0B3" w:themeFill="accent6" w:themeFillTint="66"/>
            <w:vAlign w:val="center"/>
          </w:tcPr>
          <w:p w14:paraId="0542DBE6" w14:textId="772D355A" w:rsidR="000A66F1" w:rsidRPr="003A6FDA" w:rsidRDefault="00E51E22" w:rsidP="000A66F1">
            <w:pPr>
              <w:jc w:val="right"/>
              <w:rPr>
                <w:b/>
                <w:bCs/>
              </w:rPr>
            </w:pPr>
            <w:r w:rsidRPr="003A6FDA">
              <w:rPr>
                <w:b/>
                <w:bCs/>
              </w:rPr>
              <w:t>93</w:t>
            </w:r>
          </w:p>
        </w:tc>
      </w:tr>
      <w:tr w:rsidR="000A66F1" w:rsidRPr="000127EF" w14:paraId="083257B9" w14:textId="77777777" w:rsidTr="000A66F1">
        <w:trPr>
          <w:gridAfter w:val="1"/>
          <w:wAfter w:w="15" w:type="dxa"/>
          <w:jc w:val="center"/>
        </w:trPr>
        <w:tc>
          <w:tcPr>
            <w:tcW w:w="1247" w:type="dxa"/>
            <w:tcBorders>
              <w:top w:val="single" w:sz="4" w:space="0" w:color="auto"/>
              <w:left w:val="single" w:sz="18" w:space="0" w:color="A8D08D" w:themeColor="accent6" w:themeTint="99"/>
              <w:bottom w:val="nil"/>
            </w:tcBorders>
            <w:vAlign w:val="center"/>
          </w:tcPr>
          <w:p w14:paraId="5F3265E5" w14:textId="004517A5" w:rsidR="000A66F1" w:rsidRPr="000127EF" w:rsidRDefault="00E02937" w:rsidP="000A66F1">
            <w:pPr>
              <w:jc w:val="right"/>
              <w:rPr>
                <w:b/>
                <w:i/>
              </w:rPr>
            </w:pPr>
            <w:r>
              <w:rPr>
                <w:b/>
              </w:rPr>
              <w:fldChar w:fldCharType="begin"/>
            </w:r>
            <w:r>
              <w:rPr>
                <w:b/>
              </w:rPr>
              <w:instrText xml:space="preserve"> =a7-a14 </w:instrText>
            </w:r>
            <w:r>
              <w:rPr>
                <w:b/>
              </w:rPr>
              <w:fldChar w:fldCharType="separate"/>
            </w:r>
            <w:r>
              <w:rPr>
                <w:b/>
                <w:noProof/>
              </w:rPr>
              <w:t>304</w:t>
            </w:r>
            <w:r>
              <w:rPr>
                <w:b/>
              </w:rPr>
              <w:fldChar w:fldCharType="end"/>
            </w:r>
          </w:p>
        </w:tc>
        <w:tc>
          <w:tcPr>
            <w:tcW w:w="6236" w:type="dxa"/>
            <w:gridSpan w:val="3"/>
            <w:tcBorders>
              <w:top w:val="nil"/>
              <w:bottom w:val="nil"/>
            </w:tcBorders>
          </w:tcPr>
          <w:p w14:paraId="2B7BE121" w14:textId="1F6ABD38" w:rsidR="000A66F1" w:rsidRPr="000127EF" w:rsidRDefault="000A66F1" w:rsidP="000A66F1">
            <w:pPr>
              <w:rPr>
                <w:b/>
              </w:rPr>
            </w:pPr>
            <w:r w:rsidRPr="000127EF">
              <w:rPr>
                <w:b/>
              </w:rPr>
              <w:t>Surplus/ (Deficit) on Fund</w:t>
            </w:r>
          </w:p>
        </w:tc>
        <w:tc>
          <w:tcPr>
            <w:tcW w:w="1247" w:type="dxa"/>
            <w:tcBorders>
              <w:top w:val="single" w:sz="4" w:space="0" w:color="auto"/>
              <w:bottom w:val="nil"/>
              <w:right w:val="single" w:sz="18" w:space="0" w:color="A8D08D" w:themeColor="accent6" w:themeTint="99"/>
            </w:tcBorders>
            <w:shd w:val="clear" w:color="auto" w:fill="C5E0B3" w:themeFill="accent6" w:themeFillTint="66"/>
            <w:vAlign w:val="center"/>
          </w:tcPr>
          <w:p w14:paraId="4A7867C9" w14:textId="6EF4F9E6" w:rsidR="000A66F1" w:rsidRPr="00E51E22" w:rsidRDefault="00F91FF7" w:rsidP="000A66F1">
            <w:pPr>
              <w:jc w:val="right"/>
              <w:rPr>
                <w:b/>
              </w:rPr>
            </w:pPr>
            <w:r>
              <w:rPr>
                <w:b/>
              </w:rPr>
              <w:t>224</w:t>
            </w:r>
          </w:p>
        </w:tc>
      </w:tr>
      <w:tr w:rsidR="000A66F1" w:rsidRPr="000127EF" w14:paraId="6F5D0FAD" w14:textId="77777777" w:rsidTr="00556240">
        <w:trPr>
          <w:gridAfter w:val="1"/>
          <w:wAfter w:w="15" w:type="dxa"/>
          <w:jc w:val="center"/>
        </w:trPr>
        <w:tc>
          <w:tcPr>
            <w:tcW w:w="1247" w:type="dxa"/>
            <w:tcBorders>
              <w:top w:val="single" w:sz="4" w:space="0" w:color="auto"/>
              <w:left w:val="single" w:sz="18" w:space="0" w:color="A8D08D" w:themeColor="accent6" w:themeTint="99"/>
              <w:bottom w:val="nil"/>
            </w:tcBorders>
            <w:vAlign w:val="center"/>
          </w:tcPr>
          <w:p w14:paraId="3C0B45EB" w14:textId="77777777" w:rsidR="000A66F1" w:rsidRPr="000127EF" w:rsidRDefault="000A66F1" w:rsidP="000A66F1">
            <w:pPr>
              <w:jc w:val="right"/>
            </w:pPr>
          </w:p>
          <w:p w14:paraId="17861E51" w14:textId="77777777" w:rsidR="000A66F1" w:rsidRPr="000127EF" w:rsidRDefault="000A66F1" w:rsidP="000A66F1"/>
          <w:p w14:paraId="0E5C158C" w14:textId="0F45CA04" w:rsidR="000A66F1" w:rsidRPr="000127EF" w:rsidRDefault="000A66F1" w:rsidP="000A66F1">
            <w:pPr>
              <w:jc w:val="right"/>
              <w:rPr>
                <w:b/>
                <w:i/>
              </w:rPr>
            </w:pPr>
            <w:r w:rsidRPr="000127EF">
              <w:t>36</w:t>
            </w:r>
          </w:p>
        </w:tc>
        <w:tc>
          <w:tcPr>
            <w:tcW w:w="6236" w:type="dxa"/>
            <w:gridSpan w:val="3"/>
            <w:tcBorders>
              <w:top w:val="nil"/>
              <w:bottom w:val="nil"/>
            </w:tcBorders>
          </w:tcPr>
          <w:p w14:paraId="4C7EA540" w14:textId="77777777" w:rsidR="000A66F1" w:rsidRPr="000127EF" w:rsidRDefault="000A66F1" w:rsidP="000A66F1">
            <w:pPr>
              <w:rPr>
                <w:b/>
              </w:rPr>
            </w:pPr>
          </w:p>
          <w:p w14:paraId="31966516" w14:textId="77777777" w:rsidR="000A66F1" w:rsidRPr="000127EF" w:rsidRDefault="000A66F1" w:rsidP="000A66F1">
            <w:pPr>
              <w:rPr>
                <w:b/>
              </w:rPr>
            </w:pPr>
            <w:r w:rsidRPr="000127EF">
              <w:rPr>
                <w:b/>
              </w:rPr>
              <w:t>Share of Surplus / (Deficit)</w:t>
            </w:r>
          </w:p>
          <w:p w14:paraId="7DB35E51" w14:textId="71B0D8DA" w:rsidR="000A66F1" w:rsidRPr="000127EF" w:rsidRDefault="000A66F1" w:rsidP="000A66F1">
            <w:pPr>
              <w:rPr>
                <w:b/>
              </w:rPr>
            </w:pPr>
            <w:r w:rsidRPr="000127EF">
              <w:t>ELRCCG</w:t>
            </w:r>
          </w:p>
        </w:tc>
        <w:tc>
          <w:tcPr>
            <w:tcW w:w="1247" w:type="dxa"/>
            <w:tcBorders>
              <w:top w:val="single" w:sz="4" w:space="0" w:color="auto"/>
              <w:bottom w:val="nil"/>
              <w:right w:val="single" w:sz="18" w:space="0" w:color="A8D08D" w:themeColor="accent6" w:themeTint="99"/>
            </w:tcBorders>
            <w:shd w:val="clear" w:color="auto" w:fill="C5E0B3" w:themeFill="accent6" w:themeFillTint="66"/>
            <w:vAlign w:val="center"/>
          </w:tcPr>
          <w:p w14:paraId="3505D448" w14:textId="77777777" w:rsidR="000A66F1" w:rsidRDefault="000A66F1" w:rsidP="000A66F1">
            <w:pPr>
              <w:jc w:val="right"/>
              <w:rPr>
                <w:b/>
              </w:rPr>
            </w:pPr>
          </w:p>
          <w:p w14:paraId="3BAD95A3" w14:textId="77777777" w:rsidR="00F91FF7" w:rsidRDefault="00F91FF7" w:rsidP="000A66F1">
            <w:pPr>
              <w:jc w:val="right"/>
              <w:rPr>
                <w:b/>
              </w:rPr>
            </w:pPr>
          </w:p>
          <w:p w14:paraId="65364E0C" w14:textId="0D5272FF" w:rsidR="00F91FF7" w:rsidRPr="00F91FF7" w:rsidRDefault="00F91FF7" w:rsidP="000A66F1">
            <w:pPr>
              <w:jc w:val="right"/>
            </w:pPr>
            <w:r>
              <w:t>(28)</w:t>
            </w:r>
          </w:p>
        </w:tc>
      </w:tr>
      <w:tr w:rsidR="000A66F1" w:rsidRPr="000127EF" w14:paraId="1D0FC709" w14:textId="77777777" w:rsidTr="00556240">
        <w:trPr>
          <w:gridAfter w:val="1"/>
          <w:wAfter w:w="15" w:type="dxa"/>
          <w:jc w:val="center"/>
        </w:trPr>
        <w:tc>
          <w:tcPr>
            <w:tcW w:w="1247" w:type="dxa"/>
            <w:tcBorders>
              <w:top w:val="nil"/>
              <w:left w:val="single" w:sz="18" w:space="0" w:color="A8D08D" w:themeColor="accent6" w:themeTint="99"/>
              <w:bottom w:val="single" w:sz="8" w:space="0" w:color="auto"/>
            </w:tcBorders>
          </w:tcPr>
          <w:p w14:paraId="1498C3A4" w14:textId="2587CC1D" w:rsidR="000A66F1" w:rsidRPr="000127EF" w:rsidRDefault="000A66F1" w:rsidP="000A66F1">
            <w:pPr>
              <w:tabs>
                <w:tab w:val="left" w:pos="1215"/>
              </w:tabs>
              <w:jc w:val="right"/>
              <w:rPr>
                <w:i/>
              </w:rPr>
            </w:pPr>
            <w:r w:rsidRPr="000127EF">
              <w:t>268</w:t>
            </w:r>
          </w:p>
        </w:tc>
        <w:tc>
          <w:tcPr>
            <w:tcW w:w="6236" w:type="dxa"/>
            <w:gridSpan w:val="3"/>
            <w:tcBorders>
              <w:top w:val="nil"/>
              <w:bottom w:val="nil"/>
            </w:tcBorders>
          </w:tcPr>
          <w:p w14:paraId="2BC5784D" w14:textId="080068DD" w:rsidR="000A66F1" w:rsidRPr="000127EF" w:rsidRDefault="000A66F1" w:rsidP="000A66F1">
            <w:r w:rsidRPr="000127EF">
              <w:t>RCC</w:t>
            </w:r>
          </w:p>
        </w:tc>
        <w:tc>
          <w:tcPr>
            <w:tcW w:w="1247" w:type="dxa"/>
            <w:tcBorders>
              <w:top w:val="nil"/>
              <w:bottom w:val="single" w:sz="8" w:space="0" w:color="auto"/>
              <w:right w:val="single" w:sz="18" w:space="0" w:color="A8D08D" w:themeColor="accent6" w:themeTint="99"/>
            </w:tcBorders>
            <w:shd w:val="clear" w:color="auto" w:fill="C5E0B3" w:themeFill="accent6" w:themeFillTint="66"/>
          </w:tcPr>
          <w:p w14:paraId="7B8E4C3D" w14:textId="5E2C245B" w:rsidR="000A66F1" w:rsidRPr="00E51E22" w:rsidRDefault="00E51E22" w:rsidP="000A66F1">
            <w:pPr>
              <w:jc w:val="right"/>
            </w:pPr>
            <w:r w:rsidRPr="00E51E22">
              <w:t>2</w:t>
            </w:r>
            <w:r w:rsidR="003A6FDA">
              <w:t>52</w:t>
            </w:r>
          </w:p>
        </w:tc>
      </w:tr>
      <w:tr w:rsidR="000A66F1" w:rsidRPr="000127EF" w14:paraId="70A0B113" w14:textId="77777777" w:rsidTr="00556240">
        <w:trPr>
          <w:gridAfter w:val="1"/>
          <w:wAfter w:w="15" w:type="dxa"/>
          <w:jc w:val="center"/>
        </w:trPr>
        <w:tc>
          <w:tcPr>
            <w:tcW w:w="1247" w:type="dxa"/>
            <w:tcBorders>
              <w:top w:val="single" w:sz="8" w:space="0" w:color="auto"/>
              <w:left w:val="single" w:sz="18" w:space="0" w:color="A8D08D" w:themeColor="accent6" w:themeTint="99"/>
              <w:bottom w:val="single" w:sz="8" w:space="0" w:color="auto"/>
            </w:tcBorders>
          </w:tcPr>
          <w:p w14:paraId="015355F3" w14:textId="466B24B2" w:rsidR="000A66F1" w:rsidRPr="000127EF" w:rsidRDefault="00E02937" w:rsidP="000A66F1">
            <w:pPr>
              <w:jc w:val="right"/>
              <w:rPr>
                <w:b/>
                <w:i/>
              </w:rPr>
            </w:pPr>
            <w:r>
              <w:rPr>
                <w:b/>
              </w:rPr>
              <w:fldChar w:fldCharType="begin"/>
            </w:r>
            <w:r>
              <w:rPr>
                <w:b/>
              </w:rPr>
              <w:instrText xml:space="preserve"> =SUM(a21:a22) </w:instrText>
            </w:r>
            <w:r>
              <w:rPr>
                <w:b/>
              </w:rPr>
              <w:fldChar w:fldCharType="separate"/>
            </w:r>
            <w:r>
              <w:rPr>
                <w:b/>
                <w:noProof/>
              </w:rPr>
              <w:t>268</w:t>
            </w:r>
            <w:r>
              <w:rPr>
                <w:b/>
              </w:rPr>
              <w:fldChar w:fldCharType="end"/>
            </w:r>
          </w:p>
        </w:tc>
        <w:tc>
          <w:tcPr>
            <w:tcW w:w="6236" w:type="dxa"/>
            <w:gridSpan w:val="3"/>
            <w:tcBorders>
              <w:top w:val="nil"/>
              <w:bottom w:val="nil"/>
            </w:tcBorders>
          </w:tcPr>
          <w:p w14:paraId="75150F29" w14:textId="760A1576" w:rsidR="000A66F1" w:rsidRPr="000127EF" w:rsidRDefault="000A66F1" w:rsidP="000A66F1">
            <w:r w:rsidRPr="000127EF">
              <w:rPr>
                <w:b/>
              </w:rPr>
              <w:t>Surplus/ (Deficit) on Fund</w:t>
            </w:r>
          </w:p>
        </w:tc>
        <w:tc>
          <w:tcPr>
            <w:tcW w:w="1247" w:type="dxa"/>
            <w:tcBorders>
              <w:top w:val="single" w:sz="8" w:space="0" w:color="auto"/>
              <w:bottom w:val="single" w:sz="8" w:space="0" w:color="auto"/>
              <w:right w:val="single" w:sz="18" w:space="0" w:color="A8D08D" w:themeColor="accent6" w:themeTint="99"/>
            </w:tcBorders>
            <w:shd w:val="clear" w:color="auto" w:fill="C5E0B3" w:themeFill="accent6" w:themeFillTint="66"/>
          </w:tcPr>
          <w:p w14:paraId="43F38777" w14:textId="4C78ED02" w:rsidR="000A66F1" w:rsidRPr="003A6FDA" w:rsidRDefault="00E51E22" w:rsidP="000A66F1">
            <w:pPr>
              <w:jc w:val="right"/>
              <w:rPr>
                <w:b/>
                <w:bCs/>
              </w:rPr>
            </w:pPr>
            <w:r w:rsidRPr="003A6FDA">
              <w:rPr>
                <w:b/>
                <w:bCs/>
              </w:rPr>
              <w:t>224</w:t>
            </w:r>
          </w:p>
        </w:tc>
      </w:tr>
      <w:tr w:rsidR="00556240" w:rsidRPr="000127EF" w14:paraId="7AD154E4" w14:textId="77777777" w:rsidTr="00556240">
        <w:trPr>
          <w:jc w:val="center"/>
        </w:trPr>
        <w:tc>
          <w:tcPr>
            <w:tcW w:w="1454" w:type="dxa"/>
            <w:gridSpan w:val="2"/>
            <w:tcBorders>
              <w:top w:val="single" w:sz="8" w:space="0" w:color="auto"/>
              <w:bottom w:val="single" w:sz="18" w:space="0" w:color="A8D08D" w:themeColor="accent6" w:themeTint="99"/>
            </w:tcBorders>
          </w:tcPr>
          <w:p w14:paraId="5FB625BA" w14:textId="5273A0A9" w:rsidR="00D83C75" w:rsidRPr="000127EF" w:rsidRDefault="00D83C75" w:rsidP="00174AAF">
            <w:pPr>
              <w:jc w:val="right"/>
              <w:rPr>
                <w:b/>
                <w:i/>
              </w:rPr>
            </w:pPr>
          </w:p>
        </w:tc>
        <w:tc>
          <w:tcPr>
            <w:tcW w:w="3005" w:type="dxa"/>
            <w:tcBorders>
              <w:top w:val="nil"/>
              <w:bottom w:val="single" w:sz="18" w:space="0" w:color="A8D08D" w:themeColor="accent6" w:themeTint="99"/>
            </w:tcBorders>
          </w:tcPr>
          <w:p w14:paraId="69D24C46" w14:textId="092E31C9" w:rsidR="00D83C75" w:rsidRPr="000127EF" w:rsidRDefault="00D83C75" w:rsidP="00174AAF">
            <w:pPr>
              <w:rPr>
                <w:b/>
              </w:rPr>
            </w:pPr>
          </w:p>
        </w:tc>
        <w:tc>
          <w:tcPr>
            <w:tcW w:w="4286" w:type="dxa"/>
            <w:gridSpan w:val="3"/>
            <w:tcBorders>
              <w:top w:val="single" w:sz="8" w:space="0" w:color="auto"/>
              <w:bottom w:val="single" w:sz="18" w:space="0" w:color="A8D08D" w:themeColor="accent6" w:themeTint="99"/>
            </w:tcBorders>
            <w:shd w:val="clear" w:color="auto" w:fill="auto"/>
          </w:tcPr>
          <w:p w14:paraId="43C5155C" w14:textId="1C31AC7B" w:rsidR="00D83C75" w:rsidRPr="00E51E22" w:rsidRDefault="00D83C75" w:rsidP="00174AAF">
            <w:pPr>
              <w:jc w:val="right"/>
              <w:rPr>
                <w:b/>
              </w:rPr>
            </w:pPr>
          </w:p>
        </w:tc>
      </w:tr>
    </w:tbl>
    <w:p w14:paraId="11611E7D" w14:textId="77777777" w:rsidR="00DA0C25" w:rsidRDefault="00DA0C25">
      <w:r w:rsidRPr="00DA0C25">
        <w:t>I certify that the above pooled budget memorandum account accurately discloses the expenditure incurred</w:t>
      </w:r>
    </w:p>
    <w:p w14:paraId="5940668D" w14:textId="77777777" w:rsidR="00DA0C25" w:rsidRDefault="00DA0C25"/>
    <w:p w14:paraId="1AB12824" w14:textId="77777777" w:rsidR="00DA0C25" w:rsidRDefault="00DA0C25">
      <w:r>
        <w:rPr>
          <w:noProof/>
          <w:lang w:eastAsia="en-GB"/>
        </w:rPr>
        <w:drawing>
          <wp:inline distT="0" distB="0" distL="0" distR="0" wp14:anchorId="3C422892" wp14:editId="511B2D99">
            <wp:extent cx="3143250" cy="733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vDellaRoccaSi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43250" cy="733425"/>
                    </a:xfrm>
                    <a:prstGeom prst="rect">
                      <a:avLst/>
                    </a:prstGeom>
                  </pic:spPr>
                </pic:pic>
              </a:graphicData>
            </a:graphic>
          </wp:inline>
        </w:drawing>
      </w:r>
    </w:p>
    <w:p w14:paraId="748DE242" w14:textId="3EC7D8A1" w:rsidR="00DA0C25" w:rsidRDefault="00726626">
      <w:r>
        <w:t>Mr S</w:t>
      </w:r>
      <w:r w:rsidR="00DA0C25" w:rsidRPr="00DA0C25">
        <w:t xml:space="preserve"> Della Rocca</w:t>
      </w:r>
    </w:p>
    <w:p w14:paraId="25E6BEF8" w14:textId="13CE661E" w:rsidR="001D1827" w:rsidRPr="000127EF" w:rsidRDefault="00DA0C25">
      <w:r w:rsidRPr="00DA0C25">
        <w:t>Strategic Direc</w:t>
      </w:r>
      <w:r w:rsidR="00726626">
        <w:t>t</w:t>
      </w:r>
      <w:r w:rsidRPr="00DA0C25">
        <w:t>or - Resources (CFO)</w:t>
      </w:r>
      <w:r w:rsidR="001D1827" w:rsidRPr="000127EF">
        <w:br w:type="page"/>
      </w:r>
    </w:p>
    <w:p w14:paraId="70716056" w14:textId="0E4F1028" w:rsidR="00947FE8" w:rsidRPr="000127EF" w:rsidRDefault="007A288A" w:rsidP="002F1110">
      <w:pPr>
        <w:pStyle w:val="Heading1"/>
        <w:numPr>
          <w:ilvl w:val="0"/>
          <w:numId w:val="8"/>
        </w:numPr>
        <w:ind w:left="426"/>
        <w:rPr>
          <w:sz w:val="22"/>
          <w:szCs w:val="22"/>
        </w:rPr>
      </w:pPr>
      <w:r w:rsidRPr="000127EF">
        <w:rPr>
          <w:sz w:val="22"/>
          <w:szCs w:val="22"/>
        </w:rPr>
        <w:lastRenderedPageBreak/>
        <w:t>C</w:t>
      </w:r>
      <w:r w:rsidR="00947FE8" w:rsidRPr="000127EF">
        <w:rPr>
          <w:sz w:val="22"/>
          <w:szCs w:val="22"/>
        </w:rPr>
        <w:t>omprehensive Income and Expenditure Statement - Other Operating Expenditure</w:t>
      </w:r>
      <w:r w:rsidR="007E7AB2" w:rsidRPr="000127EF">
        <w:rPr>
          <w:sz w:val="22"/>
          <w:szCs w:val="22"/>
        </w:rPr>
        <w:tab/>
      </w:r>
    </w:p>
    <w:tbl>
      <w:tblPr>
        <w:tblStyle w:val="TableGrid"/>
        <w:tblW w:w="8624"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392"/>
        <w:gridCol w:w="5752"/>
        <w:gridCol w:w="1480"/>
      </w:tblGrid>
      <w:tr w:rsidR="0084298E" w:rsidRPr="000127EF" w14:paraId="12319A4E" w14:textId="77777777" w:rsidTr="00432E4B">
        <w:trPr>
          <w:trHeight w:val="305"/>
          <w:jc w:val="center"/>
        </w:trPr>
        <w:tc>
          <w:tcPr>
            <w:tcW w:w="1392" w:type="dxa"/>
          </w:tcPr>
          <w:p w14:paraId="4889A4F3" w14:textId="3DB2AD73" w:rsidR="0084298E" w:rsidRPr="000127EF" w:rsidRDefault="000A66F1" w:rsidP="001F2D6B">
            <w:pPr>
              <w:jc w:val="center"/>
              <w:rPr>
                <w:b/>
                <w:i/>
              </w:rPr>
            </w:pPr>
            <w:r>
              <w:rPr>
                <w:b/>
                <w:i/>
              </w:rPr>
              <w:t>2018/19</w:t>
            </w:r>
          </w:p>
        </w:tc>
        <w:tc>
          <w:tcPr>
            <w:tcW w:w="5752" w:type="dxa"/>
            <w:vAlign w:val="center"/>
          </w:tcPr>
          <w:p w14:paraId="6389D2B8" w14:textId="77777777" w:rsidR="0084298E" w:rsidRPr="000127EF" w:rsidRDefault="0084298E" w:rsidP="00142065">
            <w:pPr>
              <w:jc w:val="center"/>
              <w:rPr>
                <w:b/>
              </w:rPr>
            </w:pPr>
            <w:r w:rsidRPr="000127EF">
              <w:rPr>
                <w:b/>
                <w:szCs w:val="22"/>
              </w:rPr>
              <w:t>Other Operating Expenditure</w:t>
            </w:r>
          </w:p>
        </w:tc>
        <w:tc>
          <w:tcPr>
            <w:tcW w:w="1480" w:type="dxa"/>
          </w:tcPr>
          <w:p w14:paraId="3965D1E2" w14:textId="59B47AC2" w:rsidR="0084298E" w:rsidRPr="00E51E22" w:rsidRDefault="000A66F1" w:rsidP="00142065">
            <w:pPr>
              <w:jc w:val="center"/>
              <w:rPr>
                <w:b/>
              </w:rPr>
            </w:pPr>
            <w:r w:rsidRPr="00E51E22">
              <w:rPr>
                <w:b/>
              </w:rPr>
              <w:t>2019/20</w:t>
            </w:r>
          </w:p>
        </w:tc>
      </w:tr>
      <w:tr w:rsidR="0084298E" w:rsidRPr="000127EF" w14:paraId="75A1780D" w14:textId="77777777" w:rsidTr="00432E4B">
        <w:trPr>
          <w:trHeight w:val="270"/>
          <w:jc w:val="center"/>
        </w:trPr>
        <w:tc>
          <w:tcPr>
            <w:tcW w:w="1392" w:type="dxa"/>
          </w:tcPr>
          <w:p w14:paraId="13F95597" w14:textId="77777777" w:rsidR="0084298E" w:rsidRPr="000127EF" w:rsidRDefault="0084298E" w:rsidP="001F2D6B">
            <w:pPr>
              <w:jc w:val="center"/>
              <w:rPr>
                <w:b/>
                <w:i/>
              </w:rPr>
            </w:pPr>
            <w:r w:rsidRPr="000127EF">
              <w:rPr>
                <w:b/>
                <w:i/>
              </w:rPr>
              <w:t>£000</w:t>
            </w:r>
          </w:p>
        </w:tc>
        <w:tc>
          <w:tcPr>
            <w:tcW w:w="5752" w:type="dxa"/>
          </w:tcPr>
          <w:p w14:paraId="5F553E9F" w14:textId="77777777" w:rsidR="0084298E" w:rsidRPr="000127EF" w:rsidRDefault="0084298E" w:rsidP="00142065">
            <w:pPr>
              <w:jc w:val="center"/>
              <w:rPr>
                <w:b/>
              </w:rPr>
            </w:pPr>
          </w:p>
        </w:tc>
        <w:tc>
          <w:tcPr>
            <w:tcW w:w="1480" w:type="dxa"/>
            <w:shd w:val="clear" w:color="auto" w:fill="C5E0B3" w:themeFill="accent6" w:themeFillTint="66"/>
          </w:tcPr>
          <w:p w14:paraId="64503F83" w14:textId="77777777" w:rsidR="0084298E" w:rsidRPr="00E51E22" w:rsidRDefault="0084298E" w:rsidP="00142065">
            <w:pPr>
              <w:jc w:val="center"/>
              <w:rPr>
                <w:b/>
              </w:rPr>
            </w:pPr>
            <w:r w:rsidRPr="00E51E22">
              <w:rPr>
                <w:b/>
              </w:rPr>
              <w:t>£000</w:t>
            </w:r>
          </w:p>
        </w:tc>
      </w:tr>
      <w:tr w:rsidR="000A66F1" w:rsidRPr="000127EF" w14:paraId="45B060B3" w14:textId="77777777" w:rsidTr="00432E4B">
        <w:trPr>
          <w:trHeight w:val="270"/>
          <w:jc w:val="center"/>
        </w:trPr>
        <w:tc>
          <w:tcPr>
            <w:tcW w:w="1392" w:type="dxa"/>
          </w:tcPr>
          <w:p w14:paraId="4E878767" w14:textId="1D3FD06E" w:rsidR="000A66F1" w:rsidRPr="000A66F1" w:rsidRDefault="000A66F1" w:rsidP="000A66F1">
            <w:pPr>
              <w:jc w:val="right"/>
              <w:rPr>
                <w:i/>
              </w:rPr>
            </w:pPr>
            <w:r w:rsidRPr="000A66F1">
              <w:rPr>
                <w:i/>
              </w:rPr>
              <w:t>73</w:t>
            </w:r>
            <w:r w:rsidR="00E32731">
              <w:rPr>
                <w:i/>
              </w:rPr>
              <w:t>2</w:t>
            </w:r>
          </w:p>
        </w:tc>
        <w:tc>
          <w:tcPr>
            <w:tcW w:w="5752" w:type="dxa"/>
            <w:vAlign w:val="center"/>
          </w:tcPr>
          <w:p w14:paraId="40625DD9" w14:textId="77777777" w:rsidR="000A66F1" w:rsidRPr="000127EF" w:rsidRDefault="000A66F1" w:rsidP="000A66F1">
            <w:pPr>
              <w:rPr>
                <w:rFonts w:cs="Arial"/>
                <w:szCs w:val="22"/>
                <w:lang w:val="en-US"/>
              </w:rPr>
            </w:pPr>
            <w:r w:rsidRPr="000127EF">
              <w:rPr>
                <w:rFonts w:cs="Arial"/>
                <w:szCs w:val="22"/>
                <w:lang w:val="en-US"/>
              </w:rPr>
              <w:t>Parish Council Precepts</w:t>
            </w:r>
          </w:p>
        </w:tc>
        <w:tc>
          <w:tcPr>
            <w:tcW w:w="1480" w:type="dxa"/>
            <w:shd w:val="clear" w:color="auto" w:fill="C5E0B3" w:themeFill="accent6" w:themeFillTint="66"/>
          </w:tcPr>
          <w:p w14:paraId="18B72919" w14:textId="3D536EBC" w:rsidR="000A66F1" w:rsidRPr="00E51E22" w:rsidRDefault="00E51E22" w:rsidP="000A66F1">
            <w:pPr>
              <w:jc w:val="right"/>
            </w:pPr>
            <w:r w:rsidRPr="00E51E22">
              <w:t>746</w:t>
            </w:r>
          </w:p>
        </w:tc>
      </w:tr>
      <w:tr w:rsidR="000A66F1" w:rsidRPr="000127EF" w14:paraId="428CF676" w14:textId="77777777" w:rsidTr="00432E4B">
        <w:trPr>
          <w:trHeight w:val="270"/>
          <w:jc w:val="center"/>
        </w:trPr>
        <w:tc>
          <w:tcPr>
            <w:tcW w:w="1392" w:type="dxa"/>
          </w:tcPr>
          <w:p w14:paraId="1A7A8AD9" w14:textId="342BD744" w:rsidR="000A66F1" w:rsidRPr="000A66F1" w:rsidRDefault="000A66F1" w:rsidP="000A66F1">
            <w:pPr>
              <w:jc w:val="right"/>
              <w:rPr>
                <w:i/>
              </w:rPr>
            </w:pPr>
            <w:r w:rsidRPr="000A66F1">
              <w:rPr>
                <w:i/>
              </w:rPr>
              <w:t>73</w:t>
            </w:r>
          </w:p>
        </w:tc>
        <w:tc>
          <w:tcPr>
            <w:tcW w:w="5752" w:type="dxa"/>
          </w:tcPr>
          <w:p w14:paraId="6A2D55CF" w14:textId="77777777" w:rsidR="000A66F1" w:rsidRPr="000127EF" w:rsidRDefault="000A66F1" w:rsidP="000A66F1">
            <w:pPr>
              <w:rPr>
                <w:szCs w:val="22"/>
              </w:rPr>
            </w:pPr>
            <w:r w:rsidRPr="000127EF">
              <w:rPr>
                <w:rFonts w:cs="Arial"/>
                <w:szCs w:val="22"/>
                <w:lang w:val="en-US"/>
              </w:rPr>
              <w:t>External Levies</w:t>
            </w:r>
          </w:p>
        </w:tc>
        <w:tc>
          <w:tcPr>
            <w:tcW w:w="1480" w:type="dxa"/>
            <w:shd w:val="clear" w:color="auto" w:fill="C5E0B3" w:themeFill="accent6" w:themeFillTint="66"/>
          </w:tcPr>
          <w:p w14:paraId="6841E221" w14:textId="38BAD81B" w:rsidR="000A66F1" w:rsidRPr="00E51E22" w:rsidRDefault="00E51E22" w:rsidP="000A66F1">
            <w:pPr>
              <w:jc w:val="right"/>
            </w:pPr>
            <w:r w:rsidRPr="00E51E22">
              <w:t>9</w:t>
            </w:r>
            <w:r w:rsidR="004F5B6B">
              <w:t>3</w:t>
            </w:r>
          </w:p>
        </w:tc>
      </w:tr>
      <w:tr w:rsidR="000A66F1" w:rsidRPr="000127EF" w14:paraId="69CF00B1" w14:textId="77777777" w:rsidTr="00432E4B">
        <w:trPr>
          <w:trHeight w:val="288"/>
          <w:jc w:val="center"/>
        </w:trPr>
        <w:tc>
          <w:tcPr>
            <w:tcW w:w="1392" w:type="dxa"/>
            <w:tcBorders>
              <w:bottom w:val="single" w:sz="8" w:space="0" w:color="auto"/>
            </w:tcBorders>
          </w:tcPr>
          <w:p w14:paraId="34D7EAFA" w14:textId="022F2B6A" w:rsidR="000A66F1" w:rsidRPr="000A66F1" w:rsidRDefault="000A66F1" w:rsidP="000A66F1">
            <w:pPr>
              <w:jc w:val="right"/>
              <w:rPr>
                <w:i/>
              </w:rPr>
            </w:pPr>
            <w:r w:rsidRPr="000A66F1">
              <w:rPr>
                <w:i/>
              </w:rPr>
              <w:t>5,037</w:t>
            </w:r>
          </w:p>
        </w:tc>
        <w:tc>
          <w:tcPr>
            <w:tcW w:w="5752" w:type="dxa"/>
          </w:tcPr>
          <w:p w14:paraId="5A5E580E" w14:textId="77777777" w:rsidR="000A66F1" w:rsidRPr="000127EF" w:rsidRDefault="000A66F1" w:rsidP="000A66F1">
            <w:pPr>
              <w:rPr>
                <w:szCs w:val="22"/>
              </w:rPr>
            </w:pPr>
            <w:r w:rsidRPr="000127EF">
              <w:rPr>
                <w:rFonts w:cs="Arial"/>
                <w:szCs w:val="22"/>
                <w:lang w:val="en-US"/>
              </w:rPr>
              <w:t>Net (Gains)/Losses on Disposal of Non-Current Assets</w:t>
            </w:r>
          </w:p>
        </w:tc>
        <w:tc>
          <w:tcPr>
            <w:tcW w:w="1480" w:type="dxa"/>
            <w:tcBorders>
              <w:bottom w:val="single" w:sz="8" w:space="0" w:color="auto"/>
            </w:tcBorders>
            <w:shd w:val="clear" w:color="auto" w:fill="C5E0B3" w:themeFill="accent6" w:themeFillTint="66"/>
          </w:tcPr>
          <w:p w14:paraId="7064E5C1" w14:textId="7D06DA8F" w:rsidR="000A66F1" w:rsidRPr="00E51E22" w:rsidRDefault="00E51E22" w:rsidP="000A66F1">
            <w:pPr>
              <w:jc w:val="right"/>
            </w:pPr>
            <w:r w:rsidRPr="00E51E22">
              <w:t>243</w:t>
            </w:r>
          </w:p>
        </w:tc>
      </w:tr>
      <w:tr w:rsidR="000A66F1" w:rsidRPr="000127EF" w14:paraId="6121C612" w14:textId="77777777" w:rsidTr="00432E4B">
        <w:trPr>
          <w:trHeight w:val="270"/>
          <w:jc w:val="center"/>
        </w:trPr>
        <w:tc>
          <w:tcPr>
            <w:tcW w:w="1392" w:type="dxa"/>
            <w:tcBorders>
              <w:top w:val="single" w:sz="8" w:space="0" w:color="auto"/>
              <w:bottom w:val="single" w:sz="8" w:space="0" w:color="auto"/>
            </w:tcBorders>
          </w:tcPr>
          <w:p w14:paraId="455A6F93" w14:textId="355F30FD" w:rsidR="000A66F1" w:rsidRPr="000A66F1" w:rsidRDefault="00E02937" w:rsidP="000A66F1">
            <w:pPr>
              <w:tabs>
                <w:tab w:val="left" w:pos="1170"/>
                <w:tab w:val="right" w:pos="1318"/>
              </w:tabs>
              <w:jc w:val="right"/>
              <w:rPr>
                <w:b/>
                <w:i/>
              </w:rPr>
            </w:pPr>
            <w:r>
              <w:rPr>
                <w:b/>
                <w:i/>
              </w:rPr>
              <w:fldChar w:fldCharType="begin"/>
            </w:r>
            <w:r>
              <w:rPr>
                <w:b/>
                <w:i/>
              </w:rPr>
              <w:instrText xml:space="preserve"> =SUM(a3:a5) \# "#,##0" </w:instrText>
            </w:r>
            <w:r>
              <w:rPr>
                <w:b/>
                <w:i/>
              </w:rPr>
              <w:fldChar w:fldCharType="separate"/>
            </w:r>
            <w:r>
              <w:rPr>
                <w:b/>
                <w:i/>
                <w:noProof/>
              </w:rPr>
              <w:t>5,842</w:t>
            </w:r>
            <w:r>
              <w:rPr>
                <w:b/>
                <w:i/>
              </w:rPr>
              <w:fldChar w:fldCharType="end"/>
            </w:r>
          </w:p>
        </w:tc>
        <w:tc>
          <w:tcPr>
            <w:tcW w:w="5752" w:type="dxa"/>
          </w:tcPr>
          <w:p w14:paraId="39773C1C" w14:textId="77777777" w:rsidR="000A66F1" w:rsidRPr="000127EF" w:rsidRDefault="000A66F1" w:rsidP="000A66F1">
            <w:pPr>
              <w:rPr>
                <w:b/>
              </w:rPr>
            </w:pPr>
            <w:r w:rsidRPr="000127EF">
              <w:rPr>
                <w:b/>
              </w:rPr>
              <w:t>Total</w:t>
            </w:r>
          </w:p>
        </w:tc>
        <w:tc>
          <w:tcPr>
            <w:tcW w:w="1480" w:type="dxa"/>
            <w:tcBorders>
              <w:top w:val="single" w:sz="8" w:space="0" w:color="auto"/>
              <w:bottom w:val="single" w:sz="8" w:space="0" w:color="auto"/>
            </w:tcBorders>
            <w:shd w:val="clear" w:color="auto" w:fill="C5E0B3" w:themeFill="accent6" w:themeFillTint="66"/>
          </w:tcPr>
          <w:p w14:paraId="2E49D29E" w14:textId="6B964317" w:rsidR="000A66F1" w:rsidRPr="00E51E22" w:rsidRDefault="00E51E22" w:rsidP="000A66F1">
            <w:pPr>
              <w:tabs>
                <w:tab w:val="left" w:pos="1170"/>
                <w:tab w:val="right" w:pos="1318"/>
              </w:tabs>
              <w:jc w:val="right"/>
              <w:rPr>
                <w:b/>
              </w:rPr>
            </w:pPr>
            <w:r w:rsidRPr="00E51E22">
              <w:rPr>
                <w:b/>
              </w:rPr>
              <w:t>1,082</w:t>
            </w:r>
          </w:p>
        </w:tc>
      </w:tr>
      <w:tr w:rsidR="000A66F1" w:rsidRPr="000127EF" w14:paraId="2AA25285" w14:textId="77777777" w:rsidTr="00432E4B">
        <w:trPr>
          <w:trHeight w:hRule="exact" w:val="153"/>
          <w:jc w:val="center"/>
        </w:trPr>
        <w:tc>
          <w:tcPr>
            <w:tcW w:w="1392" w:type="dxa"/>
            <w:tcBorders>
              <w:top w:val="single" w:sz="8" w:space="0" w:color="auto"/>
              <w:bottom w:val="nil"/>
            </w:tcBorders>
          </w:tcPr>
          <w:p w14:paraId="67B89619" w14:textId="77777777" w:rsidR="000A66F1" w:rsidRPr="000127EF" w:rsidRDefault="000A66F1" w:rsidP="000A66F1">
            <w:pPr>
              <w:jc w:val="right"/>
              <w:rPr>
                <w:i/>
                <w:sz w:val="12"/>
                <w:szCs w:val="12"/>
              </w:rPr>
            </w:pPr>
          </w:p>
        </w:tc>
        <w:tc>
          <w:tcPr>
            <w:tcW w:w="5752" w:type="dxa"/>
            <w:tcBorders>
              <w:bottom w:val="nil"/>
            </w:tcBorders>
          </w:tcPr>
          <w:p w14:paraId="2F633D10" w14:textId="77777777" w:rsidR="000A66F1" w:rsidRPr="000127EF" w:rsidRDefault="000A66F1" w:rsidP="000A66F1">
            <w:pPr>
              <w:jc w:val="both"/>
              <w:rPr>
                <w:sz w:val="12"/>
                <w:szCs w:val="12"/>
              </w:rPr>
            </w:pPr>
          </w:p>
        </w:tc>
        <w:tc>
          <w:tcPr>
            <w:tcW w:w="1480" w:type="dxa"/>
            <w:tcBorders>
              <w:top w:val="single" w:sz="8" w:space="0" w:color="auto"/>
              <w:bottom w:val="nil"/>
            </w:tcBorders>
          </w:tcPr>
          <w:p w14:paraId="0D2A4B95" w14:textId="77777777" w:rsidR="000A66F1" w:rsidRPr="00E51E22" w:rsidRDefault="000A66F1" w:rsidP="000A66F1">
            <w:pPr>
              <w:jc w:val="right"/>
              <w:rPr>
                <w:sz w:val="12"/>
                <w:szCs w:val="12"/>
              </w:rPr>
            </w:pPr>
          </w:p>
        </w:tc>
      </w:tr>
      <w:tr w:rsidR="000A66F1" w:rsidRPr="000127EF" w14:paraId="7FFE13E8" w14:textId="77777777" w:rsidTr="00432E4B">
        <w:trPr>
          <w:trHeight w:hRule="exact" w:val="153"/>
          <w:jc w:val="center"/>
        </w:trPr>
        <w:tc>
          <w:tcPr>
            <w:tcW w:w="1392" w:type="dxa"/>
            <w:tcBorders>
              <w:top w:val="nil"/>
            </w:tcBorders>
          </w:tcPr>
          <w:p w14:paraId="3044856B" w14:textId="77777777" w:rsidR="000A66F1" w:rsidRPr="000127EF" w:rsidRDefault="000A66F1" w:rsidP="000A66F1">
            <w:pPr>
              <w:jc w:val="right"/>
              <w:rPr>
                <w:i/>
                <w:sz w:val="12"/>
                <w:szCs w:val="12"/>
              </w:rPr>
            </w:pPr>
          </w:p>
        </w:tc>
        <w:tc>
          <w:tcPr>
            <w:tcW w:w="5752" w:type="dxa"/>
            <w:tcBorders>
              <w:top w:val="nil"/>
            </w:tcBorders>
          </w:tcPr>
          <w:p w14:paraId="4FBF3030" w14:textId="77777777" w:rsidR="000A66F1" w:rsidRPr="000127EF" w:rsidRDefault="000A66F1" w:rsidP="000A66F1">
            <w:pPr>
              <w:jc w:val="both"/>
              <w:rPr>
                <w:sz w:val="12"/>
                <w:szCs w:val="12"/>
              </w:rPr>
            </w:pPr>
          </w:p>
        </w:tc>
        <w:tc>
          <w:tcPr>
            <w:tcW w:w="1480" w:type="dxa"/>
            <w:tcBorders>
              <w:top w:val="nil"/>
            </w:tcBorders>
          </w:tcPr>
          <w:p w14:paraId="74A884DD" w14:textId="77777777" w:rsidR="000A66F1" w:rsidRPr="00E51E22" w:rsidRDefault="000A66F1" w:rsidP="000A66F1">
            <w:pPr>
              <w:jc w:val="right"/>
              <w:rPr>
                <w:sz w:val="12"/>
                <w:szCs w:val="12"/>
              </w:rPr>
            </w:pPr>
          </w:p>
        </w:tc>
      </w:tr>
    </w:tbl>
    <w:p w14:paraId="514EB4C6" w14:textId="77777777" w:rsidR="00142065" w:rsidRPr="000127EF" w:rsidRDefault="00142065" w:rsidP="00142065">
      <w:pPr>
        <w:pStyle w:val="Heading1"/>
        <w:numPr>
          <w:ilvl w:val="0"/>
          <w:numId w:val="8"/>
        </w:numPr>
        <w:ind w:left="426"/>
        <w:rPr>
          <w:sz w:val="22"/>
          <w:szCs w:val="22"/>
        </w:rPr>
      </w:pPr>
      <w:r w:rsidRPr="000127EF">
        <w:rPr>
          <w:sz w:val="22"/>
          <w:szCs w:val="22"/>
        </w:rPr>
        <w:t>Comprehensive Income and Expenditure Statement – Financing &amp; Investment Income &amp; Expenditure</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84298E" w:rsidRPr="000127EF" w14:paraId="2F41D4E4" w14:textId="77777777" w:rsidTr="00142065">
        <w:trPr>
          <w:trHeight w:val="283"/>
          <w:jc w:val="center"/>
        </w:trPr>
        <w:tc>
          <w:tcPr>
            <w:tcW w:w="1454" w:type="dxa"/>
          </w:tcPr>
          <w:p w14:paraId="5379F5C2" w14:textId="1509E33B" w:rsidR="0084298E" w:rsidRPr="000127EF" w:rsidRDefault="000A66F1" w:rsidP="001F2D6B">
            <w:pPr>
              <w:jc w:val="center"/>
              <w:rPr>
                <w:b/>
                <w:i/>
              </w:rPr>
            </w:pPr>
            <w:r>
              <w:rPr>
                <w:b/>
                <w:i/>
              </w:rPr>
              <w:t>2018/19</w:t>
            </w:r>
          </w:p>
        </w:tc>
        <w:tc>
          <w:tcPr>
            <w:tcW w:w="5634" w:type="dxa"/>
            <w:vAlign w:val="center"/>
          </w:tcPr>
          <w:p w14:paraId="08D5E78D" w14:textId="77777777" w:rsidR="0084298E" w:rsidRPr="000127EF" w:rsidRDefault="0084298E" w:rsidP="00142065">
            <w:pPr>
              <w:jc w:val="center"/>
              <w:rPr>
                <w:b/>
              </w:rPr>
            </w:pPr>
            <w:r w:rsidRPr="000127EF">
              <w:rPr>
                <w:b/>
              </w:rPr>
              <w:t>Financing &amp; Investment Income &amp; Expenditure</w:t>
            </w:r>
          </w:p>
        </w:tc>
        <w:tc>
          <w:tcPr>
            <w:tcW w:w="1534" w:type="dxa"/>
          </w:tcPr>
          <w:p w14:paraId="1120B80F" w14:textId="7A931D92" w:rsidR="0084298E" w:rsidRPr="00AA6D9F" w:rsidRDefault="000A66F1" w:rsidP="00142065">
            <w:pPr>
              <w:jc w:val="center"/>
              <w:rPr>
                <w:b/>
              </w:rPr>
            </w:pPr>
            <w:r w:rsidRPr="00AA6D9F">
              <w:rPr>
                <w:b/>
              </w:rPr>
              <w:t>2019/20</w:t>
            </w:r>
          </w:p>
        </w:tc>
      </w:tr>
      <w:tr w:rsidR="0084298E" w:rsidRPr="000127EF" w14:paraId="2B603944" w14:textId="77777777" w:rsidTr="00142065">
        <w:trPr>
          <w:jc w:val="center"/>
        </w:trPr>
        <w:tc>
          <w:tcPr>
            <w:tcW w:w="1454" w:type="dxa"/>
          </w:tcPr>
          <w:p w14:paraId="0B910693" w14:textId="77777777" w:rsidR="0084298E" w:rsidRPr="000127EF" w:rsidRDefault="0084298E" w:rsidP="001F2D6B">
            <w:pPr>
              <w:jc w:val="center"/>
              <w:rPr>
                <w:b/>
                <w:i/>
              </w:rPr>
            </w:pPr>
            <w:r w:rsidRPr="000127EF">
              <w:rPr>
                <w:b/>
                <w:i/>
              </w:rPr>
              <w:t>£000</w:t>
            </w:r>
          </w:p>
        </w:tc>
        <w:tc>
          <w:tcPr>
            <w:tcW w:w="5634" w:type="dxa"/>
          </w:tcPr>
          <w:p w14:paraId="55B5DD6A" w14:textId="77777777" w:rsidR="0084298E" w:rsidRPr="000127EF" w:rsidRDefault="0084298E" w:rsidP="00142065">
            <w:pPr>
              <w:jc w:val="center"/>
              <w:rPr>
                <w:b/>
              </w:rPr>
            </w:pPr>
          </w:p>
        </w:tc>
        <w:tc>
          <w:tcPr>
            <w:tcW w:w="1534" w:type="dxa"/>
            <w:shd w:val="clear" w:color="auto" w:fill="C5E0B3" w:themeFill="accent6" w:themeFillTint="66"/>
          </w:tcPr>
          <w:p w14:paraId="3CFC0533" w14:textId="77777777" w:rsidR="0084298E" w:rsidRPr="00AA6D9F" w:rsidRDefault="0084298E" w:rsidP="00142065">
            <w:pPr>
              <w:jc w:val="center"/>
              <w:rPr>
                <w:b/>
              </w:rPr>
            </w:pPr>
            <w:r w:rsidRPr="00AA6D9F">
              <w:rPr>
                <w:b/>
              </w:rPr>
              <w:t>£000</w:t>
            </w:r>
          </w:p>
        </w:tc>
      </w:tr>
      <w:tr w:rsidR="000A66F1" w:rsidRPr="000127EF" w14:paraId="114BBEAA" w14:textId="77777777" w:rsidTr="00E165AE">
        <w:trPr>
          <w:jc w:val="center"/>
        </w:trPr>
        <w:tc>
          <w:tcPr>
            <w:tcW w:w="1454" w:type="dxa"/>
          </w:tcPr>
          <w:p w14:paraId="2581A0F9" w14:textId="256FF7B4" w:rsidR="000A66F1" w:rsidRPr="000A66F1" w:rsidRDefault="000A66F1" w:rsidP="000A66F1">
            <w:pPr>
              <w:jc w:val="right"/>
              <w:rPr>
                <w:i/>
              </w:rPr>
            </w:pPr>
            <w:r w:rsidRPr="000A66F1">
              <w:rPr>
                <w:i/>
              </w:rPr>
              <w:t>1,049</w:t>
            </w:r>
          </w:p>
        </w:tc>
        <w:tc>
          <w:tcPr>
            <w:tcW w:w="5634" w:type="dxa"/>
            <w:vAlign w:val="center"/>
          </w:tcPr>
          <w:p w14:paraId="79093DEE" w14:textId="77777777" w:rsidR="000A66F1" w:rsidRPr="000127EF" w:rsidRDefault="000A66F1" w:rsidP="000A66F1">
            <w:pPr>
              <w:rPr>
                <w:rFonts w:cs="Arial"/>
                <w:szCs w:val="22"/>
                <w:lang w:val="en-US"/>
              </w:rPr>
            </w:pPr>
            <w:r w:rsidRPr="000127EF">
              <w:rPr>
                <w:rFonts w:cs="Arial"/>
                <w:szCs w:val="22"/>
                <w:lang w:val="en-US"/>
              </w:rPr>
              <w:t>Interest payable &amp; similar charges</w:t>
            </w:r>
          </w:p>
        </w:tc>
        <w:tc>
          <w:tcPr>
            <w:tcW w:w="1534" w:type="dxa"/>
            <w:shd w:val="clear" w:color="auto" w:fill="C5E0B3" w:themeFill="accent6" w:themeFillTint="66"/>
          </w:tcPr>
          <w:p w14:paraId="7299CC9E" w14:textId="5C6C52A7" w:rsidR="000A66F1" w:rsidRPr="00AA6D9F" w:rsidRDefault="00AA6D9F" w:rsidP="000A66F1">
            <w:pPr>
              <w:jc w:val="right"/>
            </w:pPr>
            <w:r w:rsidRPr="00AA6D9F">
              <w:t>1,049</w:t>
            </w:r>
          </w:p>
        </w:tc>
      </w:tr>
      <w:tr w:rsidR="000A66F1" w:rsidRPr="000127EF" w14:paraId="692257C0" w14:textId="77777777" w:rsidTr="00E165AE">
        <w:trPr>
          <w:jc w:val="center"/>
        </w:trPr>
        <w:tc>
          <w:tcPr>
            <w:tcW w:w="1454" w:type="dxa"/>
            <w:tcBorders>
              <w:bottom w:val="nil"/>
            </w:tcBorders>
          </w:tcPr>
          <w:p w14:paraId="21DE3D93" w14:textId="6E27433D" w:rsidR="000A66F1" w:rsidRPr="000A66F1" w:rsidRDefault="000A66F1" w:rsidP="000A66F1">
            <w:pPr>
              <w:jc w:val="right"/>
              <w:rPr>
                <w:i/>
              </w:rPr>
            </w:pPr>
            <w:r w:rsidRPr="000A66F1">
              <w:rPr>
                <w:i/>
              </w:rPr>
              <w:t>1,0</w:t>
            </w:r>
            <w:r w:rsidR="00AA6D9F">
              <w:rPr>
                <w:i/>
              </w:rPr>
              <w:t>2</w:t>
            </w:r>
            <w:r w:rsidRPr="000A66F1">
              <w:rPr>
                <w:i/>
              </w:rPr>
              <w:t>9</w:t>
            </w:r>
          </w:p>
        </w:tc>
        <w:tc>
          <w:tcPr>
            <w:tcW w:w="5634" w:type="dxa"/>
            <w:tcBorders>
              <w:bottom w:val="nil"/>
            </w:tcBorders>
          </w:tcPr>
          <w:p w14:paraId="65ED049F" w14:textId="77777777" w:rsidR="000A66F1" w:rsidRPr="000127EF" w:rsidRDefault="000A66F1" w:rsidP="000A66F1">
            <w:pPr>
              <w:rPr>
                <w:rFonts w:cs="Arial"/>
                <w:szCs w:val="22"/>
                <w:lang w:val="en-US"/>
              </w:rPr>
            </w:pPr>
            <w:r w:rsidRPr="000127EF">
              <w:rPr>
                <w:rFonts w:cs="Arial"/>
                <w:szCs w:val="22"/>
                <w:lang w:val="en-US"/>
              </w:rPr>
              <w:t>Net interest on the net defined benefit liability (asset)</w:t>
            </w:r>
          </w:p>
        </w:tc>
        <w:tc>
          <w:tcPr>
            <w:tcW w:w="1534" w:type="dxa"/>
            <w:tcBorders>
              <w:bottom w:val="nil"/>
            </w:tcBorders>
            <w:shd w:val="clear" w:color="auto" w:fill="C5E0B3" w:themeFill="accent6" w:themeFillTint="66"/>
          </w:tcPr>
          <w:p w14:paraId="50D727E5" w14:textId="36515371" w:rsidR="000A66F1" w:rsidRPr="00AA6D9F" w:rsidRDefault="00AA6D9F" w:rsidP="000A66F1">
            <w:pPr>
              <w:jc w:val="right"/>
            </w:pPr>
            <w:r w:rsidRPr="00AA6D9F">
              <w:t>1,156</w:t>
            </w:r>
          </w:p>
        </w:tc>
      </w:tr>
      <w:tr w:rsidR="000A66F1" w:rsidRPr="000127EF" w14:paraId="636D1CCA" w14:textId="77777777" w:rsidTr="00E165AE">
        <w:trPr>
          <w:jc w:val="center"/>
        </w:trPr>
        <w:tc>
          <w:tcPr>
            <w:tcW w:w="1454" w:type="dxa"/>
            <w:tcBorders>
              <w:bottom w:val="nil"/>
            </w:tcBorders>
          </w:tcPr>
          <w:p w14:paraId="658D5F9A" w14:textId="68F89BB3" w:rsidR="000A66F1" w:rsidRPr="000A66F1" w:rsidRDefault="00AA6D9F" w:rsidP="000A66F1">
            <w:pPr>
              <w:jc w:val="right"/>
              <w:rPr>
                <w:i/>
              </w:rPr>
            </w:pPr>
            <w:r>
              <w:rPr>
                <w:i/>
              </w:rPr>
              <w:t>712</w:t>
            </w:r>
          </w:p>
        </w:tc>
        <w:tc>
          <w:tcPr>
            <w:tcW w:w="5634" w:type="dxa"/>
            <w:tcBorders>
              <w:bottom w:val="nil"/>
            </w:tcBorders>
          </w:tcPr>
          <w:p w14:paraId="7B9984A3" w14:textId="77777777" w:rsidR="000A66F1" w:rsidRPr="000127EF" w:rsidRDefault="000A66F1" w:rsidP="000A66F1">
            <w:pPr>
              <w:rPr>
                <w:rFonts w:cs="Arial"/>
                <w:szCs w:val="22"/>
                <w:lang w:val="en-US"/>
              </w:rPr>
            </w:pPr>
            <w:r w:rsidRPr="000127EF">
              <w:rPr>
                <w:rFonts w:cs="Arial"/>
                <w:szCs w:val="22"/>
                <w:lang w:val="en-US"/>
              </w:rPr>
              <w:t>Past Service Cost (Including Curtailments)</w:t>
            </w:r>
          </w:p>
        </w:tc>
        <w:tc>
          <w:tcPr>
            <w:tcW w:w="1534" w:type="dxa"/>
            <w:tcBorders>
              <w:bottom w:val="nil"/>
            </w:tcBorders>
            <w:shd w:val="clear" w:color="auto" w:fill="C5E0B3" w:themeFill="accent6" w:themeFillTint="66"/>
          </w:tcPr>
          <w:p w14:paraId="4B825E6B" w14:textId="7EA965CC" w:rsidR="000A66F1" w:rsidRPr="00AA6D9F" w:rsidRDefault="00AA6D9F" w:rsidP="000A66F1">
            <w:pPr>
              <w:jc w:val="right"/>
            </w:pPr>
            <w:r w:rsidRPr="00AA6D9F">
              <w:t>17</w:t>
            </w:r>
          </w:p>
        </w:tc>
      </w:tr>
      <w:tr w:rsidR="000A66F1" w:rsidRPr="000127EF" w14:paraId="1CFDFC0C" w14:textId="77777777" w:rsidTr="00E165AE">
        <w:trPr>
          <w:jc w:val="center"/>
        </w:trPr>
        <w:tc>
          <w:tcPr>
            <w:tcW w:w="1454" w:type="dxa"/>
            <w:tcBorders>
              <w:bottom w:val="single" w:sz="8" w:space="0" w:color="auto"/>
            </w:tcBorders>
          </w:tcPr>
          <w:p w14:paraId="6BF65D21" w14:textId="27823B9E" w:rsidR="000A66F1" w:rsidRPr="000A66F1" w:rsidRDefault="000A66F1" w:rsidP="000A66F1">
            <w:pPr>
              <w:jc w:val="right"/>
              <w:rPr>
                <w:i/>
              </w:rPr>
            </w:pPr>
            <w:r w:rsidRPr="000A66F1">
              <w:rPr>
                <w:i/>
              </w:rPr>
              <w:t>(312)</w:t>
            </w:r>
          </w:p>
        </w:tc>
        <w:tc>
          <w:tcPr>
            <w:tcW w:w="5634" w:type="dxa"/>
            <w:tcBorders>
              <w:bottom w:val="nil"/>
            </w:tcBorders>
          </w:tcPr>
          <w:p w14:paraId="655F9C78" w14:textId="77777777" w:rsidR="000A66F1" w:rsidRPr="000127EF" w:rsidRDefault="000A66F1" w:rsidP="000A66F1">
            <w:pPr>
              <w:rPr>
                <w:szCs w:val="22"/>
              </w:rPr>
            </w:pPr>
            <w:r w:rsidRPr="000127EF">
              <w:rPr>
                <w:rFonts w:cs="Arial"/>
                <w:szCs w:val="22"/>
                <w:lang w:val="en-US"/>
              </w:rPr>
              <w:t>Interest receivable and similar income</w:t>
            </w:r>
          </w:p>
        </w:tc>
        <w:tc>
          <w:tcPr>
            <w:tcW w:w="1534" w:type="dxa"/>
            <w:tcBorders>
              <w:bottom w:val="single" w:sz="8" w:space="0" w:color="auto"/>
            </w:tcBorders>
            <w:shd w:val="clear" w:color="auto" w:fill="C5E0B3" w:themeFill="accent6" w:themeFillTint="66"/>
          </w:tcPr>
          <w:p w14:paraId="20028D93" w14:textId="2FC60119" w:rsidR="000A66F1" w:rsidRPr="00AA6D9F" w:rsidRDefault="00AA6D9F" w:rsidP="000A66F1">
            <w:pPr>
              <w:jc w:val="right"/>
            </w:pPr>
            <w:r w:rsidRPr="00AA6D9F">
              <w:t>(397)</w:t>
            </w:r>
          </w:p>
        </w:tc>
      </w:tr>
      <w:tr w:rsidR="000A66F1" w:rsidRPr="000127EF" w14:paraId="4FE3A39C" w14:textId="77777777" w:rsidTr="00E165AE">
        <w:trPr>
          <w:jc w:val="center"/>
        </w:trPr>
        <w:tc>
          <w:tcPr>
            <w:tcW w:w="1454" w:type="dxa"/>
            <w:tcBorders>
              <w:top w:val="single" w:sz="8" w:space="0" w:color="auto"/>
              <w:bottom w:val="single" w:sz="8" w:space="0" w:color="auto"/>
            </w:tcBorders>
          </w:tcPr>
          <w:p w14:paraId="56BB2250" w14:textId="2DBEFCEA" w:rsidR="000A66F1" w:rsidRPr="000A66F1" w:rsidRDefault="00E02937" w:rsidP="000A66F1">
            <w:pPr>
              <w:jc w:val="right"/>
              <w:rPr>
                <w:b/>
                <w:i/>
              </w:rPr>
            </w:pPr>
            <w:r>
              <w:rPr>
                <w:b/>
                <w:i/>
              </w:rPr>
              <w:fldChar w:fldCharType="begin"/>
            </w:r>
            <w:r>
              <w:rPr>
                <w:b/>
                <w:i/>
              </w:rPr>
              <w:instrText xml:space="preserve"> =SUM(a3:a6) </w:instrText>
            </w:r>
            <w:r>
              <w:rPr>
                <w:b/>
                <w:i/>
              </w:rPr>
              <w:fldChar w:fldCharType="separate"/>
            </w:r>
            <w:r>
              <w:rPr>
                <w:b/>
                <w:i/>
                <w:noProof/>
              </w:rPr>
              <w:t>2,478</w:t>
            </w:r>
            <w:r>
              <w:rPr>
                <w:b/>
                <w:i/>
              </w:rPr>
              <w:fldChar w:fldCharType="end"/>
            </w:r>
          </w:p>
        </w:tc>
        <w:tc>
          <w:tcPr>
            <w:tcW w:w="5634" w:type="dxa"/>
            <w:tcBorders>
              <w:bottom w:val="nil"/>
            </w:tcBorders>
          </w:tcPr>
          <w:p w14:paraId="64203B9D" w14:textId="77777777" w:rsidR="000A66F1" w:rsidRPr="000127EF" w:rsidRDefault="000A66F1" w:rsidP="000A66F1">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439BED19" w14:textId="7600BE19" w:rsidR="000A66F1" w:rsidRPr="00AA6D9F" w:rsidRDefault="00AA6D9F" w:rsidP="000A66F1">
            <w:pPr>
              <w:jc w:val="right"/>
              <w:rPr>
                <w:b/>
              </w:rPr>
            </w:pPr>
            <w:r w:rsidRPr="00AA6D9F">
              <w:rPr>
                <w:b/>
              </w:rPr>
              <w:t>1,825</w:t>
            </w:r>
          </w:p>
        </w:tc>
      </w:tr>
      <w:tr w:rsidR="00174AAF" w:rsidRPr="000127EF" w14:paraId="575394A2" w14:textId="77777777" w:rsidTr="00142065">
        <w:trPr>
          <w:trHeight w:hRule="exact" w:val="142"/>
          <w:jc w:val="center"/>
        </w:trPr>
        <w:tc>
          <w:tcPr>
            <w:tcW w:w="1454" w:type="dxa"/>
            <w:tcBorders>
              <w:top w:val="nil"/>
            </w:tcBorders>
          </w:tcPr>
          <w:p w14:paraId="6B08751B" w14:textId="77777777" w:rsidR="00174AAF" w:rsidRPr="000127EF" w:rsidRDefault="00174AAF" w:rsidP="00174AAF">
            <w:pPr>
              <w:jc w:val="right"/>
              <w:rPr>
                <w:i/>
                <w:sz w:val="12"/>
                <w:szCs w:val="12"/>
              </w:rPr>
            </w:pPr>
          </w:p>
        </w:tc>
        <w:tc>
          <w:tcPr>
            <w:tcW w:w="5634" w:type="dxa"/>
            <w:tcBorders>
              <w:top w:val="nil"/>
            </w:tcBorders>
          </w:tcPr>
          <w:p w14:paraId="3E817A0E" w14:textId="77777777" w:rsidR="00174AAF" w:rsidRPr="000127EF" w:rsidRDefault="00174AAF" w:rsidP="00174AAF">
            <w:pPr>
              <w:jc w:val="both"/>
              <w:rPr>
                <w:sz w:val="12"/>
                <w:szCs w:val="12"/>
              </w:rPr>
            </w:pPr>
          </w:p>
        </w:tc>
        <w:tc>
          <w:tcPr>
            <w:tcW w:w="1534" w:type="dxa"/>
            <w:tcBorders>
              <w:top w:val="nil"/>
            </w:tcBorders>
          </w:tcPr>
          <w:p w14:paraId="08343EA2" w14:textId="77777777" w:rsidR="00174AAF" w:rsidRPr="000127EF" w:rsidRDefault="00174AAF" w:rsidP="00174AAF">
            <w:pPr>
              <w:jc w:val="right"/>
              <w:rPr>
                <w:sz w:val="12"/>
                <w:szCs w:val="12"/>
              </w:rPr>
            </w:pPr>
          </w:p>
        </w:tc>
      </w:tr>
    </w:tbl>
    <w:p w14:paraId="3C79E524" w14:textId="77777777" w:rsidR="00142065" w:rsidRPr="000127EF" w:rsidRDefault="00142065" w:rsidP="009171A6">
      <w:pPr>
        <w:pStyle w:val="Heading1"/>
        <w:numPr>
          <w:ilvl w:val="0"/>
          <w:numId w:val="8"/>
        </w:numPr>
        <w:spacing w:after="120"/>
        <w:ind w:left="425" w:hanging="357"/>
        <w:rPr>
          <w:sz w:val="22"/>
          <w:szCs w:val="22"/>
        </w:rPr>
      </w:pPr>
      <w:r w:rsidRPr="000127EF">
        <w:rPr>
          <w:sz w:val="22"/>
          <w:szCs w:val="22"/>
        </w:rPr>
        <w:t>Comprehensive Income and Expenditure Statement – Taxation &amp; Non-Specific Grant Incomes</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84298E" w:rsidRPr="000127EF" w14:paraId="39404691" w14:textId="77777777" w:rsidTr="00142065">
        <w:trPr>
          <w:trHeight w:val="283"/>
          <w:jc w:val="center"/>
        </w:trPr>
        <w:tc>
          <w:tcPr>
            <w:tcW w:w="1454" w:type="dxa"/>
          </w:tcPr>
          <w:p w14:paraId="2B586B33" w14:textId="04032F84" w:rsidR="0084298E" w:rsidRPr="000127EF" w:rsidRDefault="000A66F1" w:rsidP="001F2D6B">
            <w:pPr>
              <w:jc w:val="center"/>
              <w:rPr>
                <w:b/>
                <w:i/>
              </w:rPr>
            </w:pPr>
            <w:r>
              <w:rPr>
                <w:b/>
                <w:i/>
              </w:rPr>
              <w:t>2018/19</w:t>
            </w:r>
          </w:p>
        </w:tc>
        <w:tc>
          <w:tcPr>
            <w:tcW w:w="5634" w:type="dxa"/>
            <w:vAlign w:val="center"/>
          </w:tcPr>
          <w:p w14:paraId="7A154430" w14:textId="77777777" w:rsidR="0084298E" w:rsidRPr="000127EF" w:rsidRDefault="0084298E" w:rsidP="00142065">
            <w:pPr>
              <w:jc w:val="center"/>
              <w:rPr>
                <w:b/>
              </w:rPr>
            </w:pPr>
            <w:r w:rsidRPr="000127EF">
              <w:rPr>
                <w:b/>
              </w:rPr>
              <w:t>Taxation &amp; Non-Specific Grant Income</w:t>
            </w:r>
          </w:p>
        </w:tc>
        <w:tc>
          <w:tcPr>
            <w:tcW w:w="1534" w:type="dxa"/>
          </w:tcPr>
          <w:p w14:paraId="1CE5DC47" w14:textId="571A3DC1" w:rsidR="0084298E" w:rsidRPr="0086008A" w:rsidRDefault="000A66F1" w:rsidP="00142065">
            <w:pPr>
              <w:jc w:val="center"/>
              <w:rPr>
                <w:b/>
              </w:rPr>
            </w:pPr>
            <w:r w:rsidRPr="0086008A">
              <w:rPr>
                <w:b/>
              </w:rPr>
              <w:t>2019/20</w:t>
            </w:r>
          </w:p>
        </w:tc>
      </w:tr>
      <w:tr w:rsidR="0084298E" w:rsidRPr="000127EF" w14:paraId="5FA3E122" w14:textId="77777777" w:rsidTr="00142065">
        <w:trPr>
          <w:jc w:val="center"/>
        </w:trPr>
        <w:tc>
          <w:tcPr>
            <w:tcW w:w="1454" w:type="dxa"/>
          </w:tcPr>
          <w:p w14:paraId="71DFFA0C" w14:textId="77777777" w:rsidR="0084298E" w:rsidRPr="000127EF" w:rsidRDefault="0084298E" w:rsidP="001F2D6B">
            <w:pPr>
              <w:jc w:val="center"/>
              <w:rPr>
                <w:b/>
                <w:i/>
              </w:rPr>
            </w:pPr>
            <w:r w:rsidRPr="000127EF">
              <w:rPr>
                <w:b/>
                <w:i/>
              </w:rPr>
              <w:t>£000</w:t>
            </w:r>
          </w:p>
        </w:tc>
        <w:tc>
          <w:tcPr>
            <w:tcW w:w="5634" w:type="dxa"/>
          </w:tcPr>
          <w:p w14:paraId="3888823D" w14:textId="77777777" w:rsidR="0084298E" w:rsidRPr="000127EF" w:rsidRDefault="0084298E" w:rsidP="00142065">
            <w:pPr>
              <w:jc w:val="center"/>
              <w:rPr>
                <w:b/>
              </w:rPr>
            </w:pPr>
          </w:p>
        </w:tc>
        <w:tc>
          <w:tcPr>
            <w:tcW w:w="1534" w:type="dxa"/>
            <w:shd w:val="clear" w:color="auto" w:fill="C5E0B3" w:themeFill="accent6" w:themeFillTint="66"/>
          </w:tcPr>
          <w:p w14:paraId="67F93CF1" w14:textId="77777777" w:rsidR="0084298E" w:rsidRPr="0086008A" w:rsidRDefault="0084298E" w:rsidP="00142065">
            <w:pPr>
              <w:jc w:val="center"/>
              <w:rPr>
                <w:b/>
              </w:rPr>
            </w:pPr>
            <w:r w:rsidRPr="0086008A">
              <w:rPr>
                <w:b/>
              </w:rPr>
              <w:t>£000</w:t>
            </w:r>
          </w:p>
        </w:tc>
      </w:tr>
      <w:tr w:rsidR="000A66F1" w:rsidRPr="000127EF" w14:paraId="5E920CD4" w14:textId="77777777" w:rsidTr="008A0E82">
        <w:trPr>
          <w:jc w:val="center"/>
        </w:trPr>
        <w:tc>
          <w:tcPr>
            <w:tcW w:w="1454" w:type="dxa"/>
            <w:vAlign w:val="center"/>
          </w:tcPr>
          <w:p w14:paraId="2D00D1A9" w14:textId="5F5EA97A" w:rsidR="000A66F1" w:rsidRPr="000A66F1" w:rsidRDefault="000A66F1" w:rsidP="000A66F1">
            <w:pPr>
              <w:jc w:val="right"/>
              <w:rPr>
                <w:rFonts w:cs="Arial"/>
                <w:i/>
                <w:color w:val="000000"/>
                <w:szCs w:val="22"/>
              </w:rPr>
            </w:pPr>
            <w:r w:rsidRPr="000A66F1">
              <w:rPr>
                <w:rFonts w:cs="Arial"/>
                <w:i/>
                <w:color w:val="000000"/>
                <w:szCs w:val="22"/>
              </w:rPr>
              <w:t>25,705</w:t>
            </w:r>
          </w:p>
        </w:tc>
        <w:tc>
          <w:tcPr>
            <w:tcW w:w="5634" w:type="dxa"/>
            <w:vAlign w:val="center"/>
          </w:tcPr>
          <w:p w14:paraId="137800FC" w14:textId="77777777" w:rsidR="000A66F1" w:rsidRPr="000127EF" w:rsidRDefault="000A66F1" w:rsidP="000A66F1">
            <w:pPr>
              <w:rPr>
                <w:rFonts w:cs="Arial"/>
                <w:szCs w:val="22"/>
                <w:lang w:val="en-US"/>
              </w:rPr>
            </w:pPr>
            <w:r w:rsidRPr="000127EF">
              <w:rPr>
                <w:rFonts w:cs="Arial"/>
                <w:szCs w:val="22"/>
                <w:lang w:val="en-US"/>
              </w:rPr>
              <w:t>Council Tax income</w:t>
            </w:r>
          </w:p>
        </w:tc>
        <w:tc>
          <w:tcPr>
            <w:tcW w:w="1534" w:type="dxa"/>
            <w:shd w:val="clear" w:color="auto" w:fill="C5E0B3" w:themeFill="accent6" w:themeFillTint="66"/>
            <w:vAlign w:val="center"/>
          </w:tcPr>
          <w:p w14:paraId="7DCA8D0C" w14:textId="79AD1ADE" w:rsidR="000A66F1" w:rsidRPr="0086008A" w:rsidRDefault="00CF7542" w:rsidP="000A66F1">
            <w:pPr>
              <w:jc w:val="right"/>
              <w:rPr>
                <w:rFonts w:cs="Arial"/>
                <w:color w:val="000000"/>
                <w:szCs w:val="22"/>
              </w:rPr>
            </w:pPr>
            <w:r w:rsidRPr="0086008A">
              <w:rPr>
                <w:rFonts w:cs="Arial"/>
                <w:color w:val="000000"/>
                <w:szCs w:val="22"/>
              </w:rPr>
              <w:t>27,235</w:t>
            </w:r>
          </w:p>
        </w:tc>
      </w:tr>
      <w:tr w:rsidR="000A66F1" w:rsidRPr="000127EF" w14:paraId="12B9640E" w14:textId="77777777" w:rsidTr="008A0E82">
        <w:trPr>
          <w:jc w:val="center"/>
        </w:trPr>
        <w:tc>
          <w:tcPr>
            <w:tcW w:w="1454" w:type="dxa"/>
            <w:tcBorders>
              <w:bottom w:val="single" w:sz="4" w:space="0" w:color="auto"/>
            </w:tcBorders>
            <w:vAlign w:val="center"/>
          </w:tcPr>
          <w:p w14:paraId="24030A71" w14:textId="724921C0" w:rsidR="000A66F1" w:rsidRPr="000A66F1" w:rsidRDefault="000A66F1" w:rsidP="000A66F1">
            <w:pPr>
              <w:jc w:val="right"/>
              <w:rPr>
                <w:rFonts w:cs="Arial"/>
                <w:i/>
                <w:color w:val="000000"/>
                <w:szCs w:val="22"/>
              </w:rPr>
            </w:pPr>
            <w:r w:rsidRPr="000A66F1">
              <w:rPr>
                <w:rFonts w:cs="Arial"/>
                <w:i/>
                <w:color w:val="000000"/>
                <w:szCs w:val="22"/>
              </w:rPr>
              <w:t>4,408</w:t>
            </w:r>
          </w:p>
        </w:tc>
        <w:tc>
          <w:tcPr>
            <w:tcW w:w="5634" w:type="dxa"/>
            <w:tcBorders>
              <w:bottom w:val="nil"/>
            </w:tcBorders>
          </w:tcPr>
          <w:p w14:paraId="23B45A55" w14:textId="77777777" w:rsidR="000A66F1" w:rsidRPr="000127EF" w:rsidRDefault="000A66F1" w:rsidP="000A66F1">
            <w:pPr>
              <w:rPr>
                <w:rFonts w:cs="Arial"/>
                <w:szCs w:val="22"/>
                <w:lang w:val="en-US"/>
              </w:rPr>
            </w:pPr>
            <w:r w:rsidRPr="000127EF">
              <w:rPr>
                <w:rFonts w:cs="Arial"/>
                <w:szCs w:val="22"/>
                <w:lang w:val="en-US"/>
              </w:rPr>
              <w:t>Retained business rates income</w:t>
            </w:r>
          </w:p>
        </w:tc>
        <w:tc>
          <w:tcPr>
            <w:tcW w:w="1534" w:type="dxa"/>
            <w:tcBorders>
              <w:bottom w:val="single" w:sz="4" w:space="0" w:color="auto"/>
            </w:tcBorders>
            <w:shd w:val="clear" w:color="auto" w:fill="C5E0B3" w:themeFill="accent6" w:themeFillTint="66"/>
            <w:vAlign w:val="center"/>
          </w:tcPr>
          <w:p w14:paraId="58FA3B14" w14:textId="6737A217" w:rsidR="000A66F1" w:rsidRPr="0086008A" w:rsidRDefault="00CF7542" w:rsidP="000A66F1">
            <w:pPr>
              <w:jc w:val="right"/>
              <w:rPr>
                <w:rFonts w:cs="Arial"/>
                <w:color w:val="000000"/>
                <w:szCs w:val="22"/>
              </w:rPr>
            </w:pPr>
            <w:r w:rsidRPr="0086008A">
              <w:rPr>
                <w:rFonts w:cs="Arial"/>
                <w:color w:val="000000"/>
                <w:szCs w:val="22"/>
              </w:rPr>
              <w:t>4,32</w:t>
            </w:r>
            <w:r w:rsidR="005D3FC5">
              <w:rPr>
                <w:rFonts w:cs="Arial"/>
                <w:color w:val="000000"/>
                <w:szCs w:val="22"/>
              </w:rPr>
              <w:t>2</w:t>
            </w:r>
          </w:p>
        </w:tc>
      </w:tr>
      <w:tr w:rsidR="000A66F1" w:rsidRPr="000127EF" w14:paraId="36DA961E" w14:textId="77777777" w:rsidTr="000A66F1">
        <w:trPr>
          <w:jc w:val="center"/>
        </w:trPr>
        <w:tc>
          <w:tcPr>
            <w:tcW w:w="1454" w:type="dxa"/>
            <w:tcBorders>
              <w:top w:val="single" w:sz="4" w:space="0" w:color="auto"/>
              <w:bottom w:val="nil"/>
            </w:tcBorders>
            <w:vAlign w:val="center"/>
          </w:tcPr>
          <w:p w14:paraId="6D40353D" w14:textId="27308435" w:rsidR="000A66F1" w:rsidRPr="000A66F1" w:rsidRDefault="00E02937" w:rsidP="000A66F1">
            <w:pPr>
              <w:jc w:val="right"/>
              <w:rPr>
                <w:b/>
                <w:i/>
              </w:rPr>
            </w:pPr>
            <w:r>
              <w:rPr>
                <w:rFonts w:cs="Arial"/>
                <w:b/>
                <w:bCs/>
                <w:i/>
                <w:color w:val="000000"/>
                <w:szCs w:val="22"/>
              </w:rPr>
              <w:fldChar w:fldCharType="begin"/>
            </w:r>
            <w:r>
              <w:rPr>
                <w:rFonts w:cs="Arial"/>
                <w:b/>
                <w:bCs/>
                <w:i/>
                <w:color w:val="000000"/>
                <w:szCs w:val="22"/>
              </w:rPr>
              <w:instrText xml:space="preserve"> =SUM(a3:a4) </w:instrText>
            </w:r>
            <w:r>
              <w:rPr>
                <w:rFonts w:cs="Arial"/>
                <w:b/>
                <w:bCs/>
                <w:i/>
                <w:color w:val="000000"/>
                <w:szCs w:val="22"/>
              </w:rPr>
              <w:fldChar w:fldCharType="separate"/>
            </w:r>
            <w:r>
              <w:rPr>
                <w:rFonts w:cs="Arial"/>
                <w:b/>
                <w:bCs/>
                <w:i/>
                <w:noProof/>
                <w:color w:val="000000"/>
                <w:szCs w:val="22"/>
              </w:rPr>
              <w:t>30,113</w:t>
            </w:r>
            <w:r>
              <w:rPr>
                <w:rFonts w:cs="Arial"/>
                <w:b/>
                <w:bCs/>
                <w:i/>
                <w:color w:val="000000"/>
                <w:szCs w:val="22"/>
              </w:rPr>
              <w:fldChar w:fldCharType="end"/>
            </w:r>
          </w:p>
        </w:tc>
        <w:tc>
          <w:tcPr>
            <w:tcW w:w="5634" w:type="dxa"/>
            <w:tcBorders>
              <w:bottom w:val="nil"/>
            </w:tcBorders>
          </w:tcPr>
          <w:p w14:paraId="5347624A" w14:textId="77777777" w:rsidR="000A66F1" w:rsidRPr="000127EF" w:rsidRDefault="000A66F1" w:rsidP="000A66F1">
            <w:pPr>
              <w:rPr>
                <w:b/>
                <w:szCs w:val="22"/>
              </w:rPr>
            </w:pPr>
            <w:r w:rsidRPr="000127EF">
              <w:rPr>
                <w:rFonts w:cs="Arial"/>
                <w:b/>
                <w:szCs w:val="22"/>
                <w:lang w:val="en-US"/>
              </w:rPr>
              <w:t>Total Taxation Income</w:t>
            </w:r>
          </w:p>
        </w:tc>
        <w:tc>
          <w:tcPr>
            <w:tcW w:w="1534" w:type="dxa"/>
            <w:tcBorders>
              <w:top w:val="single" w:sz="4" w:space="0" w:color="auto"/>
              <w:bottom w:val="nil"/>
            </w:tcBorders>
            <w:shd w:val="clear" w:color="auto" w:fill="C5E0B3" w:themeFill="accent6" w:themeFillTint="66"/>
            <w:vAlign w:val="center"/>
          </w:tcPr>
          <w:p w14:paraId="749297E8" w14:textId="7582E713" w:rsidR="000A66F1" w:rsidRPr="0086008A" w:rsidRDefault="00CF7542" w:rsidP="000A66F1">
            <w:pPr>
              <w:jc w:val="right"/>
              <w:rPr>
                <w:rFonts w:cs="Arial"/>
                <w:b/>
                <w:bCs/>
                <w:color w:val="000000"/>
                <w:szCs w:val="22"/>
              </w:rPr>
            </w:pPr>
            <w:r w:rsidRPr="0086008A">
              <w:rPr>
                <w:rFonts w:cs="Arial"/>
                <w:b/>
                <w:bCs/>
                <w:color w:val="000000"/>
                <w:szCs w:val="22"/>
              </w:rPr>
              <w:t>31,55</w:t>
            </w:r>
            <w:r w:rsidR="00BE12F9">
              <w:rPr>
                <w:rFonts w:cs="Arial"/>
                <w:b/>
                <w:bCs/>
                <w:color w:val="000000"/>
                <w:szCs w:val="22"/>
              </w:rPr>
              <w:t>7</w:t>
            </w:r>
          </w:p>
        </w:tc>
      </w:tr>
      <w:tr w:rsidR="000A66F1" w:rsidRPr="000127EF" w14:paraId="76909DF4" w14:textId="77777777" w:rsidTr="000A66F1">
        <w:trPr>
          <w:jc w:val="center"/>
        </w:trPr>
        <w:tc>
          <w:tcPr>
            <w:tcW w:w="1454" w:type="dxa"/>
            <w:tcBorders>
              <w:bottom w:val="nil"/>
            </w:tcBorders>
            <w:vAlign w:val="center"/>
          </w:tcPr>
          <w:p w14:paraId="7ABDDA08" w14:textId="086DFAE5" w:rsidR="000A66F1" w:rsidRPr="000A66F1" w:rsidRDefault="000A66F1" w:rsidP="000A66F1">
            <w:pPr>
              <w:jc w:val="right"/>
              <w:rPr>
                <w:i/>
              </w:rPr>
            </w:pPr>
            <w:r w:rsidRPr="000A66F1">
              <w:rPr>
                <w:rFonts w:cs="Arial"/>
                <w:i/>
                <w:color w:val="000000"/>
                <w:szCs w:val="22"/>
              </w:rPr>
              <w:t> </w:t>
            </w:r>
          </w:p>
        </w:tc>
        <w:tc>
          <w:tcPr>
            <w:tcW w:w="5634" w:type="dxa"/>
            <w:tcBorders>
              <w:bottom w:val="nil"/>
            </w:tcBorders>
          </w:tcPr>
          <w:p w14:paraId="60625CA4" w14:textId="77777777" w:rsidR="000A66F1" w:rsidRPr="000127EF" w:rsidRDefault="000A66F1" w:rsidP="000A66F1">
            <w:pPr>
              <w:rPr>
                <w:rFonts w:cs="Arial"/>
                <w:szCs w:val="22"/>
                <w:lang w:val="en-US"/>
              </w:rPr>
            </w:pPr>
            <w:r w:rsidRPr="000127EF">
              <w:rPr>
                <w:rFonts w:cs="Arial"/>
                <w:szCs w:val="22"/>
                <w:lang w:val="en-US"/>
              </w:rPr>
              <w:t>Non-specific grants</w:t>
            </w:r>
          </w:p>
        </w:tc>
        <w:tc>
          <w:tcPr>
            <w:tcW w:w="1534" w:type="dxa"/>
            <w:tcBorders>
              <w:bottom w:val="nil"/>
            </w:tcBorders>
            <w:shd w:val="clear" w:color="auto" w:fill="C5E0B3" w:themeFill="accent6" w:themeFillTint="66"/>
            <w:vAlign w:val="center"/>
          </w:tcPr>
          <w:p w14:paraId="3888E39C" w14:textId="248E2400" w:rsidR="000A66F1" w:rsidRPr="0086008A" w:rsidRDefault="000A66F1" w:rsidP="000A66F1">
            <w:pPr>
              <w:jc w:val="right"/>
              <w:rPr>
                <w:rFonts w:cs="Arial"/>
                <w:color w:val="000000"/>
                <w:szCs w:val="22"/>
              </w:rPr>
            </w:pPr>
          </w:p>
        </w:tc>
      </w:tr>
      <w:tr w:rsidR="000A66F1" w:rsidRPr="000127EF" w14:paraId="4CBA7245" w14:textId="77777777" w:rsidTr="008A0E82">
        <w:trPr>
          <w:jc w:val="center"/>
        </w:trPr>
        <w:tc>
          <w:tcPr>
            <w:tcW w:w="1454" w:type="dxa"/>
            <w:tcBorders>
              <w:bottom w:val="nil"/>
            </w:tcBorders>
            <w:vAlign w:val="center"/>
          </w:tcPr>
          <w:p w14:paraId="00C098E8" w14:textId="4A3C24BD" w:rsidR="000A66F1" w:rsidRPr="000A66F1" w:rsidRDefault="000A66F1" w:rsidP="000A66F1">
            <w:pPr>
              <w:jc w:val="right"/>
              <w:rPr>
                <w:rFonts w:cs="Arial"/>
                <w:i/>
                <w:color w:val="000000"/>
                <w:szCs w:val="22"/>
              </w:rPr>
            </w:pPr>
            <w:r w:rsidRPr="000A66F1">
              <w:rPr>
                <w:rFonts w:cs="Arial"/>
                <w:i/>
                <w:color w:val="000000"/>
                <w:szCs w:val="22"/>
              </w:rPr>
              <w:t>802</w:t>
            </w:r>
          </w:p>
        </w:tc>
        <w:tc>
          <w:tcPr>
            <w:tcW w:w="5634" w:type="dxa"/>
            <w:tcBorders>
              <w:bottom w:val="nil"/>
            </w:tcBorders>
          </w:tcPr>
          <w:p w14:paraId="77B6BD17" w14:textId="77777777" w:rsidR="000A66F1" w:rsidRPr="000127EF" w:rsidRDefault="000A66F1" w:rsidP="000A66F1">
            <w:pPr>
              <w:ind w:left="198" w:hanging="56"/>
              <w:rPr>
                <w:rFonts w:cs="Arial"/>
                <w:szCs w:val="22"/>
                <w:lang w:val="en-US"/>
              </w:rPr>
            </w:pPr>
            <w:r w:rsidRPr="000127EF">
              <w:rPr>
                <w:rFonts w:cs="Arial"/>
                <w:szCs w:val="22"/>
                <w:lang w:val="en-US"/>
              </w:rPr>
              <w:t>Small Business Rate Relief (Section 31)</w:t>
            </w:r>
          </w:p>
        </w:tc>
        <w:tc>
          <w:tcPr>
            <w:tcW w:w="1534" w:type="dxa"/>
            <w:tcBorders>
              <w:bottom w:val="nil"/>
            </w:tcBorders>
            <w:shd w:val="clear" w:color="auto" w:fill="C5E0B3" w:themeFill="accent6" w:themeFillTint="66"/>
            <w:vAlign w:val="center"/>
          </w:tcPr>
          <w:p w14:paraId="38812021" w14:textId="587BA7B8" w:rsidR="000A66F1" w:rsidRPr="0086008A" w:rsidRDefault="00CF7542" w:rsidP="000A66F1">
            <w:pPr>
              <w:jc w:val="right"/>
              <w:rPr>
                <w:rFonts w:cs="Arial"/>
                <w:color w:val="000000"/>
                <w:szCs w:val="22"/>
              </w:rPr>
            </w:pPr>
            <w:r w:rsidRPr="0086008A">
              <w:rPr>
                <w:rFonts w:cs="Arial"/>
                <w:color w:val="000000"/>
                <w:szCs w:val="22"/>
              </w:rPr>
              <w:t>1,05</w:t>
            </w:r>
            <w:r w:rsidR="005D3FC5">
              <w:rPr>
                <w:rFonts w:cs="Arial"/>
                <w:color w:val="000000"/>
                <w:szCs w:val="22"/>
              </w:rPr>
              <w:t>2</w:t>
            </w:r>
          </w:p>
        </w:tc>
      </w:tr>
      <w:tr w:rsidR="000A66F1" w:rsidRPr="000127EF" w14:paraId="19CF1127" w14:textId="77777777" w:rsidTr="008A0E82">
        <w:trPr>
          <w:jc w:val="center"/>
        </w:trPr>
        <w:tc>
          <w:tcPr>
            <w:tcW w:w="1454" w:type="dxa"/>
            <w:tcBorders>
              <w:bottom w:val="nil"/>
            </w:tcBorders>
            <w:vAlign w:val="center"/>
          </w:tcPr>
          <w:p w14:paraId="17C0BDB6" w14:textId="153C7B04" w:rsidR="000A66F1" w:rsidRPr="000A66F1" w:rsidRDefault="00E02937" w:rsidP="000A66F1">
            <w:pPr>
              <w:jc w:val="right"/>
              <w:rPr>
                <w:rFonts w:cs="Arial"/>
                <w:i/>
                <w:color w:val="000000"/>
                <w:szCs w:val="22"/>
              </w:rPr>
            </w:pPr>
            <w:r>
              <w:rPr>
                <w:rFonts w:cs="Arial"/>
                <w:i/>
                <w:color w:val="000000"/>
                <w:szCs w:val="22"/>
              </w:rPr>
              <w:t>1,23</w:t>
            </w:r>
            <w:r w:rsidR="000A66F1" w:rsidRPr="000A66F1">
              <w:rPr>
                <w:rFonts w:cs="Arial"/>
                <w:i/>
                <w:color w:val="000000"/>
                <w:szCs w:val="22"/>
              </w:rPr>
              <w:t>1</w:t>
            </w:r>
          </w:p>
        </w:tc>
        <w:tc>
          <w:tcPr>
            <w:tcW w:w="5634" w:type="dxa"/>
            <w:tcBorders>
              <w:bottom w:val="nil"/>
            </w:tcBorders>
          </w:tcPr>
          <w:p w14:paraId="583A9B19" w14:textId="77777777" w:rsidR="000A66F1" w:rsidRPr="000127EF" w:rsidRDefault="000A66F1" w:rsidP="000A66F1">
            <w:pPr>
              <w:ind w:left="198" w:hanging="56"/>
              <w:rPr>
                <w:rFonts w:cs="Arial"/>
                <w:szCs w:val="22"/>
                <w:lang w:val="en-US"/>
              </w:rPr>
            </w:pPr>
            <w:r w:rsidRPr="000127EF">
              <w:rPr>
                <w:rFonts w:cs="Arial"/>
                <w:szCs w:val="22"/>
                <w:lang w:val="en-US"/>
              </w:rPr>
              <w:t>New Homes Bonus</w:t>
            </w:r>
          </w:p>
        </w:tc>
        <w:tc>
          <w:tcPr>
            <w:tcW w:w="1534" w:type="dxa"/>
            <w:tcBorders>
              <w:bottom w:val="nil"/>
            </w:tcBorders>
            <w:shd w:val="clear" w:color="auto" w:fill="C5E0B3" w:themeFill="accent6" w:themeFillTint="66"/>
            <w:vAlign w:val="center"/>
          </w:tcPr>
          <w:p w14:paraId="5B5CFFD2" w14:textId="636BD14E" w:rsidR="000A66F1" w:rsidRPr="0086008A" w:rsidRDefault="00CF7542" w:rsidP="000A66F1">
            <w:pPr>
              <w:jc w:val="right"/>
              <w:rPr>
                <w:rFonts w:cs="Arial"/>
                <w:color w:val="000000"/>
                <w:szCs w:val="22"/>
              </w:rPr>
            </w:pPr>
            <w:r w:rsidRPr="0086008A">
              <w:rPr>
                <w:rFonts w:cs="Arial"/>
                <w:color w:val="000000"/>
                <w:szCs w:val="22"/>
              </w:rPr>
              <w:t>1,148</w:t>
            </w:r>
          </w:p>
        </w:tc>
      </w:tr>
      <w:tr w:rsidR="000A66F1" w:rsidRPr="000127EF" w14:paraId="728559A4" w14:textId="77777777" w:rsidTr="008A0E82">
        <w:trPr>
          <w:jc w:val="center"/>
        </w:trPr>
        <w:tc>
          <w:tcPr>
            <w:tcW w:w="1454" w:type="dxa"/>
            <w:tcBorders>
              <w:bottom w:val="nil"/>
            </w:tcBorders>
            <w:vAlign w:val="center"/>
          </w:tcPr>
          <w:p w14:paraId="37D1D44B" w14:textId="0550DA64" w:rsidR="000A66F1" w:rsidRPr="000A66F1" w:rsidRDefault="000A66F1" w:rsidP="00E02937">
            <w:pPr>
              <w:jc w:val="right"/>
              <w:rPr>
                <w:rFonts w:cs="Arial"/>
                <w:i/>
                <w:color w:val="000000"/>
                <w:szCs w:val="22"/>
              </w:rPr>
            </w:pPr>
            <w:r w:rsidRPr="000A66F1">
              <w:rPr>
                <w:rFonts w:cs="Arial"/>
                <w:i/>
                <w:color w:val="000000"/>
                <w:szCs w:val="22"/>
              </w:rPr>
              <w:t>2,</w:t>
            </w:r>
            <w:r w:rsidR="00E02937">
              <w:rPr>
                <w:rFonts w:cs="Arial"/>
                <w:i/>
                <w:color w:val="000000"/>
                <w:szCs w:val="22"/>
              </w:rPr>
              <w:t>365</w:t>
            </w:r>
          </w:p>
        </w:tc>
        <w:tc>
          <w:tcPr>
            <w:tcW w:w="5634" w:type="dxa"/>
            <w:tcBorders>
              <w:bottom w:val="nil"/>
            </w:tcBorders>
          </w:tcPr>
          <w:p w14:paraId="07CA13E5" w14:textId="77777777" w:rsidR="000A66F1" w:rsidRPr="000127EF" w:rsidRDefault="000A66F1" w:rsidP="000A66F1">
            <w:pPr>
              <w:ind w:left="198" w:hanging="56"/>
              <w:rPr>
                <w:rFonts w:cs="Arial"/>
                <w:szCs w:val="22"/>
                <w:lang w:val="en-US"/>
              </w:rPr>
            </w:pPr>
            <w:r w:rsidRPr="000127EF">
              <w:rPr>
                <w:rFonts w:cs="Arial"/>
                <w:szCs w:val="22"/>
                <w:lang w:val="en-US"/>
              </w:rPr>
              <w:t>Better Care Fund</w:t>
            </w:r>
          </w:p>
        </w:tc>
        <w:tc>
          <w:tcPr>
            <w:tcW w:w="1534" w:type="dxa"/>
            <w:tcBorders>
              <w:bottom w:val="nil"/>
            </w:tcBorders>
            <w:shd w:val="clear" w:color="auto" w:fill="C5E0B3" w:themeFill="accent6" w:themeFillTint="66"/>
            <w:vAlign w:val="center"/>
          </w:tcPr>
          <w:p w14:paraId="6E69F914" w14:textId="426EEB84" w:rsidR="000A66F1" w:rsidRPr="0086008A" w:rsidRDefault="00CF7542" w:rsidP="000A66F1">
            <w:pPr>
              <w:jc w:val="right"/>
              <w:rPr>
                <w:rFonts w:cs="Arial"/>
                <w:color w:val="000000"/>
                <w:szCs w:val="22"/>
              </w:rPr>
            </w:pPr>
            <w:r w:rsidRPr="0086008A">
              <w:rPr>
                <w:rFonts w:cs="Arial"/>
                <w:color w:val="000000"/>
                <w:szCs w:val="22"/>
              </w:rPr>
              <w:t>2,220</w:t>
            </w:r>
          </w:p>
        </w:tc>
      </w:tr>
      <w:tr w:rsidR="000A66F1" w:rsidRPr="000127EF" w14:paraId="08CA4421" w14:textId="77777777" w:rsidTr="008A0E82">
        <w:trPr>
          <w:jc w:val="center"/>
        </w:trPr>
        <w:tc>
          <w:tcPr>
            <w:tcW w:w="1454" w:type="dxa"/>
            <w:tcBorders>
              <w:top w:val="nil"/>
              <w:bottom w:val="nil"/>
            </w:tcBorders>
            <w:vAlign w:val="center"/>
          </w:tcPr>
          <w:p w14:paraId="00CCDFA5" w14:textId="5C39B71B" w:rsidR="000A66F1" w:rsidRPr="000A66F1" w:rsidRDefault="000A66F1" w:rsidP="000A66F1">
            <w:pPr>
              <w:jc w:val="right"/>
              <w:rPr>
                <w:rFonts w:cs="Arial"/>
                <w:i/>
                <w:color w:val="000000"/>
                <w:szCs w:val="22"/>
              </w:rPr>
            </w:pPr>
            <w:r w:rsidRPr="000A66F1">
              <w:rPr>
                <w:rFonts w:cs="Arial"/>
                <w:i/>
                <w:color w:val="000000"/>
                <w:szCs w:val="22"/>
              </w:rPr>
              <w:t>850</w:t>
            </w:r>
          </w:p>
        </w:tc>
        <w:tc>
          <w:tcPr>
            <w:tcW w:w="5634" w:type="dxa"/>
            <w:tcBorders>
              <w:top w:val="nil"/>
              <w:bottom w:val="nil"/>
            </w:tcBorders>
          </w:tcPr>
          <w:p w14:paraId="4EAC622E" w14:textId="66324DDD" w:rsidR="000A66F1" w:rsidRPr="000127EF" w:rsidRDefault="000A66F1" w:rsidP="000A66F1">
            <w:pPr>
              <w:ind w:left="198" w:hanging="56"/>
              <w:rPr>
                <w:rFonts w:cs="Arial"/>
                <w:szCs w:val="22"/>
                <w:lang w:val="en-US"/>
              </w:rPr>
            </w:pPr>
            <w:r w:rsidRPr="000127EF">
              <w:rPr>
                <w:rFonts w:cs="Arial"/>
                <w:szCs w:val="22"/>
                <w:lang w:val="en-US"/>
              </w:rPr>
              <w:t>Rural Delivery Grant</w:t>
            </w:r>
          </w:p>
        </w:tc>
        <w:tc>
          <w:tcPr>
            <w:tcW w:w="1534" w:type="dxa"/>
            <w:tcBorders>
              <w:top w:val="nil"/>
              <w:bottom w:val="nil"/>
            </w:tcBorders>
            <w:shd w:val="clear" w:color="auto" w:fill="C5E0B3" w:themeFill="accent6" w:themeFillTint="66"/>
            <w:vAlign w:val="center"/>
          </w:tcPr>
          <w:p w14:paraId="463F631E" w14:textId="6CD5FE7D" w:rsidR="000A66F1" w:rsidRPr="0086008A" w:rsidRDefault="00CF7542" w:rsidP="000A66F1">
            <w:pPr>
              <w:jc w:val="right"/>
              <w:rPr>
                <w:rFonts w:cs="Arial"/>
                <w:color w:val="000000"/>
                <w:szCs w:val="22"/>
              </w:rPr>
            </w:pPr>
            <w:r w:rsidRPr="0086008A">
              <w:rPr>
                <w:rFonts w:cs="Arial"/>
                <w:color w:val="000000"/>
                <w:szCs w:val="22"/>
              </w:rPr>
              <w:t>848</w:t>
            </w:r>
          </w:p>
        </w:tc>
      </w:tr>
      <w:tr w:rsidR="00CF7542" w:rsidRPr="000127EF" w14:paraId="39A7E170" w14:textId="77777777" w:rsidTr="008A0E82">
        <w:trPr>
          <w:jc w:val="center"/>
        </w:trPr>
        <w:tc>
          <w:tcPr>
            <w:tcW w:w="1454" w:type="dxa"/>
            <w:tcBorders>
              <w:top w:val="nil"/>
              <w:bottom w:val="nil"/>
            </w:tcBorders>
            <w:vAlign w:val="center"/>
          </w:tcPr>
          <w:p w14:paraId="206F4712" w14:textId="78804AC5" w:rsidR="00CF7542" w:rsidRPr="000A66F1" w:rsidRDefault="00CF7542" w:rsidP="000A66F1">
            <w:pPr>
              <w:jc w:val="right"/>
              <w:rPr>
                <w:rFonts w:cs="Arial"/>
                <w:i/>
                <w:color w:val="000000"/>
                <w:szCs w:val="22"/>
              </w:rPr>
            </w:pPr>
            <w:r>
              <w:rPr>
                <w:rFonts w:cs="Arial"/>
                <w:i/>
                <w:color w:val="000000"/>
                <w:szCs w:val="22"/>
              </w:rPr>
              <w:t>0</w:t>
            </w:r>
          </w:p>
        </w:tc>
        <w:tc>
          <w:tcPr>
            <w:tcW w:w="5634" w:type="dxa"/>
            <w:tcBorders>
              <w:top w:val="nil"/>
              <w:bottom w:val="nil"/>
            </w:tcBorders>
          </w:tcPr>
          <w:p w14:paraId="68064DB6" w14:textId="38E74E2E" w:rsidR="00CF7542" w:rsidRPr="000127EF" w:rsidRDefault="00CF7542" w:rsidP="000A66F1">
            <w:pPr>
              <w:ind w:left="198" w:hanging="56"/>
              <w:rPr>
                <w:rFonts w:cs="Arial"/>
                <w:szCs w:val="22"/>
                <w:lang w:val="en-US"/>
              </w:rPr>
            </w:pPr>
            <w:r>
              <w:rPr>
                <w:rFonts w:cs="Arial"/>
                <w:szCs w:val="22"/>
                <w:lang w:val="en-US"/>
              </w:rPr>
              <w:t>Covid-19 Grant</w:t>
            </w:r>
          </w:p>
        </w:tc>
        <w:tc>
          <w:tcPr>
            <w:tcW w:w="1534" w:type="dxa"/>
            <w:tcBorders>
              <w:top w:val="nil"/>
              <w:bottom w:val="nil"/>
            </w:tcBorders>
            <w:shd w:val="clear" w:color="auto" w:fill="C5E0B3" w:themeFill="accent6" w:themeFillTint="66"/>
            <w:vAlign w:val="center"/>
          </w:tcPr>
          <w:p w14:paraId="54E03D98" w14:textId="74FB91EE" w:rsidR="00CF7542" w:rsidRPr="0086008A" w:rsidRDefault="00CF7542" w:rsidP="000A66F1">
            <w:pPr>
              <w:jc w:val="right"/>
              <w:rPr>
                <w:rFonts w:cs="Arial"/>
                <w:color w:val="000000"/>
                <w:szCs w:val="22"/>
              </w:rPr>
            </w:pPr>
            <w:r w:rsidRPr="0086008A">
              <w:rPr>
                <w:rFonts w:cs="Arial"/>
                <w:color w:val="000000"/>
                <w:szCs w:val="22"/>
              </w:rPr>
              <w:t>848</w:t>
            </w:r>
          </w:p>
        </w:tc>
      </w:tr>
      <w:tr w:rsidR="000A66F1" w:rsidRPr="000127EF" w14:paraId="61BCCC15" w14:textId="77777777" w:rsidTr="008A0E82">
        <w:trPr>
          <w:jc w:val="center"/>
        </w:trPr>
        <w:tc>
          <w:tcPr>
            <w:tcW w:w="1454" w:type="dxa"/>
            <w:tcBorders>
              <w:top w:val="nil"/>
              <w:bottom w:val="nil"/>
            </w:tcBorders>
            <w:vAlign w:val="center"/>
          </w:tcPr>
          <w:p w14:paraId="0E9961ED" w14:textId="71159BC4" w:rsidR="000A66F1" w:rsidRPr="000A66F1" w:rsidRDefault="000A66F1" w:rsidP="00E02937">
            <w:pPr>
              <w:jc w:val="right"/>
              <w:rPr>
                <w:rFonts w:cs="Arial"/>
                <w:i/>
                <w:color w:val="000000"/>
                <w:szCs w:val="22"/>
              </w:rPr>
            </w:pPr>
            <w:r w:rsidRPr="000A66F1">
              <w:rPr>
                <w:rFonts w:cs="Arial"/>
                <w:i/>
                <w:color w:val="000000"/>
                <w:szCs w:val="22"/>
              </w:rPr>
              <w:t>1,0</w:t>
            </w:r>
            <w:r w:rsidR="00E02937">
              <w:rPr>
                <w:rFonts w:cs="Arial"/>
                <w:i/>
                <w:color w:val="000000"/>
                <w:szCs w:val="22"/>
              </w:rPr>
              <w:t>01</w:t>
            </w:r>
          </w:p>
        </w:tc>
        <w:tc>
          <w:tcPr>
            <w:tcW w:w="5634" w:type="dxa"/>
            <w:tcBorders>
              <w:top w:val="nil"/>
              <w:bottom w:val="nil"/>
            </w:tcBorders>
          </w:tcPr>
          <w:p w14:paraId="2D4E8CB4" w14:textId="0E56C1F1" w:rsidR="000A66F1" w:rsidRPr="000127EF" w:rsidRDefault="000A66F1" w:rsidP="000A66F1">
            <w:pPr>
              <w:ind w:left="198" w:hanging="56"/>
              <w:rPr>
                <w:rFonts w:cs="Arial"/>
                <w:szCs w:val="22"/>
                <w:lang w:val="en-US"/>
              </w:rPr>
            </w:pPr>
            <w:r w:rsidRPr="000127EF">
              <w:rPr>
                <w:rFonts w:cs="Arial"/>
                <w:szCs w:val="22"/>
                <w:lang w:val="en-US"/>
              </w:rPr>
              <w:t>Other</w:t>
            </w:r>
          </w:p>
        </w:tc>
        <w:tc>
          <w:tcPr>
            <w:tcW w:w="1534" w:type="dxa"/>
            <w:tcBorders>
              <w:top w:val="nil"/>
              <w:bottom w:val="nil"/>
            </w:tcBorders>
            <w:shd w:val="clear" w:color="auto" w:fill="C5E0B3" w:themeFill="accent6" w:themeFillTint="66"/>
            <w:vAlign w:val="center"/>
          </w:tcPr>
          <w:p w14:paraId="3978936F" w14:textId="0964DC49" w:rsidR="000A66F1" w:rsidRPr="0086008A" w:rsidRDefault="00E53447" w:rsidP="000A66F1">
            <w:pPr>
              <w:jc w:val="right"/>
              <w:rPr>
                <w:rFonts w:cs="Arial"/>
                <w:color w:val="000000"/>
                <w:szCs w:val="22"/>
              </w:rPr>
            </w:pPr>
            <w:r>
              <w:rPr>
                <w:rFonts w:cs="Arial"/>
                <w:color w:val="000000"/>
                <w:szCs w:val="22"/>
              </w:rPr>
              <w:t>913</w:t>
            </w:r>
          </w:p>
        </w:tc>
      </w:tr>
      <w:tr w:rsidR="000A66F1" w:rsidRPr="000127EF" w14:paraId="5BAC8C56" w14:textId="77777777" w:rsidTr="000A66F1">
        <w:trPr>
          <w:jc w:val="center"/>
        </w:trPr>
        <w:tc>
          <w:tcPr>
            <w:tcW w:w="1454" w:type="dxa"/>
            <w:tcBorders>
              <w:top w:val="single" w:sz="4" w:space="0" w:color="auto"/>
              <w:bottom w:val="nil"/>
            </w:tcBorders>
            <w:vAlign w:val="center"/>
          </w:tcPr>
          <w:p w14:paraId="22EE3BC4" w14:textId="71E3CB73" w:rsidR="000A66F1" w:rsidRPr="000A66F1" w:rsidRDefault="00E02937" w:rsidP="000A66F1">
            <w:pPr>
              <w:jc w:val="right"/>
              <w:rPr>
                <w:rFonts w:cs="Arial"/>
                <w:i/>
                <w:color w:val="000000"/>
                <w:szCs w:val="22"/>
              </w:rPr>
            </w:pPr>
            <w:r>
              <w:rPr>
                <w:b/>
                <w:i/>
              </w:rPr>
              <w:fldChar w:fldCharType="begin"/>
            </w:r>
            <w:r>
              <w:rPr>
                <w:b/>
                <w:i/>
              </w:rPr>
              <w:instrText xml:space="preserve"> =SUM(a7:a12) </w:instrText>
            </w:r>
            <w:r>
              <w:rPr>
                <w:b/>
                <w:i/>
              </w:rPr>
              <w:fldChar w:fldCharType="separate"/>
            </w:r>
            <w:r>
              <w:rPr>
                <w:b/>
                <w:i/>
                <w:noProof/>
              </w:rPr>
              <w:t>6,249</w:t>
            </w:r>
            <w:r>
              <w:rPr>
                <w:b/>
                <w:i/>
              </w:rPr>
              <w:fldChar w:fldCharType="end"/>
            </w:r>
          </w:p>
        </w:tc>
        <w:tc>
          <w:tcPr>
            <w:tcW w:w="5634" w:type="dxa"/>
            <w:tcBorders>
              <w:top w:val="nil"/>
              <w:bottom w:val="nil"/>
            </w:tcBorders>
          </w:tcPr>
          <w:p w14:paraId="28778487" w14:textId="4B0C6BD2" w:rsidR="000A66F1" w:rsidRPr="000127EF" w:rsidRDefault="000A66F1" w:rsidP="000A66F1">
            <w:pPr>
              <w:ind w:left="198" w:hanging="56"/>
              <w:rPr>
                <w:rFonts w:cs="Arial"/>
                <w:szCs w:val="22"/>
                <w:lang w:val="en-US"/>
              </w:rPr>
            </w:pPr>
            <w:r w:rsidRPr="000127EF">
              <w:rPr>
                <w:rFonts w:cs="Arial"/>
                <w:b/>
                <w:szCs w:val="22"/>
                <w:lang w:val="en-US"/>
              </w:rPr>
              <w:t>Total Non-Specific Grants</w:t>
            </w:r>
          </w:p>
        </w:tc>
        <w:tc>
          <w:tcPr>
            <w:tcW w:w="1534" w:type="dxa"/>
            <w:tcBorders>
              <w:top w:val="single" w:sz="4" w:space="0" w:color="auto"/>
              <w:bottom w:val="nil"/>
            </w:tcBorders>
            <w:shd w:val="clear" w:color="auto" w:fill="C5E0B3" w:themeFill="accent6" w:themeFillTint="66"/>
            <w:vAlign w:val="center"/>
          </w:tcPr>
          <w:p w14:paraId="0C23FCF9" w14:textId="06BFDF91" w:rsidR="000A66F1" w:rsidRPr="0086008A" w:rsidRDefault="0086008A" w:rsidP="000A66F1">
            <w:pPr>
              <w:jc w:val="right"/>
              <w:rPr>
                <w:rFonts w:cs="Arial"/>
                <w:b/>
                <w:bCs/>
                <w:color w:val="000000"/>
                <w:szCs w:val="22"/>
              </w:rPr>
            </w:pPr>
            <w:r w:rsidRPr="0086008A">
              <w:rPr>
                <w:rFonts w:cs="Arial"/>
                <w:b/>
                <w:bCs/>
                <w:color w:val="000000"/>
                <w:szCs w:val="22"/>
              </w:rPr>
              <w:t>7,02</w:t>
            </w:r>
            <w:r w:rsidR="005D3FC5">
              <w:rPr>
                <w:rFonts w:cs="Arial"/>
                <w:b/>
                <w:bCs/>
                <w:color w:val="000000"/>
                <w:szCs w:val="22"/>
              </w:rPr>
              <w:t>9</w:t>
            </w:r>
          </w:p>
        </w:tc>
      </w:tr>
      <w:tr w:rsidR="000A66F1" w:rsidRPr="000127EF" w14:paraId="0556981C" w14:textId="77777777" w:rsidTr="0035748C">
        <w:trPr>
          <w:jc w:val="center"/>
        </w:trPr>
        <w:tc>
          <w:tcPr>
            <w:tcW w:w="1454" w:type="dxa"/>
            <w:tcBorders>
              <w:top w:val="nil"/>
              <w:bottom w:val="nil"/>
            </w:tcBorders>
            <w:vAlign w:val="center"/>
          </w:tcPr>
          <w:p w14:paraId="05909BB5" w14:textId="493DA420" w:rsidR="000A66F1" w:rsidRPr="000A66F1" w:rsidRDefault="000A66F1" w:rsidP="000A66F1">
            <w:pPr>
              <w:jc w:val="right"/>
              <w:rPr>
                <w:rFonts w:cs="Arial"/>
                <w:i/>
                <w:color w:val="000000"/>
                <w:szCs w:val="22"/>
              </w:rPr>
            </w:pPr>
            <w:r w:rsidRPr="000A66F1">
              <w:rPr>
                <w:rFonts w:cs="Arial"/>
                <w:i/>
                <w:color w:val="000000"/>
                <w:szCs w:val="22"/>
              </w:rPr>
              <w:t>983</w:t>
            </w:r>
          </w:p>
        </w:tc>
        <w:tc>
          <w:tcPr>
            <w:tcW w:w="5634" w:type="dxa"/>
            <w:tcBorders>
              <w:top w:val="nil"/>
              <w:bottom w:val="nil"/>
            </w:tcBorders>
          </w:tcPr>
          <w:p w14:paraId="17B227C7" w14:textId="2D43D248" w:rsidR="000A66F1" w:rsidRPr="000127EF" w:rsidRDefault="000A66F1" w:rsidP="000A66F1">
            <w:pPr>
              <w:rPr>
                <w:rFonts w:cs="Arial"/>
                <w:szCs w:val="22"/>
                <w:lang w:val="en-US"/>
              </w:rPr>
            </w:pPr>
            <w:r w:rsidRPr="000127EF">
              <w:t>Section 106 Contributions</w:t>
            </w:r>
          </w:p>
        </w:tc>
        <w:tc>
          <w:tcPr>
            <w:tcW w:w="1534" w:type="dxa"/>
            <w:tcBorders>
              <w:top w:val="nil"/>
              <w:bottom w:val="nil"/>
            </w:tcBorders>
            <w:shd w:val="clear" w:color="auto" w:fill="C5E0B3" w:themeFill="accent6" w:themeFillTint="66"/>
            <w:vAlign w:val="center"/>
          </w:tcPr>
          <w:p w14:paraId="28ACB989" w14:textId="4020AFE8" w:rsidR="000A66F1" w:rsidRPr="0086008A" w:rsidRDefault="0086008A" w:rsidP="000A66F1">
            <w:pPr>
              <w:jc w:val="right"/>
              <w:rPr>
                <w:rFonts w:cs="Arial"/>
                <w:color w:val="000000"/>
                <w:szCs w:val="22"/>
              </w:rPr>
            </w:pPr>
            <w:r w:rsidRPr="0086008A">
              <w:rPr>
                <w:rFonts w:cs="Arial"/>
                <w:color w:val="000000"/>
                <w:szCs w:val="22"/>
              </w:rPr>
              <w:t>906</w:t>
            </w:r>
          </w:p>
        </w:tc>
      </w:tr>
      <w:tr w:rsidR="000A66F1" w:rsidRPr="000127EF" w14:paraId="18AEDB71" w14:textId="77777777" w:rsidTr="0035748C">
        <w:trPr>
          <w:jc w:val="center"/>
        </w:trPr>
        <w:tc>
          <w:tcPr>
            <w:tcW w:w="1454" w:type="dxa"/>
            <w:tcBorders>
              <w:top w:val="nil"/>
              <w:left w:val="single" w:sz="18" w:space="0" w:color="A8D08D" w:themeColor="accent6" w:themeTint="99"/>
              <w:bottom w:val="nil"/>
            </w:tcBorders>
            <w:vAlign w:val="center"/>
          </w:tcPr>
          <w:p w14:paraId="66162DC1" w14:textId="6D3D6A62" w:rsidR="000A66F1" w:rsidRPr="000A66F1" w:rsidRDefault="000A66F1" w:rsidP="000A66F1">
            <w:pPr>
              <w:jc w:val="right"/>
              <w:rPr>
                <w:b/>
                <w:i/>
              </w:rPr>
            </w:pPr>
            <w:r w:rsidRPr="000A66F1">
              <w:rPr>
                <w:rFonts w:cs="Arial"/>
                <w:i/>
                <w:color w:val="000000"/>
                <w:szCs w:val="22"/>
              </w:rPr>
              <w:t>546</w:t>
            </w:r>
          </w:p>
        </w:tc>
        <w:tc>
          <w:tcPr>
            <w:tcW w:w="5634" w:type="dxa"/>
            <w:tcBorders>
              <w:top w:val="nil"/>
              <w:bottom w:val="nil"/>
            </w:tcBorders>
          </w:tcPr>
          <w:p w14:paraId="7BE63F2B" w14:textId="17472E3A" w:rsidR="000A66F1" w:rsidRPr="000127EF" w:rsidRDefault="000A66F1" w:rsidP="000A66F1">
            <w:pPr>
              <w:rPr>
                <w:rFonts w:cs="Arial"/>
                <w:b/>
                <w:szCs w:val="22"/>
                <w:lang w:val="en-US"/>
              </w:rPr>
            </w:pPr>
            <w:r w:rsidRPr="000127EF">
              <w:t>Hawkesmead Infrastructure Agreement</w:t>
            </w:r>
          </w:p>
        </w:tc>
        <w:tc>
          <w:tcPr>
            <w:tcW w:w="1534" w:type="dxa"/>
            <w:tcBorders>
              <w:top w:val="nil"/>
              <w:bottom w:val="nil"/>
              <w:right w:val="single" w:sz="18" w:space="0" w:color="A8D08D" w:themeColor="accent6" w:themeTint="99"/>
            </w:tcBorders>
            <w:shd w:val="clear" w:color="auto" w:fill="C5E0B3" w:themeFill="accent6" w:themeFillTint="66"/>
            <w:vAlign w:val="center"/>
          </w:tcPr>
          <w:p w14:paraId="4B1250B4" w14:textId="71C10780" w:rsidR="000A66F1" w:rsidRPr="0086008A" w:rsidRDefault="0086008A" w:rsidP="000A66F1">
            <w:pPr>
              <w:jc w:val="right"/>
              <w:rPr>
                <w:rFonts w:cs="Arial"/>
                <w:color w:val="000000"/>
                <w:szCs w:val="22"/>
              </w:rPr>
            </w:pPr>
            <w:r w:rsidRPr="0086008A">
              <w:rPr>
                <w:rFonts w:cs="Arial"/>
                <w:color w:val="000000"/>
                <w:szCs w:val="22"/>
              </w:rPr>
              <w:t>55</w:t>
            </w:r>
            <w:r w:rsidR="004F5B6B">
              <w:rPr>
                <w:rFonts w:cs="Arial"/>
                <w:color w:val="000000"/>
                <w:szCs w:val="22"/>
              </w:rPr>
              <w:t>2</w:t>
            </w:r>
          </w:p>
        </w:tc>
      </w:tr>
      <w:tr w:rsidR="000A66F1" w:rsidRPr="000127EF" w14:paraId="0011107F" w14:textId="77777777" w:rsidTr="0035748C">
        <w:trPr>
          <w:jc w:val="center"/>
        </w:trPr>
        <w:tc>
          <w:tcPr>
            <w:tcW w:w="1454" w:type="dxa"/>
            <w:tcBorders>
              <w:top w:val="nil"/>
              <w:bottom w:val="single" w:sz="4" w:space="0" w:color="auto"/>
            </w:tcBorders>
            <w:vAlign w:val="center"/>
          </w:tcPr>
          <w:p w14:paraId="07252D8F" w14:textId="42CB3C4A" w:rsidR="000A66F1" w:rsidRPr="000A66F1" w:rsidRDefault="000A66F1" w:rsidP="000A66F1">
            <w:pPr>
              <w:jc w:val="right"/>
              <w:rPr>
                <w:rFonts w:cs="Arial"/>
                <w:i/>
                <w:color w:val="000000"/>
                <w:szCs w:val="22"/>
              </w:rPr>
            </w:pPr>
            <w:r w:rsidRPr="000A66F1">
              <w:rPr>
                <w:rFonts w:cs="Arial"/>
                <w:i/>
                <w:color w:val="000000"/>
                <w:szCs w:val="22"/>
              </w:rPr>
              <w:t>3,574</w:t>
            </w:r>
          </w:p>
        </w:tc>
        <w:tc>
          <w:tcPr>
            <w:tcW w:w="5634" w:type="dxa"/>
            <w:tcBorders>
              <w:top w:val="nil"/>
              <w:bottom w:val="nil"/>
            </w:tcBorders>
          </w:tcPr>
          <w:p w14:paraId="38518092" w14:textId="285BDDA1" w:rsidR="000A66F1" w:rsidRPr="000127EF" w:rsidRDefault="000A66F1" w:rsidP="000A66F1">
            <w:pPr>
              <w:rPr>
                <w:rFonts w:cs="Arial"/>
                <w:szCs w:val="22"/>
                <w:lang w:val="en-US"/>
              </w:rPr>
            </w:pPr>
            <w:r w:rsidRPr="000127EF">
              <w:rPr>
                <w:rFonts w:cs="Arial"/>
                <w:szCs w:val="22"/>
                <w:lang w:val="en-US"/>
              </w:rPr>
              <w:t>Capital Receipts, Grants &amp; Contributions</w:t>
            </w:r>
          </w:p>
        </w:tc>
        <w:tc>
          <w:tcPr>
            <w:tcW w:w="1534" w:type="dxa"/>
            <w:tcBorders>
              <w:top w:val="nil"/>
              <w:bottom w:val="single" w:sz="4" w:space="0" w:color="auto"/>
            </w:tcBorders>
            <w:shd w:val="clear" w:color="auto" w:fill="C5E0B3" w:themeFill="accent6" w:themeFillTint="66"/>
            <w:vAlign w:val="center"/>
          </w:tcPr>
          <w:p w14:paraId="29BE2EAB" w14:textId="1903560F" w:rsidR="000A66F1" w:rsidRPr="0086008A" w:rsidRDefault="0086008A" w:rsidP="000A66F1">
            <w:pPr>
              <w:jc w:val="right"/>
              <w:rPr>
                <w:rFonts w:cs="Arial"/>
                <w:color w:val="000000"/>
                <w:szCs w:val="22"/>
              </w:rPr>
            </w:pPr>
            <w:r w:rsidRPr="0086008A">
              <w:rPr>
                <w:rFonts w:cs="Arial"/>
                <w:color w:val="000000"/>
                <w:szCs w:val="22"/>
              </w:rPr>
              <w:t>2,</w:t>
            </w:r>
            <w:r w:rsidR="004F5B6B">
              <w:rPr>
                <w:rFonts w:cs="Arial"/>
                <w:color w:val="000000"/>
                <w:szCs w:val="22"/>
              </w:rPr>
              <w:t>600</w:t>
            </w:r>
          </w:p>
        </w:tc>
      </w:tr>
      <w:tr w:rsidR="000A66F1" w:rsidRPr="000127EF" w14:paraId="44924205" w14:textId="77777777" w:rsidTr="000A66F1">
        <w:trPr>
          <w:jc w:val="center"/>
        </w:trPr>
        <w:tc>
          <w:tcPr>
            <w:tcW w:w="1454" w:type="dxa"/>
            <w:tcBorders>
              <w:top w:val="single" w:sz="4" w:space="0" w:color="auto"/>
              <w:bottom w:val="nil"/>
            </w:tcBorders>
            <w:vAlign w:val="center"/>
          </w:tcPr>
          <w:p w14:paraId="29B2785C" w14:textId="21532D0B" w:rsidR="000A66F1" w:rsidRPr="000A66F1" w:rsidRDefault="00E02937" w:rsidP="000A66F1">
            <w:pPr>
              <w:jc w:val="right"/>
              <w:rPr>
                <w:rFonts w:cs="Arial"/>
                <w:i/>
                <w:color w:val="000000"/>
                <w:szCs w:val="22"/>
              </w:rPr>
            </w:pPr>
            <w:r>
              <w:rPr>
                <w:b/>
                <w:i/>
              </w:rPr>
              <w:fldChar w:fldCharType="begin"/>
            </w:r>
            <w:r>
              <w:rPr>
                <w:b/>
                <w:i/>
              </w:rPr>
              <w:instrText xml:space="preserve"> =SUM(a14:a16) </w:instrText>
            </w:r>
            <w:r>
              <w:rPr>
                <w:b/>
                <w:i/>
              </w:rPr>
              <w:fldChar w:fldCharType="separate"/>
            </w:r>
            <w:r>
              <w:rPr>
                <w:b/>
                <w:i/>
                <w:noProof/>
              </w:rPr>
              <w:t>5,103</w:t>
            </w:r>
            <w:r>
              <w:rPr>
                <w:b/>
                <w:i/>
              </w:rPr>
              <w:fldChar w:fldCharType="end"/>
            </w:r>
          </w:p>
        </w:tc>
        <w:tc>
          <w:tcPr>
            <w:tcW w:w="5634" w:type="dxa"/>
            <w:tcBorders>
              <w:top w:val="nil"/>
              <w:bottom w:val="nil"/>
            </w:tcBorders>
          </w:tcPr>
          <w:p w14:paraId="3EC018F2" w14:textId="4C2DB573" w:rsidR="000A66F1" w:rsidRPr="000127EF" w:rsidRDefault="000A66F1" w:rsidP="000A66F1">
            <w:r w:rsidRPr="000127EF">
              <w:rPr>
                <w:rFonts w:cs="Arial"/>
                <w:b/>
                <w:szCs w:val="22"/>
                <w:lang w:val="en-US"/>
              </w:rPr>
              <w:t>Total Other Income</w:t>
            </w:r>
          </w:p>
        </w:tc>
        <w:tc>
          <w:tcPr>
            <w:tcW w:w="1534" w:type="dxa"/>
            <w:tcBorders>
              <w:top w:val="single" w:sz="4" w:space="0" w:color="auto"/>
              <w:bottom w:val="nil"/>
            </w:tcBorders>
            <w:shd w:val="clear" w:color="auto" w:fill="C5E0B3" w:themeFill="accent6" w:themeFillTint="66"/>
            <w:vAlign w:val="center"/>
          </w:tcPr>
          <w:p w14:paraId="6A89D3E1" w14:textId="068189D0" w:rsidR="000A66F1" w:rsidRPr="0086008A" w:rsidRDefault="004F5B6B" w:rsidP="000A66F1">
            <w:pPr>
              <w:jc w:val="right"/>
              <w:rPr>
                <w:rFonts w:cs="Arial"/>
                <w:b/>
                <w:bCs/>
                <w:color w:val="000000"/>
                <w:szCs w:val="22"/>
              </w:rPr>
            </w:pPr>
            <w:r>
              <w:rPr>
                <w:rFonts w:cs="Arial"/>
                <w:b/>
                <w:bCs/>
                <w:color w:val="000000"/>
                <w:szCs w:val="22"/>
              </w:rPr>
              <w:t>4,058</w:t>
            </w:r>
          </w:p>
        </w:tc>
      </w:tr>
      <w:tr w:rsidR="000A66F1" w:rsidRPr="000127EF" w14:paraId="70220C05" w14:textId="77777777" w:rsidTr="000A66F1">
        <w:trPr>
          <w:jc w:val="center"/>
        </w:trPr>
        <w:tc>
          <w:tcPr>
            <w:tcW w:w="1454" w:type="dxa"/>
            <w:tcBorders>
              <w:top w:val="single" w:sz="8" w:space="0" w:color="auto"/>
              <w:bottom w:val="single" w:sz="8" w:space="0" w:color="auto"/>
            </w:tcBorders>
            <w:vAlign w:val="center"/>
          </w:tcPr>
          <w:p w14:paraId="39FB8725" w14:textId="791576F8" w:rsidR="000A66F1" w:rsidRPr="000A66F1" w:rsidRDefault="00E02937" w:rsidP="000A66F1">
            <w:pPr>
              <w:jc w:val="right"/>
              <w:rPr>
                <w:rFonts w:cs="Arial"/>
                <w:i/>
                <w:color w:val="000000"/>
                <w:szCs w:val="22"/>
              </w:rPr>
            </w:pPr>
            <w:r>
              <w:rPr>
                <w:b/>
                <w:i/>
              </w:rPr>
              <w:fldChar w:fldCharType="begin"/>
            </w:r>
            <w:r>
              <w:rPr>
                <w:b/>
                <w:i/>
              </w:rPr>
              <w:instrText xml:space="preserve"> =SUM(a5,a13,a17) </w:instrText>
            </w:r>
            <w:r>
              <w:rPr>
                <w:b/>
                <w:i/>
              </w:rPr>
              <w:fldChar w:fldCharType="separate"/>
            </w:r>
            <w:r>
              <w:rPr>
                <w:b/>
                <w:i/>
                <w:noProof/>
              </w:rPr>
              <w:t>41,465</w:t>
            </w:r>
            <w:r>
              <w:rPr>
                <w:b/>
                <w:i/>
              </w:rPr>
              <w:fldChar w:fldCharType="end"/>
            </w:r>
          </w:p>
        </w:tc>
        <w:tc>
          <w:tcPr>
            <w:tcW w:w="5634" w:type="dxa"/>
            <w:tcBorders>
              <w:bottom w:val="nil"/>
            </w:tcBorders>
          </w:tcPr>
          <w:p w14:paraId="017C5B4E" w14:textId="137923EC" w:rsidR="000A66F1" w:rsidRPr="000127EF" w:rsidRDefault="000A66F1" w:rsidP="000A66F1">
            <w:pPr>
              <w:rPr>
                <w:rFonts w:cs="Arial"/>
                <w:szCs w:val="22"/>
                <w:lang w:val="en-US"/>
              </w:rPr>
            </w:pPr>
            <w:r w:rsidRPr="000127EF">
              <w:rPr>
                <w:b/>
              </w:rPr>
              <w:t>Total</w:t>
            </w:r>
          </w:p>
        </w:tc>
        <w:tc>
          <w:tcPr>
            <w:tcW w:w="1534" w:type="dxa"/>
            <w:tcBorders>
              <w:top w:val="single" w:sz="8" w:space="0" w:color="auto"/>
              <w:bottom w:val="single" w:sz="8" w:space="0" w:color="auto"/>
            </w:tcBorders>
            <w:shd w:val="clear" w:color="auto" w:fill="C5E0B3" w:themeFill="accent6" w:themeFillTint="66"/>
            <w:vAlign w:val="center"/>
          </w:tcPr>
          <w:p w14:paraId="1AC7700B" w14:textId="76B631C4" w:rsidR="000A66F1" w:rsidRPr="0086008A" w:rsidRDefault="0086008A" w:rsidP="000A66F1">
            <w:pPr>
              <w:jc w:val="right"/>
              <w:rPr>
                <w:rFonts w:cs="Arial"/>
                <w:b/>
                <w:bCs/>
                <w:color w:val="000000"/>
                <w:szCs w:val="22"/>
              </w:rPr>
            </w:pPr>
            <w:r w:rsidRPr="0086008A">
              <w:rPr>
                <w:rFonts w:cs="Arial"/>
                <w:b/>
                <w:bCs/>
                <w:color w:val="000000"/>
                <w:szCs w:val="22"/>
              </w:rPr>
              <w:t>42,</w:t>
            </w:r>
            <w:r w:rsidR="004F5B6B">
              <w:rPr>
                <w:rFonts w:cs="Arial"/>
                <w:b/>
                <w:bCs/>
                <w:color w:val="000000"/>
                <w:szCs w:val="22"/>
              </w:rPr>
              <w:t>644</w:t>
            </w:r>
          </w:p>
        </w:tc>
      </w:tr>
      <w:tr w:rsidR="00F43867" w:rsidRPr="000127EF" w14:paraId="744FA019" w14:textId="77777777" w:rsidTr="0035748C">
        <w:trPr>
          <w:jc w:val="center"/>
        </w:trPr>
        <w:tc>
          <w:tcPr>
            <w:tcW w:w="1454" w:type="dxa"/>
            <w:tcBorders>
              <w:top w:val="nil"/>
            </w:tcBorders>
          </w:tcPr>
          <w:p w14:paraId="6533FFBB" w14:textId="0DEC015E" w:rsidR="00F43867" w:rsidRPr="000127EF" w:rsidRDefault="00F43867" w:rsidP="00F43867">
            <w:pPr>
              <w:rPr>
                <w:b/>
                <w:i/>
              </w:rPr>
            </w:pPr>
          </w:p>
        </w:tc>
        <w:tc>
          <w:tcPr>
            <w:tcW w:w="5634" w:type="dxa"/>
            <w:tcBorders>
              <w:top w:val="nil"/>
            </w:tcBorders>
          </w:tcPr>
          <w:p w14:paraId="16E69E59" w14:textId="31FD25BA" w:rsidR="00F43867" w:rsidRPr="000127EF" w:rsidRDefault="00F43867" w:rsidP="00F43867">
            <w:pPr>
              <w:rPr>
                <w:rFonts w:cs="Arial"/>
                <w:b/>
                <w:szCs w:val="22"/>
                <w:lang w:val="en-US"/>
              </w:rPr>
            </w:pPr>
          </w:p>
        </w:tc>
        <w:tc>
          <w:tcPr>
            <w:tcW w:w="1534" w:type="dxa"/>
            <w:tcBorders>
              <w:top w:val="nil"/>
            </w:tcBorders>
          </w:tcPr>
          <w:p w14:paraId="28558803" w14:textId="579D1B59" w:rsidR="00F43867" w:rsidRPr="0086008A" w:rsidRDefault="00F43867" w:rsidP="00F43867">
            <w:pPr>
              <w:rPr>
                <w:rFonts w:cs="Arial"/>
                <w:b/>
                <w:bCs/>
                <w:color w:val="000000"/>
                <w:szCs w:val="22"/>
              </w:rPr>
            </w:pPr>
          </w:p>
        </w:tc>
      </w:tr>
      <w:tr w:rsidR="00F43867" w:rsidRPr="000127EF" w14:paraId="5948E66C" w14:textId="77777777" w:rsidTr="0035748C">
        <w:trPr>
          <w:jc w:val="center"/>
        </w:trPr>
        <w:tc>
          <w:tcPr>
            <w:tcW w:w="1454" w:type="dxa"/>
            <w:tcBorders>
              <w:top w:val="nil"/>
            </w:tcBorders>
          </w:tcPr>
          <w:p w14:paraId="2DBDC416" w14:textId="5B2F8548" w:rsidR="00F43867" w:rsidRPr="000127EF" w:rsidRDefault="00F43867" w:rsidP="00F43867">
            <w:pPr>
              <w:jc w:val="right"/>
              <w:rPr>
                <w:b/>
                <w:i/>
              </w:rPr>
            </w:pPr>
          </w:p>
        </w:tc>
        <w:tc>
          <w:tcPr>
            <w:tcW w:w="5634" w:type="dxa"/>
            <w:tcBorders>
              <w:top w:val="nil"/>
            </w:tcBorders>
          </w:tcPr>
          <w:p w14:paraId="64185423" w14:textId="4918F25F" w:rsidR="00F43867" w:rsidRPr="000127EF" w:rsidRDefault="00F43867" w:rsidP="00F43867">
            <w:pPr>
              <w:rPr>
                <w:b/>
              </w:rPr>
            </w:pPr>
          </w:p>
        </w:tc>
        <w:tc>
          <w:tcPr>
            <w:tcW w:w="1534" w:type="dxa"/>
            <w:tcBorders>
              <w:top w:val="nil"/>
            </w:tcBorders>
          </w:tcPr>
          <w:p w14:paraId="14609BE2" w14:textId="5D1710D5" w:rsidR="00F43867" w:rsidRPr="0086008A" w:rsidRDefault="00F43867" w:rsidP="00F43867">
            <w:pPr>
              <w:jc w:val="right"/>
              <w:rPr>
                <w:rFonts w:cs="Arial"/>
                <w:b/>
                <w:bCs/>
                <w:color w:val="000000"/>
                <w:szCs w:val="22"/>
              </w:rPr>
            </w:pPr>
          </w:p>
        </w:tc>
      </w:tr>
      <w:tr w:rsidR="00F43867" w:rsidRPr="000127EF" w14:paraId="18B0D24F" w14:textId="77777777" w:rsidTr="00A55670">
        <w:trPr>
          <w:trHeight w:hRule="exact" w:val="80"/>
          <w:jc w:val="center"/>
        </w:trPr>
        <w:tc>
          <w:tcPr>
            <w:tcW w:w="1454" w:type="dxa"/>
            <w:tcBorders>
              <w:top w:val="nil"/>
            </w:tcBorders>
          </w:tcPr>
          <w:p w14:paraId="5CBC9559" w14:textId="77777777" w:rsidR="00F43867" w:rsidRPr="000127EF" w:rsidRDefault="00F43867" w:rsidP="00F43867">
            <w:pPr>
              <w:jc w:val="right"/>
              <w:rPr>
                <w:i/>
                <w:sz w:val="12"/>
                <w:szCs w:val="12"/>
              </w:rPr>
            </w:pPr>
          </w:p>
        </w:tc>
        <w:tc>
          <w:tcPr>
            <w:tcW w:w="5634" w:type="dxa"/>
            <w:tcBorders>
              <w:top w:val="nil"/>
            </w:tcBorders>
          </w:tcPr>
          <w:p w14:paraId="49BA688C" w14:textId="77777777" w:rsidR="00F43867" w:rsidRPr="000127EF" w:rsidRDefault="00F43867" w:rsidP="00F43867">
            <w:pPr>
              <w:jc w:val="both"/>
              <w:rPr>
                <w:sz w:val="12"/>
                <w:szCs w:val="12"/>
              </w:rPr>
            </w:pPr>
          </w:p>
        </w:tc>
        <w:tc>
          <w:tcPr>
            <w:tcW w:w="1534" w:type="dxa"/>
            <w:tcBorders>
              <w:top w:val="nil"/>
            </w:tcBorders>
          </w:tcPr>
          <w:p w14:paraId="0F49AE4F" w14:textId="77777777" w:rsidR="00F43867" w:rsidRPr="0086008A" w:rsidRDefault="00F43867" w:rsidP="00F43867">
            <w:pPr>
              <w:jc w:val="right"/>
              <w:rPr>
                <w:sz w:val="12"/>
                <w:szCs w:val="12"/>
              </w:rPr>
            </w:pPr>
          </w:p>
        </w:tc>
      </w:tr>
    </w:tbl>
    <w:p w14:paraId="5280F0B9" w14:textId="77777777" w:rsidR="00756C1C" w:rsidRPr="000127EF" w:rsidRDefault="00756C1C" w:rsidP="009171A6">
      <w:pPr>
        <w:pStyle w:val="Heading1"/>
        <w:numPr>
          <w:ilvl w:val="0"/>
          <w:numId w:val="8"/>
        </w:numPr>
        <w:spacing w:after="120"/>
        <w:ind w:left="425" w:hanging="357"/>
        <w:rPr>
          <w:sz w:val="22"/>
          <w:szCs w:val="22"/>
        </w:rPr>
        <w:sectPr w:rsidR="00756C1C" w:rsidRPr="000127EF" w:rsidSect="008C78E8">
          <w:pgSz w:w="11907" w:h="16840" w:code="9"/>
          <w:pgMar w:top="1135" w:right="992" w:bottom="1440" w:left="709" w:header="567" w:footer="851" w:gutter="0"/>
          <w:paperSrc w:first="7" w:other="7"/>
          <w:cols w:space="720"/>
          <w:docGrid w:linePitch="299"/>
        </w:sectPr>
      </w:pPr>
    </w:p>
    <w:p w14:paraId="379FC2BF" w14:textId="77777777" w:rsidR="008A5ACB" w:rsidRPr="000127EF" w:rsidRDefault="008A5ACB" w:rsidP="009171A6">
      <w:pPr>
        <w:pStyle w:val="Heading1"/>
        <w:numPr>
          <w:ilvl w:val="0"/>
          <w:numId w:val="8"/>
        </w:numPr>
        <w:spacing w:after="120"/>
        <w:ind w:left="425" w:hanging="357"/>
        <w:rPr>
          <w:sz w:val="22"/>
          <w:szCs w:val="22"/>
        </w:rPr>
      </w:pPr>
      <w:r w:rsidRPr="000127EF">
        <w:rPr>
          <w:sz w:val="22"/>
          <w:szCs w:val="22"/>
        </w:rPr>
        <w:lastRenderedPageBreak/>
        <w:t>Grant Income</w:t>
      </w:r>
    </w:p>
    <w:p w14:paraId="06FEF58D" w14:textId="2C79C97A" w:rsidR="008A5ACB" w:rsidRPr="000127EF" w:rsidRDefault="008A5ACB" w:rsidP="009171A6">
      <w:pPr>
        <w:spacing w:after="120"/>
      </w:pPr>
      <w:r w:rsidRPr="000127EF">
        <w:t xml:space="preserve">In addition to the grants shown above the authority credited the following grants, contributions and donations within the Comprehensive Income and Expenditure Statement in </w:t>
      </w:r>
      <w:r w:rsidR="004F5B6B">
        <w:t>2019/20</w:t>
      </w:r>
      <w:r w:rsidR="00A05E9F" w:rsidRPr="000127EF">
        <w:tab/>
      </w:r>
      <w:r w:rsidRPr="000127EF">
        <w:t>:</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84298E" w:rsidRPr="000127EF" w14:paraId="2C0F4B7E" w14:textId="77777777" w:rsidTr="00140376">
        <w:trPr>
          <w:trHeight w:val="283"/>
          <w:jc w:val="center"/>
        </w:trPr>
        <w:tc>
          <w:tcPr>
            <w:tcW w:w="1454" w:type="dxa"/>
          </w:tcPr>
          <w:p w14:paraId="7E1EE5BB" w14:textId="4C3756B0" w:rsidR="0084298E" w:rsidRPr="000127EF" w:rsidRDefault="000A66F1" w:rsidP="001F2D6B">
            <w:pPr>
              <w:jc w:val="center"/>
              <w:rPr>
                <w:b/>
                <w:i/>
              </w:rPr>
            </w:pPr>
            <w:r>
              <w:rPr>
                <w:b/>
                <w:i/>
              </w:rPr>
              <w:t>2018/19</w:t>
            </w:r>
          </w:p>
        </w:tc>
        <w:tc>
          <w:tcPr>
            <w:tcW w:w="5634" w:type="dxa"/>
            <w:vAlign w:val="center"/>
          </w:tcPr>
          <w:p w14:paraId="02602A07" w14:textId="77777777" w:rsidR="0084298E" w:rsidRPr="000127EF" w:rsidRDefault="0084298E" w:rsidP="00140376">
            <w:pPr>
              <w:jc w:val="center"/>
              <w:rPr>
                <w:b/>
              </w:rPr>
            </w:pPr>
            <w:r w:rsidRPr="000127EF">
              <w:rPr>
                <w:b/>
              </w:rPr>
              <w:t>Credited to Services</w:t>
            </w:r>
          </w:p>
        </w:tc>
        <w:tc>
          <w:tcPr>
            <w:tcW w:w="1534" w:type="dxa"/>
          </w:tcPr>
          <w:p w14:paraId="3E390205" w14:textId="492A88DE" w:rsidR="0084298E" w:rsidRPr="006826B4" w:rsidRDefault="000A66F1" w:rsidP="00140376">
            <w:pPr>
              <w:jc w:val="center"/>
              <w:rPr>
                <w:b/>
              </w:rPr>
            </w:pPr>
            <w:r w:rsidRPr="006826B4">
              <w:rPr>
                <w:b/>
              </w:rPr>
              <w:t>2019/20</w:t>
            </w:r>
          </w:p>
        </w:tc>
      </w:tr>
      <w:tr w:rsidR="0084298E" w:rsidRPr="000127EF" w14:paraId="6E88ADE2" w14:textId="77777777" w:rsidTr="00140376">
        <w:trPr>
          <w:jc w:val="center"/>
        </w:trPr>
        <w:tc>
          <w:tcPr>
            <w:tcW w:w="1454" w:type="dxa"/>
          </w:tcPr>
          <w:p w14:paraId="61CFEACD" w14:textId="77777777" w:rsidR="0084298E" w:rsidRPr="000127EF" w:rsidRDefault="0084298E" w:rsidP="001F2D6B">
            <w:pPr>
              <w:jc w:val="center"/>
              <w:rPr>
                <w:b/>
                <w:i/>
              </w:rPr>
            </w:pPr>
            <w:r w:rsidRPr="000127EF">
              <w:rPr>
                <w:b/>
                <w:i/>
              </w:rPr>
              <w:t>£000</w:t>
            </w:r>
          </w:p>
        </w:tc>
        <w:tc>
          <w:tcPr>
            <w:tcW w:w="5634" w:type="dxa"/>
          </w:tcPr>
          <w:p w14:paraId="006FA600" w14:textId="77777777" w:rsidR="0084298E" w:rsidRPr="000127EF" w:rsidRDefault="0084298E" w:rsidP="00140376">
            <w:pPr>
              <w:jc w:val="center"/>
              <w:rPr>
                <w:b/>
              </w:rPr>
            </w:pPr>
          </w:p>
        </w:tc>
        <w:tc>
          <w:tcPr>
            <w:tcW w:w="1534" w:type="dxa"/>
            <w:shd w:val="clear" w:color="auto" w:fill="C5E0B3" w:themeFill="accent6" w:themeFillTint="66"/>
          </w:tcPr>
          <w:p w14:paraId="563FF436" w14:textId="77777777" w:rsidR="0084298E" w:rsidRPr="006826B4" w:rsidRDefault="0084298E" w:rsidP="00140376">
            <w:pPr>
              <w:jc w:val="center"/>
              <w:rPr>
                <w:b/>
              </w:rPr>
            </w:pPr>
            <w:r w:rsidRPr="006826B4">
              <w:rPr>
                <w:b/>
              </w:rPr>
              <w:t>£000</w:t>
            </w:r>
          </w:p>
        </w:tc>
      </w:tr>
      <w:tr w:rsidR="000A66F1" w:rsidRPr="000127EF" w14:paraId="0ACD016D" w14:textId="77777777" w:rsidTr="008A0E82">
        <w:trPr>
          <w:jc w:val="center"/>
        </w:trPr>
        <w:tc>
          <w:tcPr>
            <w:tcW w:w="1454" w:type="dxa"/>
            <w:tcBorders>
              <w:bottom w:val="nil"/>
            </w:tcBorders>
            <w:vAlign w:val="center"/>
          </w:tcPr>
          <w:p w14:paraId="0C839C7C" w14:textId="46B2A799" w:rsidR="000A66F1" w:rsidRPr="000A66F1" w:rsidRDefault="000A66F1" w:rsidP="000A66F1">
            <w:pPr>
              <w:jc w:val="right"/>
              <w:rPr>
                <w:rFonts w:cs="Arial"/>
                <w:i/>
                <w:color w:val="000000"/>
                <w:szCs w:val="22"/>
              </w:rPr>
            </w:pPr>
            <w:r w:rsidRPr="000A66F1">
              <w:rPr>
                <w:rFonts w:cs="Arial"/>
                <w:i/>
                <w:color w:val="000000"/>
                <w:szCs w:val="22"/>
              </w:rPr>
              <w:t xml:space="preserve">29 </w:t>
            </w:r>
          </w:p>
        </w:tc>
        <w:tc>
          <w:tcPr>
            <w:tcW w:w="5634" w:type="dxa"/>
            <w:tcBorders>
              <w:bottom w:val="nil"/>
            </w:tcBorders>
          </w:tcPr>
          <w:p w14:paraId="3016EB62" w14:textId="77777777" w:rsidR="000A66F1" w:rsidRPr="000127EF" w:rsidRDefault="000A66F1" w:rsidP="000A66F1">
            <w:pPr>
              <w:ind w:left="198" w:hanging="56"/>
              <w:rPr>
                <w:rFonts w:cs="Arial"/>
                <w:szCs w:val="22"/>
                <w:lang w:val="en-US"/>
              </w:rPr>
            </w:pPr>
            <w:r w:rsidRPr="000127EF">
              <w:rPr>
                <w:rFonts w:cs="Arial"/>
                <w:szCs w:val="22"/>
                <w:lang w:val="en-US"/>
              </w:rPr>
              <w:t>School Sport Partnership</w:t>
            </w:r>
          </w:p>
        </w:tc>
        <w:tc>
          <w:tcPr>
            <w:tcW w:w="1534" w:type="dxa"/>
            <w:tcBorders>
              <w:bottom w:val="nil"/>
            </w:tcBorders>
            <w:shd w:val="clear" w:color="auto" w:fill="C5E0B3" w:themeFill="accent6" w:themeFillTint="66"/>
            <w:vAlign w:val="center"/>
          </w:tcPr>
          <w:p w14:paraId="7A50DA20" w14:textId="26E35359" w:rsidR="000A66F1" w:rsidRPr="006826B4" w:rsidRDefault="006826B4" w:rsidP="000A66F1">
            <w:pPr>
              <w:jc w:val="right"/>
              <w:rPr>
                <w:rFonts w:cs="Arial"/>
                <w:color w:val="000000"/>
                <w:szCs w:val="22"/>
              </w:rPr>
            </w:pPr>
            <w:r w:rsidRPr="006826B4">
              <w:rPr>
                <w:rFonts w:cs="Arial"/>
                <w:color w:val="000000"/>
                <w:szCs w:val="22"/>
              </w:rPr>
              <w:t>51</w:t>
            </w:r>
          </w:p>
        </w:tc>
      </w:tr>
      <w:tr w:rsidR="000A66F1" w:rsidRPr="000127EF" w14:paraId="31CA466F" w14:textId="77777777" w:rsidTr="008A0E82">
        <w:trPr>
          <w:jc w:val="center"/>
        </w:trPr>
        <w:tc>
          <w:tcPr>
            <w:tcW w:w="1454" w:type="dxa"/>
            <w:tcBorders>
              <w:bottom w:val="nil"/>
            </w:tcBorders>
            <w:vAlign w:val="center"/>
          </w:tcPr>
          <w:p w14:paraId="75BC798D" w14:textId="48D45848" w:rsidR="000A66F1" w:rsidRPr="000A66F1" w:rsidRDefault="000A66F1" w:rsidP="000A66F1">
            <w:pPr>
              <w:jc w:val="right"/>
              <w:rPr>
                <w:rFonts w:cs="Arial"/>
                <w:i/>
                <w:color w:val="000000"/>
                <w:szCs w:val="22"/>
              </w:rPr>
            </w:pPr>
            <w:r w:rsidRPr="000A66F1">
              <w:rPr>
                <w:rFonts w:cs="Arial"/>
                <w:i/>
                <w:color w:val="000000"/>
                <w:szCs w:val="22"/>
              </w:rPr>
              <w:t xml:space="preserve">4,464 </w:t>
            </w:r>
          </w:p>
        </w:tc>
        <w:tc>
          <w:tcPr>
            <w:tcW w:w="5634" w:type="dxa"/>
            <w:tcBorders>
              <w:bottom w:val="nil"/>
            </w:tcBorders>
          </w:tcPr>
          <w:p w14:paraId="5A9016F3" w14:textId="77777777" w:rsidR="000A66F1" w:rsidRPr="000127EF" w:rsidRDefault="000A66F1" w:rsidP="000A66F1">
            <w:pPr>
              <w:ind w:left="198" w:hanging="56"/>
              <w:rPr>
                <w:rFonts w:cs="Arial"/>
                <w:szCs w:val="22"/>
                <w:lang w:val="en-US"/>
              </w:rPr>
            </w:pPr>
            <w:r w:rsidRPr="000127EF">
              <w:rPr>
                <w:rFonts w:cs="Arial"/>
                <w:szCs w:val="22"/>
                <w:lang w:val="en-US"/>
              </w:rPr>
              <w:t>Housing Benefit Subsidy</w:t>
            </w:r>
          </w:p>
        </w:tc>
        <w:tc>
          <w:tcPr>
            <w:tcW w:w="1534" w:type="dxa"/>
            <w:tcBorders>
              <w:bottom w:val="nil"/>
            </w:tcBorders>
            <w:shd w:val="clear" w:color="auto" w:fill="C5E0B3" w:themeFill="accent6" w:themeFillTint="66"/>
            <w:vAlign w:val="center"/>
          </w:tcPr>
          <w:p w14:paraId="64CD4483" w14:textId="7A014EC7" w:rsidR="000A66F1" w:rsidRPr="006826B4" w:rsidRDefault="006826B4" w:rsidP="000A66F1">
            <w:pPr>
              <w:jc w:val="right"/>
              <w:rPr>
                <w:rFonts w:cs="Arial"/>
                <w:color w:val="000000"/>
                <w:szCs w:val="22"/>
              </w:rPr>
            </w:pPr>
            <w:r w:rsidRPr="006826B4">
              <w:rPr>
                <w:rFonts w:cs="Arial"/>
                <w:color w:val="000000"/>
                <w:szCs w:val="22"/>
              </w:rPr>
              <w:t>3,996</w:t>
            </w:r>
          </w:p>
        </w:tc>
      </w:tr>
      <w:tr w:rsidR="000A66F1" w:rsidRPr="000127EF" w14:paraId="071C8FDD" w14:textId="77777777" w:rsidTr="008A0E82">
        <w:trPr>
          <w:jc w:val="center"/>
        </w:trPr>
        <w:tc>
          <w:tcPr>
            <w:tcW w:w="1454" w:type="dxa"/>
            <w:tcBorders>
              <w:bottom w:val="nil"/>
            </w:tcBorders>
            <w:vAlign w:val="center"/>
          </w:tcPr>
          <w:p w14:paraId="37FCD8EE" w14:textId="13A8F4E9" w:rsidR="000A66F1" w:rsidRPr="000A66F1" w:rsidRDefault="000A66F1" w:rsidP="000A66F1">
            <w:pPr>
              <w:jc w:val="right"/>
              <w:rPr>
                <w:rFonts w:cs="Arial"/>
                <w:i/>
                <w:color w:val="000000"/>
                <w:szCs w:val="22"/>
              </w:rPr>
            </w:pPr>
            <w:r w:rsidRPr="000A66F1">
              <w:rPr>
                <w:rFonts w:cs="Arial"/>
                <w:i/>
                <w:color w:val="000000"/>
                <w:szCs w:val="22"/>
              </w:rPr>
              <w:t>82</w:t>
            </w:r>
          </w:p>
        </w:tc>
        <w:tc>
          <w:tcPr>
            <w:tcW w:w="5634" w:type="dxa"/>
            <w:tcBorders>
              <w:bottom w:val="nil"/>
            </w:tcBorders>
          </w:tcPr>
          <w:p w14:paraId="7A1AFCAC" w14:textId="77777777" w:rsidR="000A66F1" w:rsidRPr="000127EF" w:rsidRDefault="000A66F1" w:rsidP="000A66F1">
            <w:pPr>
              <w:ind w:left="198" w:hanging="56"/>
              <w:rPr>
                <w:rFonts w:cs="Arial"/>
                <w:szCs w:val="22"/>
                <w:lang w:val="en-US"/>
              </w:rPr>
            </w:pPr>
            <w:r w:rsidRPr="000127EF">
              <w:rPr>
                <w:rFonts w:cs="Arial"/>
                <w:szCs w:val="22"/>
                <w:lang w:val="en-US"/>
              </w:rPr>
              <w:t>Benefits Administration Subsidy</w:t>
            </w:r>
          </w:p>
        </w:tc>
        <w:tc>
          <w:tcPr>
            <w:tcW w:w="1534" w:type="dxa"/>
            <w:tcBorders>
              <w:bottom w:val="nil"/>
            </w:tcBorders>
            <w:shd w:val="clear" w:color="auto" w:fill="C5E0B3" w:themeFill="accent6" w:themeFillTint="66"/>
            <w:vAlign w:val="center"/>
          </w:tcPr>
          <w:p w14:paraId="785C46FF" w14:textId="1F382A25" w:rsidR="000A66F1" w:rsidRPr="006826B4" w:rsidRDefault="006826B4" w:rsidP="000A66F1">
            <w:pPr>
              <w:jc w:val="right"/>
              <w:rPr>
                <w:rFonts w:cs="Arial"/>
                <w:color w:val="000000"/>
                <w:szCs w:val="22"/>
              </w:rPr>
            </w:pPr>
            <w:r w:rsidRPr="006826B4">
              <w:rPr>
                <w:rFonts w:cs="Arial"/>
                <w:color w:val="000000"/>
                <w:szCs w:val="22"/>
              </w:rPr>
              <w:t>53</w:t>
            </w:r>
          </w:p>
        </w:tc>
      </w:tr>
      <w:tr w:rsidR="000A66F1" w:rsidRPr="000127EF" w14:paraId="66CFE3D9" w14:textId="77777777" w:rsidTr="008A0E82">
        <w:trPr>
          <w:jc w:val="center"/>
        </w:trPr>
        <w:tc>
          <w:tcPr>
            <w:tcW w:w="1454" w:type="dxa"/>
            <w:tcBorders>
              <w:bottom w:val="nil"/>
            </w:tcBorders>
            <w:vAlign w:val="center"/>
          </w:tcPr>
          <w:p w14:paraId="6DC7C210" w14:textId="46FED584" w:rsidR="000A66F1" w:rsidRPr="000A66F1" w:rsidRDefault="000A66F1" w:rsidP="000A66F1">
            <w:pPr>
              <w:jc w:val="right"/>
              <w:rPr>
                <w:rFonts w:cs="Arial"/>
                <w:i/>
                <w:color w:val="000000"/>
                <w:szCs w:val="22"/>
              </w:rPr>
            </w:pPr>
            <w:r w:rsidRPr="000A66F1">
              <w:rPr>
                <w:rFonts w:cs="Arial"/>
                <w:i/>
                <w:color w:val="000000"/>
                <w:szCs w:val="22"/>
              </w:rPr>
              <w:t xml:space="preserve">493 </w:t>
            </w:r>
          </w:p>
        </w:tc>
        <w:tc>
          <w:tcPr>
            <w:tcW w:w="5634" w:type="dxa"/>
            <w:tcBorders>
              <w:bottom w:val="nil"/>
            </w:tcBorders>
          </w:tcPr>
          <w:p w14:paraId="236CC32B" w14:textId="77777777" w:rsidR="000A66F1" w:rsidRPr="000127EF" w:rsidRDefault="000A66F1" w:rsidP="000A66F1">
            <w:pPr>
              <w:ind w:left="198" w:hanging="56"/>
              <w:rPr>
                <w:rFonts w:cs="Arial"/>
                <w:szCs w:val="22"/>
                <w:lang w:val="en-US"/>
              </w:rPr>
            </w:pPr>
            <w:r w:rsidRPr="000127EF">
              <w:rPr>
                <w:rFonts w:cs="Arial"/>
                <w:szCs w:val="22"/>
                <w:lang w:val="en-US"/>
              </w:rPr>
              <w:t>Adult Learning (Various)</w:t>
            </w:r>
          </w:p>
        </w:tc>
        <w:tc>
          <w:tcPr>
            <w:tcW w:w="1534" w:type="dxa"/>
            <w:tcBorders>
              <w:bottom w:val="nil"/>
            </w:tcBorders>
            <w:shd w:val="clear" w:color="auto" w:fill="C5E0B3" w:themeFill="accent6" w:themeFillTint="66"/>
            <w:vAlign w:val="center"/>
          </w:tcPr>
          <w:p w14:paraId="1E881D11" w14:textId="48B59F0A" w:rsidR="000A66F1" w:rsidRPr="006826B4" w:rsidRDefault="006826B4" w:rsidP="000A66F1">
            <w:pPr>
              <w:jc w:val="right"/>
              <w:rPr>
                <w:rFonts w:cs="Arial"/>
                <w:color w:val="000000"/>
                <w:szCs w:val="22"/>
              </w:rPr>
            </w:pPr>
            <w:r w:rsidRPr="006826B4">
              <w:rPr>
                <w:rFonts w:cs="Arial"/>
                <w:color w:val="000000"/>
                <w:szCs w:val="22"/>
              </w:rPr>
              <w:t>494</w:t>
            </w:r>
          </w:p>
        </w:tc>
      </w:tr>
      <w:tr w:rsidR="000A66F1" w:rsidRPr="000127EF" w14:paraId="2023B2FC" w14:textId="77777777" w:rsidTr="008A0E82">
        <w:trPr>
          <w:jc w:val="center"/>
        </w:trPr>
        <w:tc>
          <w:tcPr>
            <w:tcW w:w="1454" w:type="dxa"/>
            <w:tcBorders>
              <w:bottom w:val="nil"/>
            </w:tcBorders>
            <w:vAlign w:val="center"/>
          </w:tcPr>
          <w:p w14:paraId="5064F165" w14:textId="1B7E2932" w:rsidR="000A66F1" w:rsidRPr="000A66F1" w:rsidRDefault="000A66F1" w:rsidP="000A66F1">
            <w:pPr>
              <w:jc w:val="right"/>
              <w:rPr>
                <w:rFonts w:cs="Arial"/>
                <w:i/>
                <w:color w:val="000000"/>
                <w:szCs w:val="22"/>
              </w:rPr>
            </w:pPr>
            <w:r w:rsidRPr="000A66F1">
              <w:rPr>
                <w:rFonts w:cs="Arial"/>
                <w:i/>
                <w:color w:val="000000"/>
                <w:szCs w:val="22"/>
              </w:rPr>
              <w:t xml:space="preserve">8,829 </w:t>
            </w:r>
          </w:p>
        </w:tc>
        <w:tc>
          <w:tcPr>
            <w:tcW w:w="5634" w:type="dxa"/>
            <w:tcBorders>
              <w:bottom w:val="nil"/>
            </w:tcBorders>
          </w:tcPr>
          <w:p w14:paraId="4B8D894E" w14:textId="77777777" w:rsidR="000A66F1" w:rsidRPr="000127EF" w:rsidRDefault="000A66F1" w:rsidP="000A66F1">
            <w:pPr>
              <w:ind w:left="198" w:hanging="56"/>
              <w:rPr>
                <w:rFonts w:cs="Arial"/>
                <w:szCs w:val="22"/>
                <w:lang w:val="en-US"/>
              </w:rPr>
            </w:pPr>
            <w:r w:rsidRPr="000127EF">
              <w:rPr>
                <w:rFonts w:cs="Arial"/>
                <w:szCs w:val="22"/>
                <w:lang w:val="en-US"/>
              </w:rPr>
              <w:t xml:space="preserve">Dedicated Schools Grant </w:t>
            </w:r>
            <w:r w:rsidRPr="000127EF">
              <w:rPr>
                <w:rFonts w:cs="Arial"/>
                <w:i/>
                <w:sz w:val="18"/>
                <w:szCs w:val="18"/>
                <w:lang w:val="en-US"/>
              </w:rPr>
              <w:t>(note 7)</w:t>
            </w:r>
          </w:p>
        </w:tc>
        <w:tc>
          <w:tcPr>
            <w:tcW w:w="1534" w:type="dxa"/>
            <w:tcBorders>
              <w:bottom w:val="nil"/>
            </w:tcBorders>
            <w:shd w:val="clear" w:color="auto" w:fill="C5E0B3" w:themeFill="accent6" w:themeFillTint="66"/>
            <w:vAlign w:val="center"/>
          </w:tcPr>
          <w:p w14:paraId="0FD95878" w14:textId="7AA3150D" w:rsidR="000A66F1" w:rsidRPr="006826B4" w:rsidRDefault="006826B4" w:rsidP="000A66F1">
            <w:pPr>
              <w:jc w:val="right"/>
              <w:rPr>
                <w:rFonts w:cs="Arial"/>
                <w:color w:val="000000"/>
                <w:szCs w:val="22"/>
              </w:rPr>
            </w:pPr>
            <w:r w:rsidRPr="006826B4">
              <w:rPr>
                <w:rFonts w:cs="Arial"/>
                <w:color w:val="000000"/>
                <w:szCs w:val="22"/>
              </w:rPr>
              <w:t>7,628</w:t>
            </w:r>
          </w:p>
        </w:tc>
      </w:tr>
      <w:tr w:rsidR="000A66F1" w:rsidRPr="000127EF" w14:paraId="6ECDB610" w14:textId="77777777" w:rsidTr="008A0E82">
        <w:trPr>
          <w:jc w:val="center"/>
        </w:trPr>
        <w:tc>
          <w:tcPr>
            <w:tcW w:w="1454" w:type="dxa"/>
            <w:tcBorders>
              <w:bottom w:val="nil"/>
            </w:tcBorders>
            <w:vAlign w:val="center"/>
          </w:tcPr>
          <w:p w14:paraId="14963AA7" w14:textId="431157DF" w:rsidR="000A66F1" w:rsidRPr="000A66F1" w:rsidRDefault="000A66F1" w:rsidP="000A66F1">
            <w:pPr>
              <w:jc w:val="right"/>
              <w:rPr>
                <w:rFonts w:cs="Arial"/>
                <w:i/>
                <w:color w:val="000000"/>
                <w:szCs w:val="22"/>
              </w:rPr>
            </w:pPr>
            <w:r w:rsidRPr="000A66F1">
              <w:rPr>
                <w:rFonts w:cs="Arial"/>
                <w:i/>
                <w:color w:val="000000"/>
                <w:szCs w:val="22"/>
              </w:rPr>
              <w:t xml:space="preserve">67 </w:t>
            </w:r>
          </w:p>
        </w:tc>
        <w:tc>
          <w:tcPr>
            <w:tcW w:w="5634" w:type="dxa"/>
            <w:tcBorders>
              <w:bottom w:val="nil"/>
            </w:tcBorders>
          </w:tcPr>
          <w:p w14:paraId="6254C89F" w14:textId="77777777" w:rsidR="000A66F1" w:rsidRPr="000127EF" w:rsidRDefault="000A66F1" w:rsidP="000A66F1">
            <w:pPr>
              <w:ind w:left="198" w:hanging="56"/>
              <w:rPr>
                <w:rFonts w:cs="Arial"/>
                <w:szCs w:val="22"/>
                <w:lang w:val="en-US"/>
              </w:rPr>
            </w:pPr>
            <w:r w:rsidRPr="000127EF">
              <w:rPr>
                <w:rFonts w:cs="Arial"/>
                <w:szCs w:val="22"/>
                <w:lang w:val="en-US"/>
              </w:rPr>
              <w:t>Unaccompanied Asylum Seeking Children</w:t>
            </w:r>
          </w:p>
        </w:tc>
        <w:tc>
          <w:tcPr>
            <w:tcW w:w="1534" w:type="dxa"/>
            <w:tcBorders>
              <w:bottom w:val="nil"/>
            </w:tcBorders>
            <w:shd w:val="clear" w:color="auto" w:fill="C5E0B3" w:themeFill="accent6" w:themeFillTint="66"/>
            <w:vAlign w:val="center"/>
          </w:tcPr>
          <w:p w14:paraId="69A15F30" w14:textId="5D6B8C6E" w:rsidR="000A66F1" w:rsidRPr="006826B4" w:rsidRDefault="006826B4" w:rsidP="000A66F1">
            <w:pPr>
              <w:jc w:val="right"/>
              <w:rPr>
                <w:rFonts w:cs="Arial"/>
                <w:color w:val="000000"/>
                <w:szCs w:val="22"/>
              </w:rPr>
            </w:pPr>
            <w:r w:rsidRPr="006826B4">
              <w:rPr>
                <w:rFonts w:cs="Arial"/>
                <w:color w:val="000000"/>
                <w:szCs w:val="22"/>
              </w:rPr>
              <w:t>132</w:t>
            </w:r>
          </w:p>
        </w:tc>
      </w:tr>
      <w:tr w:rsidR="000A66F1" w:rsidRPr="000127EF" w14:paraId="0CA92A7E" w14:textId="77777777" w:rsidTr="008A0E82">
        <w:trPr>
          <w:jc w:val="center"/>
        </w:trPr>
        <w:tc>
          <w:tcPr>
            <w:tcW w:w="1454" w:type="dxa"/>
            <w:tcBorders>
              <w:bottom w:val="nil"/>
            </w:tcBorders>
            <w:vAlign w:val="center"/>
          </w:tcPr>
          <w:p w14:paraId="64CE66CA" w14:textId="35405EA6" w:rsidR="000A66F1" w:rsidRPr="000A66F1" w:rsidRDefault="000A66F1" w:rsidP="000A66F1">
            <w:pPr>
              <w:jc w:val="right"/>
              <w:rPr>
                <w:rFonts w:cs="Arial"/>
                <w:i/>
                <w:color w:val="000000"/>
                <w:szCs w:val="22"/>
              </w:rPr>
            </w:pPr>
            <w:r w:rsidRPr="000A66F1">
              <w:rPr>
                <w:rFonts w:cs="Arial"/>
                <w:i/>
                <w:color w:val="000000"/>
                <w:szCs w:val="22"/>
              </w:rPr>
              <w:t xml:space="preserve">1,292 </w:t>
            </w:r>
          </w:p>
        </w:tc>
        <w:tc>
          <w:tcPr>
            <w:tcW w:w="5634" w:type="dxa"/>
            <w:tcBorders>
              <w:bottom w:val="nil"/>
            </w:tcBorders>
          </w:tcPr>
          <w:p w14:paraId="5D4A51A3" w14:textId="77777777" w:rsidR="000A66F1" w:rsidRPr="000127EF" w:rsidRDefault="000A66F1" w:rsidP="000A66F1">
            <w:pPr>
              <w:ind w:left="198" w:hanging="56"/>
              <w:rPr>
                <w:rFonts w:cs="Arial"/>
                <w:szCs w:val="22"/>
                <w:lang w:val="en-US"/>
              </w:rPr>
            </w:pPr>
            <w:r w:rsidRPr="000127EF">
              <w:rPr>
                <w:rFonts w:cs="Arial"/>
                <w:szCs w:val="22"/>
                <w:lang w:val="en-US"/>
              </w:rPr>
              <w:t>Public Health</w:t>
            </w:r>
          </w:p>
        </w:tc>
        <w:tc>
          <w:tcPr>
            <w:tcW w:w="1534" w:type="dxa"/>
            <w:tcBorders>
              <w:bottom w:val="nil"/>
            </w:tcBorders>
            <w:shd w:val="clear" w:color="auto" w:fill="C5E0B3" w:themeFill="accent6" w:themeFillTint="66"/>
            <w:vAlign w:val="center"/>
          </w:tcPr>
          <w:p w14:paraId="072AB688" w14:textId="01F749C8" w:rsidR="000A66F1" w:rsidRPr="006826B4" w:rsidRDefault="006826B4" w:rsidP="000A66F1">
            <w:pPr>
              <w:jc w:val="right"/>
              <w:rPr>
                <w:rFonts w:cs="Arial"/>
                <w:color w:val="000000"/>
                <w:szCs w:val="22"/>
              </w:rPr>
            </w:pPr>
            <w:r w:rsidRPr="006826B4">
              <w:rPr>
                <w:rFonts w:cs="Arial"/>
                <w:color w:val="000000"/>
                <w:szCs w:val="22"/>
              </w:rPr>
              <w:t>1,258</w:t>
            </w:r>
          </w:p>
        </w:tc>
      </w:tr>
      <w:tr w:rsidR="000A66F1" w:rsidRPr="000127EF" w14:paraId="20D18DE1" w14:textId="77777777" w:rsidTr="008A0E82">
        <w:trPr>
          <w:jc w:val="center"/>
        </w:trPr>
        <w:tc>
          <w:tcPr>
            <w:tcW w:w="1454" w:type="dxa"/>
            <w:tcBorders>
              <w:bottom w:val="nil"/>
            </w:tcBorders>
            <w:vAlign w:val="center"/>
          </w:tcPr>
          <w:p w14:paraId="50CFE842" w14:textId="05C35A9A" w:rsidR="000A66F1" w:rsidRPr="000A66F1" w:rsidRDefault="000A66F1" w:rsidP="000A66F1">
            <w:pPr>
              <w:jc w:val="right"/>
              <w:rPr>
                <w:rFonts w:cs="Arial"/>
                <w:i/>
                <w:color w:val="000000"/>
                <w:szCs w:val="22"/>
              </w:rPr>
            </w:pPr>
            <w:r w:rsidRPr="000A66F1">
              <w:rPr>
                <w:rFonts w:cs="Arial"/>
                <w:i/>
                <w:color w:val="000000"/>
                <w:szCs w:val="22"/>
              </w:rPr>
              <w:t xml:space="preserve">- </w:t>
            </w:r>
          </w:p>
        </w:tc>
        <w:tc>
          <w:tcPr>
            <w:tcW w:w="5634" w:type="dxa"/>
            <w:tcBorders>
              <w:bottom w:val="nil"/>
            </w:tcBorders>
          </w:tcPr>
          <w:p w14:paraId="530E0690" w14:textId="37BA4B06" w:rsidR="000A66F1" w:rsidRPr="000127EF" w:rsidRDefault="006826B4" w:rsidP="000A66F1">
            <w:pPr>
              <w:ind w:left="198" w:hanging="56"/>
              <w:rPr>
                <w:rFonts w:cs="Arial"/>
                <w:szCs w:val="22"/>
                <w:lang w:val="en-US"/>
              </w:rPr>
            </w:pPr>
            <w:r>
              <w:rPr>
                <w:rFonts w:cs="Arial"/>
                <w:szCs w:val="22"/>
                <w:lang w:val="en-US"/>
              </w:rPr>
              <w:t>Teachers Pension Grant</w:t>
            </w:r>
          </w:p>
        </w:tc>
        <w:tc>
          <w:tcPr>
            <w:tcW w:w="1534" w:type="dxa"/>
            <w:tcBorders>
              <w:bottom w:val="nil"/>
            </w:tcBorders>
            <w:shd w:val="clear" w:color="auto" w:fill="C5E0B3" w:themeFill="accent6" w:themeFillTint="66"/>
            <w:vAlign w:val="center"/>
          </w:tcPr>
          <w:p w14:paraId="5C1EB34E" w14:textId="753D5A0A" w:rsidR="000A66F1" w:rsidRPr="006826B4" w:rsidRDefault="00112026" w:rsidP="000A66F1">
            <w:pPr>
              <w:jc w:val="right"/>
              <w:rPr>
                <w:rFonts w:cs="Arial"/>
                <w:color w:val="000000"/>
                <w:szCs w:val="22"/>
              </w:rPr>
            </w:pPr>
            <w:r>
              <w:rPr>
                <w:rFonts w:cs="Arial"/>
                <w:color w:val="000000"/>
                <w:szCs w:val="22"/>
              </w:rPr>
              <w:t>93</w:t>
            </w:r>
          </w:p>
        </w:tc>
      </w:tr>
      <w:tr w:rsidR="006826B4" w:rsidRPr="000127EF" w14:paraId="568F63CB" w14:textId="77777777" w:rsidTr="008A0E82">
        <w:trPr>
          <w:jc w:val="center"/>
        </w:trPr>
        <w:tc>
          <w:tcPr>
            <w:tcW w:w="1454" w:type="dxa"/>
            <w:tcBorders>
              <w:top w:val="nil"/>
              <w:bottom w:val="nil"/>
            </w:tcBorders>
            <w:vAlign w:val="center"/>
          </w:tcPr>
          <w:p w14:paraId="2E82E963" w14:textId="15AB3286" w:rsidR="006826B4" w:rsidRPr="000A66F1" w:rsidRDefault="003652C1" w:rsidP="000A66F1">
            <w:pPr>
              <w:jc w:val="right"/>
              <w:rPr>
                <w:rFonts w:cs="Arial"/>
                <w:i/>
                <w:color w:val="000000"/>
                <w:szCs w:val="22"/>
              </w:rPr>
            </w:pPr>
            <w:r>
              <w:rPr>
                <w:rFonts w:cs="Arial"/>
                <w:i/>
                <w:color w:val="000000"/>
                <w:szCs w:val="22"/>
              </w:rPr>
              <w:t>4</w:t>
            </w:r>
          </w:p>
        </w:tc>
        <w:tc>
          <w:tcPr>
            <w:tcW w:w="5634" w:type="dxa"/>
            <w:tcBorders>
              <w:top w:val="nil"/>
              <w:bottom w:val="nil"/>
            </w:tcBorders>
          </w:tcPr>
          <w:p w14:paraId="6F404657" w14:textId="077394BE" w:rsidR="006826B4" w:rsidRPr="000127EF" w:rsidRDefault="006826B4" w:rsidP="000A66F1">
            <w:pPr>
              <w:ind w:left="198" w:hanging="56"/>
              <w:rPr>
                <w:rFonts w:cs="Arial"/>
                <w:szCs w:val="22"/>
                <w:lang w:val="en-US"/>
              </w:rPr>
            </w:pPr>
            <w:r>
              <w:rPr>
                <w:rFonts w:cs="Arial"/>
                <w:szCs w:val="22"/>
                <w:lang w:val="en-US"/>
              </w:rPr>
              <w:t>School Improvement and Brokering</w:t>
            </w:r>
          </w:p>
        </w:tc>
        <w:tc>
          <w:tcPr>
            <w:tcW w:w="1534" w:type="dxa"/>
            <w:tcBorders>
              <w:top w:val="nil"/>
              <w:bottom w:val="nil"/>
            </w:tcBorders>
            <w:shd w:val="clear" w:color="auto" w:fill="C5E0B3" w:themeFill="accent6" w:themeFillTint="66"/>
            <w:vAlign w:val="center"/>
          </w:tcPr>
          <w:p w14:paraId="0FD76D79" w14:textId="781DE2DC" w:rsidR="006826B4" w:rsidRPr="006826B4" w:rsidRDefault="006826B4" w:rsidP="000A66F1">
            <w:pPr>
              <w:jc w:val="right"/>
              <w:rPr>
                <w:rFonts w:cs="Arial"/>
                <w:color w:val="000000"/>
                <w:szCs w:val="22"/>
              </w:rPr>
            </w:pPr>
            <w:r w:rsidRPr="006826B4">
              <w:rPr>
                <w:rFonts w:cs="Arial"/>
                <w:color w:val="000000"/>
                <w:szCs w:val="22"/>
              </w:rPr>
              <w:t>50</w:t>
            </w:r>
          </w:p>
        </w:tc>
      </w:tr>
      <w:tr w:rsidR="006826B4" w:rsidRPr="000127EF" w14:paraId="098BF5ED" w14:textId="77777777" w:rsidTr="008A0E82">
        <w:trPr>
          <w:jc w:val="center"/>
        </w:trPr>
        <w:tc>
          <w:tcPr>
            <w:tcW w:w="1454" w:type="dxa"/>
            <w:tcBorders>
              <w:top w:val="nil"/>
              <w:bottom w:val="nil"/>
            </w:tcBorders>
            <w:vAlign w:val="center"/>
          </w:tcPr>
          <w:p w14:paraId="0BFE0A9C" w14:textId="59663C05" w:rsidR="006826B4" w:rsidRDefault="006826B4" w:rsidP="000A66F1">
            <w:pPr>
              <w:jc w:val="right"/>
              <w:rPr>
                <w:rFonts w:cs="Arial"/>
                <w:i/>
                <w:color w:val="000000"/>
                <w:szCs w:val="22"/>
              </w:rPr>
            </w:pPr>
            <w:r>
              <w:rPr>
                <w:rFonts w:cs="Arial"/>
                <w:i/>
                <w:color w:val="000000"/>
                <w:szCs w:val="22"/>
              </w:rPr>
              <w:t>-</w:t>
            </w:r>
          </w:p>
        </w:tc>
        <w:tc>
          <w:tcPr>
            <w:tcW w:w="5634" w:type="dxa"/>
            <w:tcBorders>
              <w:top w:val="nil"/>
              <w:bottom w:val="nil"/>
            </w:tcBorders>
          </w:tcPr>
          <w:p w14:paraId="2BE9C882" w14:textId="42196B20" w:rsidR="006826B4" w:rsidRPr="000127EF" w:rsidRDefault="006826B4" w:rsidP="000A66F1">
            <w:pPr>
              <w:ind w:left="198" w:hanging="56"/>
              <w:rPr>
                <w:rFonts w:cs="Arial"/>
                <w:szCs w:val="22"/>
                <w:lang w:val="en-US"/>
              </w:rPr>
            </w:pPr>
            <w:r>
              <w:rPr>
                <w:rFonts w:cs="Arial"/>
                <w:szCs w:val="22"/>
                <w:lang w:val="en-US"/>
              </w:rPr>
              <w:t>Homelessness Grant</w:t>
            </w:r>
          </w:p>
        </w:tc>
        <w:tc>
          <w:tcPr>
            <w:tcW w:w="1534" w:type="dxa"/>
            <w:tcBorders>
              <w:top w:val="nil"/>
              <w:bottom w:val="nil"/>
            </w:tcBorders>
            <w:shd w:val="clear" w:color="auto" w:fill="C5E0B3" w:themeFill="accent6" w:themeFillTint="66"/>
            <w:vAlign w:val="center"/>
          </w:tcPr>
          <w:p w14:paraId="42BDE1CB" w14:textId="642F8643" w:rsidR="006826B4" w:rsidRPr="006826B4" w:rsidRDefault="006826B4" w:rsidP="000A66F1">
            <w:pPr>
              <w:jc w:val="right"/>
              <w:rPr>
                <w:rFonts w:cs="Arial"/>
                <w:color w:val="000000"/>
                <w:szCs w:val="22"/>
              </w:rPr>
            </w:pPr>
            <w:r w:rsidRPr="006826B4">
              <w:rPr>
                <w:rFonts w:cs="Arial"/>
                <w:color w:val="000000"/>
                <w:szCs w:val="22"/>
              </w:rPr>
              <w:t>85</w:t>
            </w:r>
          </w:p>
        </w:tc>
      </w:tr>
      <w:tr w:rsidR="006826B4" w:rsidRPr="000127EF" w14:paraId="4104A9EC" w14:textId="77777777" w:rsidTr="008A0E82">
        <w:trPr>
          <w:jc w:val="center"/>
        </w:trPr>
        <w:tc>
          <w:tcPr>
            <w:tcW w:w="1454" w:type="dxa"/>
            <w:tcBorders>
              <w:top w:val="nil"/>
              <w:bottom w:val="nil"/>
            </w:tcBorders>
            <w:vAlign w:val="center"/>
          </w:tcPr>
          <w:p w14:paraId="55F43C5C" w14:textId="2D9507B6" w:rsidR="006826B4" w:rsidRPr="000A66F1" w:rsidRDefault="006826B4" w:rsidP="000A66F1">
            <w:pPr>
              <w:jc w:val="right"/>
              <w:rPr>
                <w:rFonts w:cs="Arial"/>
                <w:i/>
                <w:color w:val="000000"/>
                <w:szCs w:val="22"/>
              </w:rPr>
            </w:pPr>
            <w:r>
              <w:rPr>
                <w:rFonts w:cs="Arial"/>
                <w:i/>
                <w:color w:val="000000"/>
                <w:szCs w:val="22"/>
              </w:rPr>
              <w:t>-</w:t>
            </w:r>
          </w:p>
        </w:tc>
        <w:tc>
          <w:tcPr>
            <w:tcW w:w="5634" w:type="dxa"/>
            <w:tcBorders>
              <w:top w:val="nil"/>
              <w:bottom w:val="nil"/>
            </w:tcBorders>
          </w:tcPr>
          <w:p w14:paraId="15BC788E" w14:textId="125256B0" w:rsidR="006826B4" w:rsidRPr="000127EF" w:rsidRDefault="006826B4" w:rsidP="000A66F1">
            <w:pPr>
              <w:ind w:left="198" w:hanging="56"/>
              <w:rPr>
                <w:rFonts w:cs="Arial"/>
                <w:szCs w:val="22"/>
                <w:lang w:val="en-US"/>
              </w:rPr>
            </w:pPr>
            <w:r>
              <w:rPr>
                <w:rFonts w:cs="Arial"/>
                <w:szCs w:val="22"/>
                <w:lang w:val="en-US"/>
              </w:rPr>
              <w:t>Garden Village Funding</w:t>
            </w:r>
          </w:p>
        </w:tc>
        <w:tc>
          <w:tcPr>
            <w:tcW w:w="1534" w:type="dxa"/>
            <w:tcBorders>
              <w:top w:val="nil"/>
              <w:bottom w:val="nil"/>
            </w:tcBorders>
            <w:shd w:val="clear" w:color="auto" w:fill="C5E0B3" w:themeFill="accent6" w:themeFillTint="66"/>
            <w:vAlign w:val="center"/>
          </w:tcPr>
          <w:p w14:paraId="7A699EF9" w14:textId="7BD44ECA" w:rsidR="006826B4" w:rsidRPr="006826B4" w:rsidRDefault="006826B4" w:rsidP="000A66F1">
            <w:pPr>
              <w:jc w:val="right"/>
              <w:rPr>
                <w:rFonts w:cs="Arial"/>
                <w:color w:val="000000"/>
                <w:szCs w:val="22"/>
              </w:rPr>
            </w:pPr>
            <w:r w:rsidRPr="006826B4">
              <w:rPr>
                <w:rFonts w:cs="Arial"/>
                <w:color w:val="000000"/>
                <w:szCs w:val="22"/>
              </w:rPr>
              <w:t>91</w:t>
            </w:r>
          </w:p>
        </w:tc>
      </w:tr>
      <w:tr w:rsidR="000A66F1" w:rsidRPr="000127EF" w14:paraId="0D4FEB34" w14:textId="77777777" w:rsidTr="008A0E82">
        <w:trPr>
          <w:jc w:val="center"/>
        </w:trPr>
        <w:tc>
          <w:tcPr>
            <w:tcW w:w="1454" w:type="dxa"/>
            <w:tcBorders>
              <w:top w:val="nil"/>
              <w:bottom w:val="nil"/>
            </w:tcBorders>
            <w:vAlign w:val="center"/>
          </w:tcPr>
          <w:p w14:paraId="223CC2B6" w14:textId="2F3D2197" w:rsidR="000A66F1" w:rsidRPr="000A66F1" w:rsidRDefault="000A66F1" w:rsidP="000A66F1">
            <w:pPr>
              <w:jc w:val="right"/>
              <w:rPr>
                <w:rFonts w:cs="Arial"/>
                <w:i/>
                <w:color w:val="000000"/>
                <w:szCs w:val="22"/>
              </w:rPr>
            </w:pPr>
            <w:r w:rsidRPr="000A66F1">
              <w:rPr>
                <w:rFonts w:cs="Arial"/>
                <w:i/>
                <w:color w:val="000000"/>
                <w:szCs w:val="22"/>
              </w:rPr>
              <w:t xml:space="preserve">58 </w:t>
            </w:r>
          </w:p>
        </w:tc>
        <w:tc>
          <w:tcPr>
            <w:tcW w:w="5634" w:type="dxa"/>
            <w:tcBorders>
              <w:top w:val="nil"/>
              <w:bottom w:val="nil"/>
            </w:tcBorders>
          </w:tcPr>
          <w:p w14:paraId="10068F05" w14:textId="77777777" w:rsidR="000A66F1" w:rsidRPr="000127EF" w:rsidRDefault="000A66F1" w:rsidP="000A66F1">
            <w:pPr>
              <w:ind w:left="198" w:hanging="56"/>
              <w:rPr>
                <w:rFonts w:cs="Arial"/>
                <w:szCs w:val="22"/>
                <w:lang w:val="en-US"/>
              </w:rPr>
            </w:pPr>
            <w:r w:rsidRPr="000127EF">
              <w:rPr>
                <w:rFonts w:cs="Arial"/>
                <w:szCs w:val="22"/>
                <w:lang w:val="en-US"/>
              </w:rPr>
              <w:t>Revenues</w:t>
            </w:r>
          </w:p>
        </w:tc>
        <w:tc>
          <w:tcPr>
            <w:tcW w:w="1534" w:type="dxa"/>
            <w:tcBorders>
              <w:top w:val="nil"/>
              <w:bottom w:val="nil"/>
            </w:tcBorders>
            <w:shd w:val="clear" w:color="auto" w:fill="C5E0B3" w:themeFill="accent6" w:themeFillTint="66"/>
            <w:vAlign w:val="center"/>
          </w:tcPr>
          <w:p w14:paraId="66A9708E" w14:textId="06D62DC4" w:rsidR="000A66F1" w:rsidRPr="006826B4" w:rsidRDefault="006826B4" w:rsidP="000A66F1">
            <w:pPr>
              <w:jc w:val="right"/>
              <w:rPr>
                <w:rFonts w:cs="Arial"/>
                <w:color w:val="000000"/>
                <w:szCs w:val="22"/>
              </w:rPr>
            </w:pPr>
            <w:r w:rsidRPr="006826B4">
              <w:rPr>
                <w:rFonts w:cs="Arial"/>
                <w:color w:val="000000"/>
                <w:szCs w:val="22"/>
              </w:rPr>
              <w:t>61</w:t>
            </w:r>
          </w:p>
        </w:tc>
      </w:tr>
      <w:tr w:rsidR="000A66F1" w:rsidRPr="000127EF" w14:paraId="20028A9F" w14:textId="77777777" w:rsidTr="008A0E82">
        <w:trPr>
          <w:jc w:val="center"/>
        </w:trPr>
        <w:tc>
          <w:tcPr>
            <w:tcW w:w="1454" w:type="dxa"/>
            <w:tcBorders>
              <w:top w:val="nil"/>
              <w:bottom w:val="nil"/>
            </w:tcBorders>
            <w:vAlign w:val="center"/>
          </w:tcPr>
          <w:p w14:paraId="4DFEE7C8" w14:textId="110B9A37" w:rsidR="000A66F1" w:rsidRPr="000A66F1" w:rsidRDefault="000A66F1" w:rsidP="000A66F1">
            <w:pPr>
              <w:jc w:val="right"/>
              <w:rPr>
                <w:rFonts w:cs="Arial"/>
                <w:i/>
                <w:color w:val="000000"/>
                <w:szCs w:val="22"/>
              </w:rPr>
            </w:pPr>
            <w:r w:rsidRPr="000A66F1">
              <w:rPr>
                <w:rFonts w:cs="Arial"/>
                <w:i/>
                <w:color w:val="000000"/>
                <w:szCs w:val="22"/>
              </w:rPr>
              <w:t xml:space="preserve">- </w:t>
            </w:r>
          </w:p>
        </w:tc>
        <w:tc>
          <w:tcPr>
            <w:tcW w:w="5634" w:type="dxa"/>
            <w:tcBorders>
              <w:top w:val="nil"/>
              <w:bottom w:val="nil"/>
            </w:tcBorders>
          </w:tcPr>
          <w:p w14:paraId="470EBED8" w14:textId="1ABA672C" w:rsidR="000A66F1" w:rsidRPr="000127EF" w:rsidRDefault="000A66F1" w:rsidP="000A66F1">
            <w:pPr>
              <w:ind w:left="198" w:hanging="56"/>
              <w:rPr>
                <w:rFonts w:cs="Arial"/>
                <w:szCs w:val="22"/>
                <w:lang w:val="en-US"/>
              </w:rPr>
            </w:pPr>
            <w:r w:rsidRPr="000127EF">
              <w:rPr>
                <w:rFonts w:cs="Arial"/>
                <w:szCs w:val="22"/>
                <w:lang w:val="en-US"/>
              </w:rPr>
              <w:t>SEND Grant</w:t>
            </w:r>
          </w:p>
        </w:tc>
        <w:tc>
          <w:tcPr>
            <w:tcW w:w="1534" w:type="dxa"/>
            <w:tcBorders>
              <w:top w:val="nil"/>
              <w:bottom w:val="nil"/>
            </w:tcBorders>
            <w:shd w:val="clear" w:color="auto" w:fill="C5E0B3" w:themeFill="accent6" w:themeFillTint="66"/>
            <w:vAlign w:val="center"/>
          </w:tcPr>
          <w:p w14:paraId="1BBC407C" w14:textId="61A65CD8" w:rsidR="000A66F1" w:rsidRPr="006826B4" w:rsidRDefault="006826B4" w:rsidP="000A66F1">
            <w:pPr>
              <w:jc w:val="right"/>
              <w:rPr>
                <w:rFonts w:cs="Arial"/>
                <w:color w:val="000000"/>
                <w:szCs w:val="22"/>
              </w:rPr>
            </w:pPr>
            <w:r w:rsidRPr="006826B4">
              <w:rPr>
                <w:rFonts w:cs="Arial"/>
                <w:color w:val="000000"/>
                <w:szCs w:val="22"/>
              </w:rPr>
              <w:t>92</w:t>
            </w:r>
          </w:p>
        </w:tc>
      </w:tr>
      <w:tr w:rsidR="000A66F1" w:rsidRPr="000127EF" w14:paraId="64AB3C6D" w14:textId="77777777" w:rsidTr="008A0E82">
        <w:trPr>
          <w:jc w:val="center"/>
        </w:trPr>
        <w:tc>
          <w:tcPr>
            <w:tcW w:w="1454" w:type="dxa"/>
            <w:tcBorders>
              <w:top w:val="nil"/>
              <w:bottom w:val="nil"/>
            </w:tcBorders>
            <w:vAlign w:val="center"/>
          </w:tcPr>
          <w:p w14:paraId="1C8CCABC" w14:textId="69364FAE" w:rsidR="000A66F1" w:rsidRPr="000A66F1" w:rsidRDefault="000A66F1" w:rsidP="000A66F1">
            <w:pPr>
              <w:jc w:val="right"/>
              <w:rPr>
                <w:rFonts w:cs="Arial"/>
                <w:i/>
                <w:color w:val="000000"/>
                <w:szCs w:val="22"/>
              </w:rPr>
            </w:pPr>
            <w:r w:rsidRPr="000A66F1">
              <w:rPr>
                <w:rFonts w:cs="Arial"/>
                <w:i/>
                <w:color w:val="000000"/>
                <w:szCs w:val="22"/>
              </w:rPr>
              <w:t xml:space="preserve">133 </w:t>
            </w:r>
          </w:p>
        </w:tc>
        <w:tc>
          <w:tcPr>
            <w:tcW w:w="5634" w:type="dxa"/>
            <w:tcBorders>
              <w:top w:val="nil"/>
              <w:bottom w:val="nil"/>
            </w:tcBorders>
          </w:tcPr>
          <w:p w14:paraId="604A4106" w14:textId="1A4318DF" w:rsidR="000A66F1" w:rsidRPr="000127EF" w:rsidRDefault="000A66F1" w:rsidP="000A66F1">
            <w:pPr>
              <w:ind w:left="198" w:hanging="56"/>
              <w:rPr>
                <w:rFonts w:cs="Arial"/>
                <w:szCs w:val="22"/>
                <w:lang w:val="en-US"/>
              </w:rPr>
            </w:pPr>
            <w:r w:rsidRPr="000127EF">
              <w:rPr>
                <w:rFonts w:cs="Arial"/>
                <w:szCs w:val="22"/>
                <w:lang w:val="en-US"/>
              </w:rPr>
              <w:t xml:space="preserve">One Public Estate Funding </w:t>
            </w:r>
          </w:p>
        </w:tc>
        <w:tc>
          <w:tcPr>
            <w:tcW w:w="1534" w:type="dxa"/>
            <w:tcBorders>
              <w:top w:val="nil"/>
              <w:bottom w:val="nil"/>
            </w:tcBorders>
            <w:shd w:val="clear" w:color="auto" w:fill="C5E0B3" w:themeFill="accent6" w:themeFillTint="66"/>
            <w:vAlign w:val="center"/>
          </w:tcPr>
          <w:p w14:paraId="1BAD5BE6" w14:textId="4644B47C" w:rsidR="000A66F1" w:rsidRPr="006826B4" w:rsidRDefault="006826B4" w:rsidP="000A66F1">
            <w:pPr>
              <w:jc w:val="right"/>
              <w:rPr>
                <w:rFonts w:cs="Arial"/>
                <w:color w:val="000000"/>
                <w:szCs w:val="22"/>
              </w:rPr>
            </w:pPr>
            <w:r w:rsidRPr="006826B4">
              <w:rPr>
                <w:rFonts w:cs="Arial"/>
                <w:color w:val="000000"/>
                <w:szCs w:val="22"/>
              </w:rPr>
              <w:t>-</w:t>
            </w:r>
          </w:p>
        </w:tc>
      </w:tr>
      <w:tr w:rsidR="000A66F1" w:rsidRPr="000127EF" w14:paraId="34EE2896" w14:textId="77777777" w:rsidTr="008A0E82">
        <w:trPr>
          <w:jc w:val="center"/>
        </w:trPr>
        <w:tc>
          <w:tcPr>
            <w:tcW w:w="1454" w:type="dxa"/>
            <w:tcBorders>
              <w:top w:val="nil"/>
              <w:bottom w:val="nil"/>
            </w:tcBorders>
            <w:vAlign w:val="center"/>
          </w:tcPr>
          <w:p w14:paraId="58C8657B" w14:textId="654C3966" w:rsidR="000A66F1" w:rsidRPr="000A66F1" w:rsidRDefault="000A66F1" w:rsidP="000A66F1">
            <w:pPr>
              <w:jc w:val="right"/>
              <w:rPr>
                <w:rFonts w:cs="Arial"/>
                <w:i/>
                <w:color w:val="000000"/>
                <w:szCs w:val="22"/>
              </w:rPr>
            </w:pPr>
            <w:r w:rsidRPr="000A66F1">
              <w:rPr>
                <w:rFonts w:cs="Arial"/>
                <w:i/>
                <w:color w:val="000000"/>
                <w:szCs w:val="22"/>
              </w:rPr>
              <w:t>34</w:t>
            </w:r>
          </w:p>
        </w:tc>
        <w:tc>
          <w:tcPr>
            <w:tcW w:w="5634" w:type="dxa"/>
            <w:tcBorders>
              <w:top w:val="nil"/>
              <w:bottom w:val="nil"/>
            </w:tcBorders>
          </w:tcPr>
          <w:p w14:paraId="1AE9F721" w14:textId="1A32219A" w:rsidR="000A66F1" w:rsidRPr="000127EF" w:rsidRDefault="000A66F1" w:rsidP="000A66F1">
            <w:pPr>
              <w:ind w:left="198" w:hanging="56"/>
              <w:rPr>
                <w:rFonts w:cs="Arial"/>
                <w:szCs w:val="22"/>
                <w:lang w:val="en-US"/>
              </w:rPr>
            </w:pPr>
            <w:r w:rsidRPr="000127EF">
              <w:rPr>
                <w:rFonts w:cs="Arial"/>
                <w:szCs w:val="22"/>
                <w:lang w:val="en-US"/>
              </w:rPr>
              <w:t>Armed Forces Covenant</w:t>
            </w:r>
          </w:p>
        </w:tc>
        <w:tc>
          <w:tcPr>
            <w:tcW w:w="1534" w:type="dxa"/>
            <w:tcBorders>
              <w:top w:val="nil"/>
              <w:bottom w:val="nil"/>
            </w:tcBorders>
            <w:shd w:val="clear" w:color="auto" w:fill="C5E0B3" w:themeFill="accent6" w:themeFillTint="66"/>
            <w:vAlign w:val="center"/>
          </w:tcPr>
          <w:p w14:paraId="1CBA5F7E" w14:textId="54CCC46C" w:rsidR="000A66F1" w:rsidRPr="006826B4" w:rsidRDefault="006826B4" w:rsidP="000A66F1">
            <w:pPr>
              <w:jc w:val="right"/>
              <w:rPr>
                <w:rFonts w:cs="Arial"/>
                <w:color w:val="000000"/>
                <w:szCs w:val="22"/>
              </w:rPr>
            </w:pPr>
            <w:r w:rsidRPr="006826B4">
              <w:rPr>
                <w:rFonts w:cs="Arial"/>
                <w:color w:val="000000"/>
                <w:szCs w:val="22"/>
              </w:rPr>
              <w:t>41</w:t>
            </w:r>
          </w:p>
        </w:tc>
      </w:tr>
      <w:tr w:rsidR="000A66F1" w:rsidRPr="000127EF" w14:paraId="6F6F4189" w14:textId="77777777" w:rsidTr="008A0E82">
        <w:trPr>
          <w:jc w:val="center"/>
        </w:trPr>
        <w:tc>
          <w:tcPr>
            <w:tcW w:w="1454" w:type="dxa"/>
            <w:tcBorders>
              <w:top w:val="nil"/>
              <w:bottom w:val="nil"/>
            </w:tcBorders>
            <w:vAlign w:val="center"/>
          </w:tcPr>
          <w:p w14:paraId="2F97C4BB" w14:textId="7C4F2516" w:rsidR="000A66F1" w:rsidRPr="000A66F1" w:rsidRDefault="000A66F1" w:rsidP="000A66F1">
            <w:pPr>
              <w:jc w:val="right"/>
              <w:rPr>
                <w:rFonts w:cs="Arial"/>
                <w:i/>
                <w:color w:val="000000"/>
                <w:szCs w:val="22"/>
              </w:rPr>
            </w:pPr>
            <w:r w:rsidRPr="000A66F1">
              <w:rPr>
                <w:rFonts w:cs="Arial"/>
                <w:i/>
                <w:color w:val="000000"/>
                <w:szCs w:val="22"/>
              </w:rPr>
              <w:t>69</w:t>
            </w:r>
          </w:p>
        </w:tc>
        <w:tc>
          <w:tcPr>
            <w:tcW w:w="5634" w:type="dxa"/>
            <w:tcBorders>
              <w:top w:val="nil"/>
              <w:bottom w:val="nil"/>
            </w:tcBorders>
          </w:tcPr>
          <w:p w14:paraId="6C630349" w14:textId="768FFD2F" w:rsidR="000A66F1" w:rsidRPr="000127EF" w:rsidRDefault="000A66F1" w:rsidP="000A66F1">
            <w:pPr>
              <w:ind w:left="198" w:hanging="56"/>
              <w:rPr>
                <w:rFonts w:cs="Arial"/>
                <w:szCs w:val="22"/>
                <w:lang w:val="en-US"/>
              </w:rPr>
            </w:pPr>
            <w:r w:rsidRPr="000127EF">
              <w:rPr>
                <w:rFonts w:cs="Arial"/>
                <w:szCs w:val="22"/>
                <w:lang w:val="en-US"/>
              </w:rPr>
              <w:t>Bus Service Operator</w:t>
            </w:r>
          </w:p>
        </w:tc>
        <w:tc>
          <w:tcPr>
            <w:tcW w:w="1534" w:type="dxa"/>
            <w:tcBorders>
              <w:top w:val="nil"/>
              <w:bottom w:val="nil"/>
            </w:tcBorders>
            <w:shd w:val="clear" w:color="auto" w:fill="C5E0B3" w:themeFill="accent6" w:themeFillTint="66"/>
            <w:vAlign w:val="center"/>
          </w:tcPr>
          <w:p w14:paraId="2D82010E" w14:textId="4E985919" w:rsidR="000A66F1" w:rsidRPr="006826B4" w:rsidRDefault="006826B4" w:rsidP="000A66F1">
            <w:pPr>
              <w:jc w:val="right"/>
              <w:rPr>
                <w:rFonts w:cs="Arial"/>
                <w:color w:val="000000"/>
                <w:szCs w:val="22"/>
              </w:rPr>
            </w:pPr>
            <w:r w:rsidRPr="006826B4">
              <w:rPr>
                <w:rFonts w:cs="Arial"/>
                <w:color w:val="000000"/>
                <w:szCs w:val="22"/>
              </w:rPr>
              <w:t>69</w:t>
            </w:r>
          </w:p>
        </w:tc>
      </w:tr>
      <w:tr w:rsidR="000A66F1" w:rsidRPr="000127EF" w14:paraId="066680BB" w14:textId="77777777" w:rsidTr="008A0E82">
        <w:trPr>
          <w:jc w:val="center"/>
        </w:trPr>
        <w:tc>
          <w:tcPr>
            <w:tcW w:w="1454" w:type="dxa"/>
            <w:tcBorders>
              <w:top w:val="nil"/>
              <w:bottom w:val="nil"/>
            </w:tcBorders>
            <w:vAlign w:val="center"/>
          </w:tcPr>
          <w:p w14:paraId="2E4DC0E5" w14:textId="7DC2E415" w:rsidR="000A66F1" w:rsidRPr="000A66F1" w:rsidRDefault="000A66F1" w:rsidP="000A66F1">
            <w:pPr>
              <w:jc w:val="right"/>
              <w:rPr>
                <w:rFonts w:cs="Arial"/>
                <w:i/>
                <w:color w:val="000000"/>
                <w:szCs w:val="22"/>
              </w:rPr>
            </w:pPr>
            <w:r w:rsidRPr="000A66F1">
              <w:rPr>
                <w:rFonts w:cs="Arial"/>
                <w:i/>
                <w:color w:val="000000"/>
                <w:szCs w:val="22"/>
              </w:rPr>
              <w:t>83</w:t>
            </w:r>
          </w:p>
        </w:tc>
        <w:tc>
          <w:tcPr>
            <w:tcW w:w="5634" w:type="dxa"/>
            <w:tcBorders>
              <w:top w:val="nil"/>
              <w:bottom w:val="nil"/>
            </w:tcBorders>
          </w:tcPr>
          <w:p w14:paraId="77EDCDF5" w14:textId="256543E7" w:rsidR="000A66F1" w:rsidRPr="000127EF" w:rsidRDefault="000A66F1" w:rsidP="000A66F1">
            <w:pPr>
              <w:ind w:left="198" w:hanging="56"/>
              <w:rPr>
                <w:rFonts w:cs="Arial"/>
                <w:szCs w:val="22"/>
                <w:lang w:val="en-US"/>
              </w:rPr>
            </w:pPr>
            <w:r w:rsidRPr="000127EF">
              <w:rPr>
                <w:rFonts w:cs="Arial"/>
                <w:szCs w:val="22"/>
                <w:lang w:val="en-US"/>
              </w:rPr>
              <w:t>Children Looked After</w:t>
            </w:r>
          </w:p>
        </w:tc>
        <w:tc>
          <w:tcPr>
            <w:tcW w:w="1534" w:type="dxa"/>
            <w:tcBorders>
              <w:top w:val="nil"/>
              <w:bottom w:val="nil"/>
            </w:tcBorders>
            <w:shd w:val="clear" w:color="auto" w:fill="C5E0B3" w:themeFill="accent6" w:themeFillTint="66"/>
            <w:vAlign w:val="center"/>
          </w:tcPr>
          <w:p w14:paraId="790315C1" w14:textId="459EE335" w:rsidR="000A66F1" w:rsidRPr="006826B4" w:rsidRDefault="006826B4" w:rsidP="000A66F1">
            <w:pPr>
              <w:jc w:val="right"/>
              <w:rPr>
                <w:rFonts w:cs="Arial"/>
                <w:color w:val="000000"/>
                <w:szCs w:val="22"/>
              </w:rPr>
            </w:pPr>
            <w:r w:rsidRPr="006826B4">
              <w:rPr>
                <w:rFonts w:cs="Arial"/>
                <w:color w:val="000000"/>
                <w:szCs w:val="22"/>
              </w:rPr>
              <w:t>-</w:t>
            </w:r>
          </w:p>
        </w:tc>
      </w:tr>
      <w:tr w:rsidR="000A66F1" w:rsidRPr="000127EF" w14:paraId="2D89B282" w14:textId="77777777" w:rsidTr="008A0E82">
        <w:trPr>
          <w:jc w:val="center"/>
        </w:trPr>
        <w:tc>
          <w:tcPr>
            <w:tcW w:w="1454" w:type="dxa"/>
            <w:tcBorders>
              <w:top w:val="nil"/>
              <w:bottom w:val="nil"/>
            </w:tcBorders>
            <w:vAlign w:val="center"/>
          </w:tcPr>
          <w:p w14:paraId="29C82758" w14:textId="13CCD304" w:rsidR="000A66F1" w:rsidRPr="000A66F1" w:rsidRDefault="000A66F1" w:rsidP="000A66F1">
            <w:pPr>
              <w:jc w:val="right"/>
              <w:rPr>
                <w:rFonts w:cs="Arial"/>
                <w:i/>
                <w:color w:val="000000"/>
                <w:szCs w:val="22"/>
              </w:rPr>
            </w:pPr>
            <w:r w:rsidRPr="000A66F1">
              <w:rPr>
                <w:rFonts w:cs="Arial"/>
                <w:i/>
                <w:color w:val="000000"/>
                <w:szCs w:val="22"/>
              </w:rPr>
              <w:t>51</w:t>
            </w:r>
          </w:p>
        </w:tc>
        <w:tc>
          <w:tcPr>
            <w:tcW w:w="5634" w:type="dxa"/>
            <w:tcBorders>
              <w:top w:val="nil"/>
              <w:bottom w:val="nil"/>
            </w:tcBorders>
          </w:tcPr>
          <w:p w14:paraId="7E9A1542" w14:textId="1691F63A" w:rsidR="000A66F1" w:rsidRPr="000127EF" w:rsidRDefault="000A66F1" w:rsidP="000A66F1">
            <w:pPr>
              <w:ind w:left="198" w:hanging="56"/>
              <w:rPr>
                <w:rFonts w:cs="Arial"/>
                <w:szCs w:val="22"/>
                <w:lang w:val="en-US"/>
              </w:rPr>
            </w:pPr>
            <w:r w:rsidRPr="000127EF">
              <w:rPr>
                <w:rFonts w:cs="Arial"/>
                <w:szCs w:val="22"/>
                <w:lang w:val="en-US"/>
              </w:rPr>
              <w:t>Elections</w:t>
            </w:r>
          </w:p>
        </w:tc>
        <w:tc>
          <w:tcPr>
            <w:tcW w:w="1534" w:type="dxa"/>
            <w:tcBorders>
              <w:top w:val="nil"/>
              <w:bottom w:val="nil"/>
            </w:tcBorders>
            <w:shd w:val="clear" w:color="auto" w:fill="C5E0B3" w:themeFill="accent6" w:themeFillTint="66"/>
            <w:vAlign w:val="center"/>
          </w:tcPr>
          <w:p w14:paraId="782E9150" w14:textId="7B7F3AE6" w:rsidR="000A66F1" w:rsidRPr="006826B4" w:rsidRDefault="006826B4" w:rsidP="000A66F1">
            <w:pPr>
              <w:jc w:val="right"/>
              <w:rPr>
                <w:rFonts w:cs="Arial"/>
                <w:color w:val="000000"/>
                <w:szCs w:val="22"/>
              </w:rPr>
            </w:pPr>
            <w:r w:rsidRPr="006826B4">
              <w:rPr>
                <w:rFonts w:cs="Arial"/>
                <w:color w:val="000000"/>
                <w:szCs w:val="22"/>
              </w:rPr>
              <w:t>98</w:t>
            </w:r>
          </w:p>
        </w:tc>
      </w:tr>
      <w:tr w:rsidR="000A66F1" w:rsidRPr="000127EF" w14:paraId="0D92D30A" w14:textId="77777777" w:rsidTr="008A0E82">
        <w:trPr>
          <w:jc w:val="center"/>
        </w:trPr>
        <w:tc>
          <w:tcPr>
            <w:tcW w:w="1454" w:type="dxa"/>
            <w:tcBorders>
              <w:top w:val="nil"/>
              <w:bottom w:val="nil"/>
            </w:tcBorders>
            <w:vAlign w:val="center"/>
          </w:tcPr>
          <w:p w14:paraId="183A1271" w14:textId="1C247DC3" w:rsidR="000A66F1" w:rsidRPr="000A66F1" w:rsidRDefault="000A66F1" w:rsidP="000A66F1">
            <w:pPr>
              <w:jc w:val="right"/>
              <w:rPr>
                <w:rFonts w:cs="Arial"/>
                <w:i/>
                <w:color w:val="000000"/>
                <w:szCs w:val="22"/>
              </w:rPr>
            </w:pPr>
            <w:r w:rsidRPr="000A66F1">
              <w:rPr>
                <w:rFonts w:cs="Arial"/>
                <w:i/>
                <w:color w:val="000000"/>
                <w:szCs w:val="22"/>
              </w:rPr>
              <w:t xml:space="preserve">244 </w:t>
            </w:r>
          </w:p>
        </w:tc>
        <w:tc>
          <w:tcPr>
            <w:tcW w:w="5634" w:type="dxa"/>
            <w:tcBorders>
              <w:top w:val="nil"/>
              <w:bottom w:val="nil"/>
            </w:tcBorders>
          </w:tcPr>
          <w:p w14:paraId="06E241A9" w14:textId="77777777" w:rsidR="000A66F1" w:rsidRPr="000127EF" w:rsidRDefault="000A66F1" w:rsidP="000A66F1">
            <w:pPr>
              <w:ind w:left="198" w:hanging="56"/>
              <w:rPr>
                <w:rFonts w:cs="Arial"/>
                <w:szCs w:val="22"/>
                <w:lang w:val="en-US"/>
              </w:rPr>
            </w:pPr>
            <w:r w:rsidRPr="000127EF">
              <w:rPr>
                <w:rFonts w:cs="Arial"/>
                <w:szCs w:val="22"/>
                <w:lang w:val="en-US"/>
              </w:rPr>
              <w:t>Pupil Premium</w:t>
            </w:r>
          </w:p>
        </w:tc>
        <w:tc>
          <w:tcPr>
            <w:tcW w:w="1534" w:type="dxa"/>
            <w:tcBorders>
              <w:top w:val="nil"/>
              <w:bottom w:val="nil"/>
            </w:tcBorders>
            <w:shd w:val="clear" w:color="auto" w:fill="C5E0B3" w:themeFill="accent6" w:themeFillTint="66"/>
            <w:vAlign w:val="center"/>
          </w:tcPr>
          <w:p w14:paraId="30FDA43F" w14:textId="5B0370CE" w:rsidR="000A66F1" w:rsidRPr="006826B4" w:rsidRDefault="006826B4" w:rsidP="000A66F1">
            <w:pPr>
              <w:jc w:val="right"/>
              <w:rPr>
                <w:rFonts w:cs="Arial"/>
                <w:color w:val="000000"/>
                <w:szCs w:val="22"/>
              </w:rPr>
            </w:pPr>
            <w:r w:rsidRPr="006826B4">
              <w:rPr>
                <w:rFonts w:cs="Arial"/>
                <w:color w:val="000000"/>
                <w:szCs w:val="22"/>
              </w:rPr>
              <w:t>168</w:t>
            </w:r>
          </w:p>
        </w:tc>
      </w:tr>
      <w:tr w:rsidR="000A66F1" w:rsidRPr="000127EF" w14:paraId="6715BCFC" w14:textId="77777777" w:rsidTr="008A0E82">
        <w:trPr>
          <w:jc w:val="center"/>
        </w:trPr>
        <w:tc>
          <w:tcPr>
            <w:tcW w:w="1454" w:type="dxa"/>
            <w:tcBorders>
              <w:top w:val="nil"/>
              <w:bottom w:val="nil"/>
            </w:tcBorders>
            <w:vAlign w:val="center"/>
          </w:tcPr>
          <w:p w14:paraId="54B6EB6B" w14:textId="7DF779D8" w:rsidR="000A66F1" w:rsidRPr="000A66F1" w:rsidRDefault="000A66F1" w:rsidP="000A66F1">
            <w:pPr>
              <w:jc w:val="right"/>
              <w:rPr>
                <w:rFonts w:cs="Arial"/>
                <w:i/>
                <w:color w:val="000000"/>
                <w:szCs w:val="22"/>
              </w:rPr>
            </w:pPr>
            <w:r w:rsidRPr="000A66F1">
              <w:rPr>
                <w:rFonts w:cs="Arial"/>
                <w:i/>
                <w:color w:val="000000"/>
                <w:szCs w:val="22"/>
              </w:rPr>
              <w:t xml:space="preserve">17 </w:t>
            </w:r>
          </w:p>
        </w:tc>
        <w:tc>
          <w:tcPr>
            <w:tcW w:w="5634" w:type="dxa"/>
            <w:tcBorders>
              <w:top w:val="nil"/>
              <w:bottom w:val="nil"/>
            </w:tcBorders>
          </w:tcPr>
          <w:p w14:paraId="087237F9" w14:textId="17F82881" w:rsidR="000A66F1" w:rsidRPr="000127EF" w:rsidRDefault="000A66F1" w:rsidP="000A66F1">
            <w:pPr>
              <w:ind w:left="198" w:hanging="56"/>
              <w:rPr>
                <w:rFonts w:cs="Arial"/>
                <w:szCs w:val="22"/>
                <w:lang w:val="en-US"/>
              </w:rPr>
            </w:pPr>
            <w:r w:rsidRPr="000127EF">
              <w:rPr>
                <w:rFonts w:cs="Arial"/>
                <w:szCs w:val="22"/>
                <w:lang w:val="en-US"/>
              </w:rPr>
              <w:t>Troubled Families Programme</w:t>
            </w:r>
          </w:p>
        </w:tc>
        <w:tc>
          <w:tcPr>
            <w:tcW w:w="1534" w:type="dxa"/>
            <w:tcBorders>
              <w:top w:val="nil"/>
              <w:bottom w:val="nil"/>
            </w:tcBorders>
            <w:shd w:val="clear" w:color="auto" w:fill="C5E0B3" w:themeFill="accent6" w:themeFillTint="66"/>
            <w:vAlign w:val="center"/>
          </w:tcPr>
          <w:p w14:paraId="20DA059B" w14:textId="2E0B745D" w:rsidR="000A66F1" w:rsidRPr="006826B4" w:rsidRDefault="006826B4" w:rsidP="000A66F1">
            <w:pPr>
              <w:jc w:val="right"/>
              <w:rPr>
                <w:rFonts w:cs="Arial"/>
                <w:color w:val="000000"/>
                <w:szCs w:val="22"/>
              </w:rPr>
            </w:pPr>
            <w:r w:rsidRPr="006826B4">
              <w:rPr>
                <w:rFonts w:cs="Arial"/>
                <w:color w:val="000000"/>
                <w:szCs w:val="22"/>
              </w:rPr>
              <w:t>103</w:t>
            </w:r>
          </w:p>
        </w:tc>
      </w:tr>
      <w:tr w:rsidR="000A66F1" w:rsidRPr="000127EF" w14:paraId="7F63BEF0" w14:textId="77777777" w:rsidTr="008A0E82">
        <w:trPr>
          <w:jc w:val="center"/>
        </w:trPr>
        <w:tc>
          <w:tcPr>
            <w:tcW w:w="1454" w:type="dxa"/>
            <w:tcBorders>
              <w:top w:val="nil"/>
              <w:bottom w:val="nil"/>
            </w:tcBorders>
            <w:vAlign w:val="center"/>
          </w:tcPr>
          <w:p w14:paraId="47FFF9CC" w14:textId="19D1184E" w:rsidR="000A66F1" w:rsidRPr="000A66F1" w:rsidRDefault="000A66F1" w:rsidP="000A66F1">
            <w:pPr>
              <w:jc w:val="right"/>
              <w:rPr>
                <w:rFonts w:cs="Arial"/>
                <w:i/>
                <w:color w:val="000000"/>
                <w:szCs w:val="22"/>
              </w:rPr>
            </w:pPr>
            <w:r w:rsidRPr="000A66F1">
              <w:rPr>
                <w:rFonts w:cs="Arial"/>
                <w:i/>
                <w:color w:val="000000"/>
                <w:szCs w:val="22"/>
              </w:rPr>
              <w:t xml:space="preserve">95 </w:t>
            </w:r>
          </w:p>
        </w:tc>
        <w:tc>
          <w:tcPr>
            <w:tcW w:w="5634" w:type="dxa"/>
            <w:tcBorders>
              <w:top w:val="nil"/>
              <w:bottom w:val="nil"/>
            </w:tcBorders>
          </w:tcPr>
          <w:p w14:paraId="421ED051" w14:textId="77777777" w:rsidR="000A66F1" w:rsidRPr="000127EF" w:rsidRDefault="000A66F1" w:rsidP="000A66F1">
            <w:pPr>
              <w:ind w:left="198" w:hanging="56"/>
              <w:rPr>
                <w:rFonts w:cs="Arial"/>
                <w:szCs w:val="22"/>
                <w:lang w:val="en-US"/>
              </w:rPr>
            </w:pPr>
            <w:r w:rsidRPr="000127EF">
              <w:rPr>
                <w:rFonts w:cs="Arial"/>
                <w:szCs w:val="22"/>
                <w:lang w:val="en-US"/>
              </w:rPr>
              <w:t>Universal Infant Free School Meals</w:t>
            </w:r>
          </w:p>
        </w:tc>
        <w:tc>
          <w:tcPr>
            <w:tcW w:w="1534" w:type="dxa"/>
            <w:tcBorders>
              <w:top w:val="nil"/>
              <w:bottom w:val="nil"/>
            </w:tcBorders>
            <w:shd w:val="clear" w:color="auto" w:fill="C5E0B3" w:themeFill="accent6" w:themeFillTint="66"/>
            <w:vAlign w:val="center"/>
          </w:tcPr>
          <w:p w14:paraId="332A78A9" w14:textId="087BF259" w:rsidR="000A66F1" w:rsidRPr="006826B4" w:rsidRDefault="006826B4" w:rsidP="000A66F1">
            <w:pPr>
              <w:jc w:val="right"/>
              <w:rPr>
                <w:rFonts w:cs="Arial"/>
                <w:color w:val="000000"/>
                <w:szCs w:val="22"/>
              </w:rPr>
            </w:pPr>
            <w:r w:rsidRPr="006826B4">
              <w:rPr>
                <w:rFonts w:cs="Arial"/>
                <w:color w:val="000000"/>
                <w:szCs w:val="22"/>
              </w:rPr>
              <w:t>66</w:t>
            </w:r>
          </w:p>
        </w:tc>
      </w:tr>
      <w:tr w:rsidR="000A66F1" w:rsidRPr="000127EF" w14:paraId="5A69A177" w14:textId="77777777" w:rsidTr="008A0E82">
        <w:trPr>
          <w:jc w:val="center"/>
        </w:trPr>
        <w:tc>
          <w:tcPr>
            <w:tcW w:w="1454" w:type="dxa"/>
            <w:tcBorders>
              <w:top w:val="nil"/>
              <w:bottom w:val="nil"/>
            </w:tcBorders>
            <w:vAlign w:val="center"/>
          </w:tcPr>
          <w:p w14:paraId="30A0EB55" w14:textId="090579F3" w:rsidR="000A66F1" w:rsidRPr="000A66F1" w:rsidRDefault="000A66F1" w:rsidP="003652C1">
            <w:pPr>
              <w:jc w:val="right"/>
              <w:rPr>
                <w:rFonts w:cs="Arial"/>
                <w:i/>
                <w:color w:val="000000"/>
                <w:szCs w:val="22"/>
              </w:rPr>
            </w:pPr>
            <w:r w:rsidRPr="000A66F1">
              <w:rPr>
                <w:rFonts w:cs="Arial"/>
                <w:i/>
                <w:color w:val="000000"/>
                <w:szCs w:val="22"/>
              </w:rPr>
              <w:t>2</w:t>
            </w:r>
            <w:r w:rsidR="003652C1">
              <w:rPr>
                <w:rFonts w:cs="Arial"/>
                <w:i/>
                <w:color w:val="000000"/>
                <w:szCs w:val="22"/>
              </w:rPr>
              <w:t>36</w:t>
            </w:r>
          </w:p>
        </w:tc>
        <w:tc>
          <w:tcPr>
            <w:tcW w:w="5634" w:type="dxa"/>
            <w:tcBorders>
              <w:top w:val="nil"/>
              <w:bottom w:val="nil"/>
            </w:tcBorders>
          </w:tcPr>
          <w:p w14:paraId="2870F652" w14:textId="77777777" w:rsidR="000A66F1" w:rsidRPr="000127EF" w:rsidRDefault="000A66F1" w:rsidP="000A66F1">
            <w:pPr>
              <w:ind w:left="198" w:hanging="56"/>
              <w:rPr>
                <w:rFonts w:cs="Arial"/>
                <w:szCs w:val="22"/>
                <w:lang w:val="en-US"/>
              </w:rPr>
            </w:pPr>
            <w:r w:rsidRPr="000127EF">
              <w:rPr>
                <w:rFonts w:cs="Arial"/>
                <w:szCs w:val="22"/>
                <w:lang w:val="en-US"/>
              </w:rPr>
              <w:t>Other Grants</w:t>
            </w:r>
          </w:p>
        </w:tc>
        <w:tc>
          <w:tcPr>
            <w:tcW w:w="1534" w:type="dxa"/>
            <w:tcBorders>
              <w:top w:val="nil"/>
              <w:bottom w:val="nil"/>
            </w:tcBorders>
            <w:shd w:val="clear" w:color="auto" w:fill="C5E0B3" w:themeFill="accent6" w:themeFillTint="66"/>
            <w:vAlign w:val="center"/>
          </w:tcPr>
          <w:p w14:paraId="10A6647C" w14:textId="678815D7" w:rsidR="000A66F1" w:rsidRPr="006826B4" w:rsidRDefault="00112026" w:rsidP="00112026">
            <w:pPr>
              <w:jc w:val="right"/>
              <w:rPr>
                <w:rFonts w:cs="Arial"/>
                <w:color w:val="000000"/>
                <w:szCs w:val="22"/>
              </w:rPr>
            </w:pPr>
            <w:r>
              <w:rPr>
                <w:rFonts w:cs="Arial"/>
                <w:color w:val="000000"/>
                <w:szCs w:val="22"/>
              </w:rPr>
              <w:t>255</w:t>
            </w:r>
          </w:p>
        </w:tc>
      </w:tr>
      <w:tr w:rsidR="000A66F1" w:rsidRPr="000127EF" w14:paraId="07BE8874" w14:textId="77777777" w:rsidTr="00E165AE">
        <w:trPr>
          <w:jc w:val="center"/>
        </w:trPr>
        <w:tc>
          <w:tcPr>
            <w:tcW w:w="1454" w:type="dxa"/>
            <w:tcBorders>
              <w:top w:val="single" w:sz="8" w:space="0" w:color="auto"/>
              <w:bottom w:val="single" w:sz="8" w:space="0" w:color="auto"/>
            </w:tcBorders>
          </w:tcPr>
          <w:p w14:paraId="216449D1" w14:textId="2DD6B408" w:rsidR="000A66F1" w:rsidRPr="000A66F1" w:rsidRDefault="00911880" w:rsidP="000A66F1">
            <w:pPr>
              <w:jc w:val="right"/>
              <w:rPr>
                <w:b/>
                <w:i/>
              </w:rPr>
            </w:pPr>
            <w:r>
              <w:rPr>
                <w:b/>
                <w:i/>
              </w:rPr>
              <w:fldChar w:fldCharType="begin"/>
            </w:r>
            <w:r>
              <w:rPr>
                <w:b/>
                <w:i/>
              </w:rPr>
              <w:instrText xml:space="preserve"> =SUM(a3:a25) </w:instrText>
            </w:r>
            <w:r>
              <w:rPr>
                <w:b/>
                <w:i/>
              </w:rPr>
              <w:fldChar w:fldCharType="separate"/>
            </w:r>
            <w:r>
              <w:rPr>
                <w:b/>
                <w:i/>
                <w:noProof/>
              </w:rPr>
              <w:t>16,280</w:t>
            </w:r>
            <w:r>
              <w:rPr>
                <w:b/>
                <w:i/>
              </w:rPr>
              <w:fldChar w:fldCharType="end"/>
            </w:r>
          </w:p>
        </w:tc>
        <w:tc>
          <w:tcPr>
            <w:tcW w:w="5634" w:type="dxa"/>
            <w:tcBorders>
              <w:bottom w:val="nil"/>
            </w:tcBorders>
          </w:tcPr>
          <w:p w14:paraId="1F70ACDF" w14:textId="77777777" w:rsidR="000A66F1" w:rsidRPr="000127EF" w:rsidRDefault="000A66F1" w:rsidP="000A66F1">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40A4A79A" w14:textId="094807E6" w:rsidR="000A66F1" w:rsidRPr="006826B4" w:rsidRDefault="006826B4" w:rsidP="000A66F1">
            <w:pPr>
              <w:jc w:val="right"/>
              <w:rPr>
                <w:b/>
              </w:rPr>
            </w:pPr>
            <w:r w:rsidRPr="006826B4">
              <w:rPr>
                <w:b/>
              </w:rPr>
              <w:fldChar w:fldCharType="begin"/>
            </w:r>
            <w:r w:rsidRPr="006826B4">
              <w:rPr>
                <w:b/>
              </w:rPr>
              <w:instrText xml:space="preserve"> =SUM(c3:c24) \# "#,##0;(#,##0)" </w:instrText>
            </w:r>
            <w:r w:rsidRPr="006826B4">
              <w:rPr>
                <w:b/>
              </w:rPr>
              <w:fldChar w:fldCharType="separate"/>
            </w:r>
            <w:r w:rsidRPr="006826B4">
              <w:rPr>
                <w:b/>
                <w:noProof/>
              </w:rPr>
              <w:t>14,884</w:t>
            </w:r>
            <w:r w:rsidRPr="006826B4">
              <w:rPr>
                <w:b/>
              </w:rPr>
              <w:fldChar w:fldCharType="end"/>
            </w:r>
          </w:p>
        </w:tc>
      </w:tr>
      <w:tr w:rsidR="00F43867" w:rsidRPr="000127EF" w14:paraId="5310835B" w14:textId="77777777" w:rsidTr="00140376">
        <w:trPr>
          <w:trHeight w:hRule="exact" w:val="142"/>
          <w:jc w:val="center"/>
        </w:trPr>
        <w:tc>
          <w:tcPr>
            <w:tcW w:w="1454" w:type="dxa"/>
            <w:tcBorders>
              <w:top w:val="nil"/>
            </w:tcBorders>
          </w:tcPr>
          <w:p w14:paraId="338584E3" w14:textId="77777777" w:rsidR="00F43867" w:rsidRPr="000127EF" w:rsidRDefault="00F43867" w:rsidP="00F43867">
            <w:pPr>
              <w:jc w:val="right"/>
              <w:rPr>
                <w:i/>
                <w:sz w:val="12"/>
                <w:szCs w:val="12"/>
              </w:rPr>
            </w:pPr>
          </w:p>
        </w:tc>
        <w:tc>
          <w:tcPr>
            <w:tcW w:w="5634" w:type="dxa"/>
            <w:tcBorders>
              <w:top w:val="nil"/>
            </w:tcBorders>
          </w:tcPr>
          <w:p w14:paraId="2447BB87" w14:textId="77777777" w:rsidR="00F43867" w:rsidRPr="000127EF" w:rsidRDefault="00F43867" w:rsidP="00F43867">
            <w:pPr>
              <w:jc w:val="both"/>
              <w:rPr>
                <w:sz w:val="12"/>
                <w:szCs w:val="12"/>
              </w:rPr>
            </w:pPr>
          </w:p>
        </w:tc>
        <w:tc>
          <w:tcPr>
            <w:tcW w:w="1534" w:type="dxa"/>
            <w:tcBorders>
              <w:top w:val="nil"/>
            </w:tcBorders>
          </w:tcPr>
          <w:p w14:paraId="6EF1F352" w14:textId="77777777" w:rsidR="00F43867" w:rsidRPr="000127EF" w:rsidRDefault="00F43867" w:rsidP="00F43867">
            <w:pPr>
              <w:jc w:val="right"/>
              <w:rPr>
                <w:sz w:val="12"/>
                <w:szCs w:val="12"/>
              </w:rPr>
            </w:pPr>
          </w:p>
        </w:tc>
      </w:tr>
    </w:tbl>
    <w:p w14:paraId="3B8C098F" w14:textId="77777777" w:rsidR="00A80E72" w:rsidRPr="000127EF" w:rsidRDefault="00A80E72" w:rsidP="00FC74E0">
      <w:pPr>
        <w:spacing w:before="120" w:after="120"/>
      </w:pPr>
      <w:r w:rsidRPr="000127EF">
        <w:t>The authority has received a number of grants, contributions and donations that have yet to be recognised as income as they have conditions attached to them that will require the monies or property to be returned.  The balances at the year-end are as follows:</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84298E" w:rsidRPr="000127EF" w14:paraId="06BDFE8E" w14:textId="77777777" w:rsidTr="00A05D1D">
        <w:trPr>
          <w:trHeight w:val="283"/>
          <w:jc w:val="center"/>
        </w:trPr>
        <w:tc>
          <w:tcPr>
            <w:tcW w:w="1454" w:type="dxa"/>
          </w:tcPr>
          <w:p w14:paraId="06578214" w14:textId="2526CF51" w:rsidR="0084298E" w:rsidRPr="000127EF" w:rsidRDefault="000A66F1" w:rsidP="001F2D6B">
            <w:pPr>
              <w:jc w:val="center"/>
              <w:rPr>
                <w:b/>
                <w:i/>
              </w:rPr>
            </w:pPr>
            <w:r>
              <w:rPr>
                <w:b/>
                <w:i/>
              </w:rPr>
              <w:t>2018/19</w:t>
            </w:r>
          </w:p>
        </w:tc>
        <w:tc>
          <w:tcPr>
            <w:tcW w:w="5634" w:type="dxa"/>
            <w:vAlign w:val="center"/>
          </w:tcPr>
          <w:p w14:paraId="6625E58C" w14:textId="77777777" w:rsidR="0084298E" w:rsidRPr="000127EF" w:rsidRDefault="0084298E" w:rsidP="00A05D1D">
            <w:pPr>
              <w:jc w:val="center"/>
              <w:rPr>
                <w:b/>
              </w:rPr>
            </w:pPr>
            <w:r w:rsidRPr="000127EF">
              <w:rPr>
                <w:b/>
              </w:rPr>
              <w:t>Revenue Grants &amp; Contributions - Receipts in Advance</w:t>
            </w:r>
          </w:p>
        </w:tc>
        <w:tc>
          <w:tcPr>
            <w:tcW w:w="1534" w:type="dxa"/>
          </w:tcPr>
          <w:p w14:paraId="56E4131C" w14:textId="6780E65D" w:rsidR="0084298E" w:rsidRPr="00D6521C" w:rsidRDefault="000A66F1" w:rsidP="00A05D1D">
            <w:pPr>
              <w:jc w:val="center"/>
              <w:rPr>
                <w:b/>
              </w:rPr>
            </w:pPr>
            <w:r w:rsidRPr="00D6521C">
              <w:rPr>
                <w:b/>
              </w:rPr>
              <w:t>2019/20</w:t>
            </w:r>
          </w:p>
        </w:tc>
      </w:tr>
      <w:tr w:rsidR="0084298E" w:rsidRPr="000127EF" w14:paraId="34CF77F9" w14:textId="77777777" w:rsidTr="00A05D1D">
        <w:trPr>
          <w:jc w:val="center"/>
        </w:trPr>
        <w:tc>
          <w:tcPr>
            <w:tcW w:w="1454" w:type="dxa"/>
          </w:tcPr>
          <w:p w14:paraId="41DB37D9" w14:textId="77777777" w:rsidR="0084298E" w:rsidRPr="000127EF" w:rsidRDefault="0084298E" w:rsidP="001F2D6B">
            <w:pPr>
              <w:jc w:val="center"/>
              <w:rPr>
                <w:b/>
                <w:i/>
              </w:rPr>
            </w:pPr>
            <w:r w:rsidRPr="000127EF">
              <w:rPr>
                <w:b/>
                <w:i/>
              </w:rPr>
              <w:t>£000</w:t>
            </w:r>
          </w:p>
        </w:tc>
        <w:tc>
          <w:tcPr>
            <w:tcW w:w="5634" w:type="dxa"/>
          </w:tcPr>
          <w:p w14:paraId="11FA4465" w14:textId="77777777" w:rsidR="0084298E" w:rsidRPr="000127EF" w:rsidRDefault="0084298E" w:rsidP="00A05D1D">
            <w:pPr>
              <w:jc w:val="center"/>
              <w:rPr>
                <w:b/>
              </w:rPr>
            </w:pPr>
          </w:p>
        </w:tc>
        <w:tc>
          <w:tcPr>
            <w:tcW w:w="1534" w:type="dxa"/>
            <w:shd w:val="clear" w:color="auto" w:fill="C5E0B3" w:themeFill="accent6" w:themeFillTint="66"/>
          </w:tcPr>
          <w:p w14:paraId="491E91E2" w14:textId="77777777" w:rsidR="0084298E" w:rsidRPr="00D6521C" w:rsidRDefault="0084298E" w:rsidP="00A05D1D">
            <w:pPr>
              <w:jc w:val="center"/>
              <w:rPr>
                <w:b/>
              </w:rPr>
            </w:pPr>
            <w:r w:rsidRPr="00D6521C">
              <w:rPr>
                <w:b/>
              </w:rPr>
              <w:t>£000</w:t>
            </w:r>
          </w:p>
        </w:tc>
      </w:tr>
      <w:tr w:rsidR="000A66F1" w:rsidRPr="000127EF" w14:paraId="71785E2D" w14:textId="77777777" w:rsidTr="00E165AE">
        <w:trPr>
          <w:jc w:val="center"/>
        </w:trPr>
        <w:tc>
          <w:tcPr>
            <w:tcW w:w="1454" w:type="dxa"/>
            <w:tcBorders>
              <w:bottom w:val="nil"/>
            </w:tcBorders>
          </w:tcPr>
          <w:p w14:paraId="163A6260" w14:textId="3FDBE930" w:rsidR="000A66F1" w:rsidRPr="000A66F1" w:rsidRDefault="000A66F1" w:rsidP="000A66F1">
            <w:pPr>
              <w:jc w:val="right"/>
              <w:rPr>
                <w:i/>
              </w:rPr>
            </w:pPr>
            <w:r w:rsidRPr="000A66F1">
              <w:rPr>
                <w:i/>
              </w:rPr>
              <w:t>22</w:t>
            </w:r>
          </w:p>
        </w:tc>
        <w:tc>
          <w:tcPr>
            <w:tcW w:w="5634" w:type="dxa"/>
            <w:tcBorders>
              <w:bottom w:val="nil"/>
            </w:tcBorders>
          </w:tcPr>
          <w:p w14:paraId="58DCCB53" w14:textId="40617EF3" w:rsidR="000A66F1" w:rsidRPr="000127EF" w:rsidRDefault="000A66F1" w:rsidP="000A66F1">
            <w:pPr>
              <w:ind w:left="198" w:hanging="56"/>
              <w:rPr>
                <w:rFonts w:cs="Arial"/>
                <w:szCs w:val="22"/>
                <w:lang w:val="en-US"/>
              </w:rPr>
            </w:pPr>
            <w:r w:rsidRPr="000127EF">
              <w:rPr>
                <w:rFonts w:cs="Arial"/>
                <w:szCs w:val="22"/>
                <w:lang w:val="en-US"/>
              </w:rPr>
              <w:t>MOD Covenant Grant</w:t>
            </w:r>
          </w:p>
        </w:tc>
        <w:tc>
          <w:tcPr>
            <w:tcW w:w="1534" w:type="dxa"/>
            <w:tcBorders>
              <w:bottom w:val="nil"/>
            </w:tcBorders>
            <w:shd w:val="clear" w:color="auto" w:fill="C5E0B3" w:themeFill="accent6" w:themeFillTint="66"/>
          </w:tcPr>
          <w:p w14:paraId="29710FD0" w14:textId="09E9BAB6" w:rsidR="000A66F1" w:rsidRPr="00D6521C" w:rsidRDefault="006826B4" w:rsidP="000A66F1">
            <w:pPr>
              <w:jc w:val="right"/>
            </w:pPr>
            <w:r w:rsidRPr="00D6521C">
              <w:t>9</w:t>
            </w:r>
          </w:p>
        </w:tc>
      </w:tr>
      <w:tr w:rsidR="000A66F1" w:rsidRPr="000127EF" w14:paraId="149998CB" w14:textId="77777777" w:rsidTr="00E165AE">
        <w:trPr>
          <w:jc w:val="center"/>
        </w:trPr>
        <w:tc>
          <w:tcPr>
            <w:tcW w:w="1454" w:type="dxa"/>
            <w:tcBorders>
              <w:bottom w:val="nil"/>
            </w:tcBorders>
          </w:tcPr>
          <w:p w14:paraId="31C1C65B" w14:textId="4142FEDF" w:rsidR="000A66F1" w:rsidRPr="000A66F1" w:rsidRDefault="000A66F1" w:rsidP="000A66F1">
            <w:pPr>
              <w:jc w:val="right"/>
              <w:rPr>
                <w:i/>
              </w:rPr>
            </w:pPr>
            <w:r w:rsidRPr="000A66F1">
              <w:rPr>
                <w:i/>
              </w:rPr>
              <w:t>35</w:t>
            </w:r>
          </w:p>
        </w:tc>
        <w:tc>
          <w:tcPr>
            <w:tcW w:w="5634" w:type="dxa"/>
            <w:tcBorders>
              <w:bottom w:val="nil"/>
            </w:tcBorders>
          </w:tcPr>
          <w:p w14:paraId="71E35B03" w14:textId="52EEE619" w:rsidR="000A66F1" w:rsidRPr="000127EF" w:rsidRDefault="000A66F1" w:rsidP="000A66F1">
            <w:pPr>
              <w:ind w:left="198" w:hanging="56"/>
              <w:rPr>
                <w:rFonts w:cs="Arial"/>
                <w:szCs w:val="22"/>
                <w:lang w:val="en-US"/>
              </w:rPr>
            </w:pPr>
            <w:r w:rsidRPr="000127EF">
              <w:rPr>
                <w:rFonts w:cs="Arial"/>
                <w:szCs w:val="22"/>
                <w:lang w:val="en-US"/>
              </w:rPr>
              <w:t>Resolving Parental Conflict</w:t>
            </w:r>
          </w:p>
        </w:tc>
        <w:tc>
          <w:tcPr>
            <w:tcW w:w="1534" w:type="dxa"/>
            <w:tcBorders>
              <w:bottom w:val="nil"/>
            </w:tcBorders>
            <w:shd w:val="clear" w:color="auto" w:fill="C5E0B3" w:themeFill="accent6" w:themeFillTint="66"/>
          </w:tcPr>
          <w:p w14:paraId="3A2766A5" w14:textId="66AC9FAC" w:rsidR="000A66F1" w:rsidRPr="00D6521C" w:rsidRDefault="006826B4" w:rsidP="000A66F1">
            <w:pPr>
              <w:jc w:val="right"/>
            </w:pPr>
            <w:r w:rsidRPr="00D6521C">
              <w:t>21</w:t>
            </w:r>
          </w:p>
        </w:tc>
      </w:tr>
      <w:tr w:rsidR="000A66F1" w:rsidRPr="000127EF" w14:paraId="0373E6B4" w14:textId="77777777" w:rsidTr="00E165AE">
        <w:trPr>
          <w:jc w:val="center"/>
        </w:trPr>
        <w:tc>
          <w:tcPr>
            <w:tcW w:w="1454" w:type="dxa"/>
            <w:tcBorders>
              <w:bottom w:val="nil"/>
            </w:tcBorders>
          </w:tcPr>
          <w:p w14:paraId="638756D8" w14:textId="0B64FF34" w:rsidR="000A66F1" w:rsidRPr="000A66F1" w:rsidRDefault="000A66F1" w:rsidP="000A66F1">
            <w:pPr>
              <w:jc w:val="right"/>
              <w:rPr>
                <w:i/>
              </w:rPr>
            </w:pPr>
            <w:r w:rsidRPr="000A66F1">
              <w:rPr>
                <w:i/>
              </w:rPr>
              <w:t>92</w:t>
            </w:r>
          </w:p>
        </w:tc>
        <w:tc>
          <w:tcPr>
            <w:tcW w:w="5634" w:type="dxa"/>
            <w:tcBorders>
              <w:bottom w:val="nil"/>
            </w:tcBorders>
          </w:tcPr>
          <w:p w14:paraId="5A1B9806" w14:textId="7302240A" w:rsidR="000A66F1" w:rsidRPr="000127EF" w:rsidRDefault="000A66F1" w:rsidP="000A66F1">
            <w:pPr>
              <w:ind w:left="198" w:hanging="56"/>
              <w:rPr>
                <w:rFonts w:cs="Arial"/>
                <w:szCs w:val="22"/>
                <w:lang w:val="en-US"/>
              </w:rPr>
            </w:pPr>
            <w:r w:rsidRPr="000127EF">
              <w:rPr>
                <w:rFonts w:cs="Arial"/>
                <w:szCs w:val="22"/>
                <w:lang w:val="en-US"/>
              </w:rPr>
              <w:t>SEN Reform</w:t>
            </w:r>
          </w:p>
        </w:tc>
        <w:tc>
          <w:tcPr>
            <w:tcW w:w="1534" w:type="dxa"/>
            <w:tcBorders>
              <w:bottom w:val="nil"/>
            </w:tcBorders>
            <w:shd w:val="clear" w:color="auto" w:fill="C5E0B3" w:themeFill="accent6" w:themeFillTint="66"/>
          </w:tcPr>
          <w:p w14:paraId="6FA40C2C" w14:textId="0776753C" w:rsidR="000A66F1" w:rsidRPr="00D6521C" w:rsidRDefault="006826B4" w:rsidP="000A66F1">
            <w:pPr>
              <w:jc w:val="right"/>
            </w:pPr>
            <w:r w:rsidRPr="00D6521C">
              <w:t>-</w:t>
            </w:r>
          </w:p>
        </w:tc>
      </w:tr>
      <w:tr w:rsidR="000A66F1" w:rsidRPr="000127EF" w14:paraId="1172DBAC" w14:textId="77777777" w:rsidTr="00E165AE">
        <w:trPr>
          <w:jc w:val="center"/>
        </w:trPr>
        <w:tc>
          <w:tcPr>
            <w:tcW w:w="1454" w:type="dxa"/>
            <w:tcBorders>
              <w:bottom w:val="nil"/>
            </w:tcBorders>
          </w:tcPr>
          <w:p w14:paraId="10663E77" w14:textId="3EE9EF2B" w:rsidR="000A66F1" w:rsidRPr="000A66F1" w:rsidRDefault="000A66F1" w:rsidP="000A66F1">
            <w:pPr>
              <w:jc w:val="right"/>
              <w:rPr>
                <w:i/>
              </w:rPr>
            </w:pPr>
            <w:r w:rsidRPr="000A66F1">
              <w:rPr>
                <w:i/>
              </w:rPr>
              <w:t>213</w:t>
            </w:r>
          </w:p>
        </w:tc>
        <w:tc>
          <w:tcPr>
            <w:tcW w:w="5634" w:type="dxa"/>
            <w:tcBorders>
              <w:bottom w:val="nil"/>
            </w:tcBorders>
          </w:tcPr>
          <w:p w14:paraId="3D77221D" w14:textId="50A7ABDB" w:rsidR="000A66F1" w:rsidRPr="000127EF" w:rsidRDefault="000A66F1" w:rsidP="000A66F1">
            <w:pPr>
              <w:ind w:left="198" w:hanging="56"/>
              <w:rPr>
                <w:rFonts w:cs="Arial"/>
                <w:szCs w:val="22"/>
                <w:lang w:val="en-US"/>
              </w:rPr>
            </w:pPr>
            <w:r w:rsidRPr="000127EF">
              <w:rPr>
                <w:rFonts w:cs="Arial"/>
                <w:szCs w:val="22"/>
                <w:lang w:val="en-US"/>
              </w:rPr>
              <w:t>Dedicated Schools Grant</w:t>
            </w:r>
          </w:p>
        </w:tc>
        <w:tc>
          <w:tcPr>
            <w:tcW w:w="1534" w:type="dxa"/>
            <w:tcBorders>
              <w:bottom w:val="nil"/>
            </w:tcBorders>
            <w:shd w:val="clear" w:color="auto" w:fill="C5E0B3" w:themeFill="accent6" w:themeFillTint="66"/>
          </w:tcPr>
          <w:p w14:paraId="1E6485EF" w14:textId="667C39EA" w:rsidR="000A66F1" w:rsidRPr="00D6521C" w:rsidRDefault="006826B4" w:rsidP="000A66F1">
            <w:pPr>
              <w:jc w:val="right"/>
            </w:pPr>
            <w:r w:rsidRPr="00D6521C">
              <w:t>-</w:t>
            </w:r>
          </w:p>
        </w:tc>
      </w:tr>
      <w:tr w:rsidR="000A66F1" w:rsidRPr="000127EF" w14:paraId="4E73AFAB" w14:textId="77777777" w:rsidTr="00E165AE">
        <w:trPr>
          <w:jc w:val="center"/>
        </w:trPr>
        <w:tc>
          <w:tcPr>
            <w:tcW w:w="1454" w:type="dxa"/>
            <w:tcBorders>
              <w:bottom w:val="nil"/>
            </w:tcBorders>
          </w:tcPr>
          <w:p w14:paraId="7E6211A6" w14:textId="37FB4237" w:rsidR="000A66F1" w:rsidRPr="000A66F1" w:rsidRDefault="000A66F1" w:rsidP="000A66F1">
            <w:pPr>
              <w:jc w:val="right"/>
              <w:rPr>
                <w:i/>
              </w:rPr>
            </w:pPr>
            <w:r w:rsidRPr="000A66F1">
              <w:rPr>
                <w:i/>
              </w:rPr>
              <w:t>78</w:t>
            </w:r>
          </w:p>
        </w:tc>
        <w:tc>
          <w:tcPr>
            <w:tcW w:w="5634" w:type="dxa"/>
            <w:tcBorders>
              <w:bottom w:val="nil"/>
            </w:tcBorders>
          </w:tcPr>
          <w:p w14:paraId="134C080A" w14:textId="5AF85D69" w:rsidR="000A66F1" w:rsidRPr="000127EF" w:rsidRDefault="000A66F1" w:rsidP="000A66F1">
            <w:pPr>
              <w:ind w:left="198" w:hanging="56"/>
              <w:rPr>
                <w:rFonts w:cs="Arial"/>
                <w:szCs w:val="22"/>
                <w:lang w:val="en-US"/>
              </w:rPr>
            </w:pPr>
            <w:r w:rsidRPr="000127EF">
              <w:rPr>
                <w:rFonts w:cs="Arial"/>
                <w:szCs w:val="22"/>
                <w:lang w:val="en-US"/>
              </w:rPr>
              <w:t>Homelessness</w:t>
            </w:r>
          </w:p>
        </w:tc>
        <w:tc>
          <w:tcPr>
            <w:tcW w:w="1534" w:type="dxa"/>
            <w:tcBorders>
              <w:bottom w:val="nil"/>
            </w:tcBorders>
            <w:shd w:val="clear" w:color="auto" w:fill="C5E0B3" w:themeFill="accent6" w:themeFillTint="66"/>
          </w:tcPr>
          <w:p w14:paraId="66DD2F7D" w14:textId="46C6ABE9" w:rsidR="000A66F1" w:rsidRPr="00D6521C" w:rsidRDefault="006826B4" w:rsidP="000A66F1">
            <w:pPr>
              <w:jc w:val="right"/>
            </w:pPr>
            <w:r w:rsidRPr="00D6521C">
              <w:t>-</w:t>
            </w:r>
          </w:p>
        </w:tc>
      </w:tr>
      <w:tr w:rsidR="000A66F1" w:rsidRPr="000127EF" w14:paraId="6DA5B47A" w14:textId="77777777" w:rsidTr="00E165AE">
        <w:trPr>
          <w:jc w:val="center"/>
        </w:trPr>
        <w:tc>
          <w:tcPr>
            <w:tcW w:w="1454" w:type="dxa"/>
            <w:tcBorders>
              <w:bottom w:val="nil"/>
            </w:tcBorders>
          </w:tcPr>
          <w:p w14:paraId="4727041E" w14:textId="451DF883" w:rsidR="000A66F1" w:rsidRPr="000A66F1" w:rsidRDefault="000A66F1" w:rsidP="000A66F1">
            <w:pPr>
              <w:jc w:val="right"/>
              <w:rPr>
                <w:i/>
              </w:rPr>
            </w:pPr>
            <w:r w:rsidRPr="000A66F1">
              <w:rPr>
                <w:i/>
              </w:rPr>
              <w:t>93</w:t>
            </w:r>
          </w:p>
        </w:tc>
        <w:tc>
          <w:tcPr>
            <w:tcW w:w="5634" w:type="dxa"/>
            <w:tcBorders>
              <w:bottom w:val="nil"/>
            </w:tcBorders>
          </w:tcPr>
          <w:p w14:paraId="3ED5DA4D" w14:textId="6014B2F1" w:rsidR="000A66F1" w:rsidRPr="000127EF" w:rsidRDefault="000A66F1" w:rsidP="000A66F1">
            <w:pPr>
              <w:ind w:left="198" w:hanging="56"/>
              <w:rPr>
                <w:rFonts w:cs="Arial"/>
                <w:szCs w:val="22"/>
                <w:lang w:val="en-US"/>
              </w:rPr>
            </w:pPr>
            <w:r w:rsidRPr="000127EF">
              <w:rPr>
                <w:rFonts w:cs="Arial"/>
                <w:szCs w:val="22"/>
                <w:lang w:val="en-US"/>
              </w:rPr>
              <w:t xml:space="preserve">Adult Learning </w:t>
            </w:r>
          </w:p>
        </w:tc>
        <w:tc>
          <w:tcPr>
            <w:tcW w:w="1534" w:type="dxa"/>
            <w:tcBorders>
              <w:bottom w:val="nil"/>
            </w:tcBorders>
            <w:shd w:val="clear" w:color="auto" w:fill="C5E0B3" w:themeFill="accent6" w:themeFillTint="66"/>
          </w:tcPr>
          <w:p w14:paraId="2D2488ED" w14:textId="4EBDE4AF" w:rsidR="000A66F1" w:rsidRPr="00D6521C" w:rsidRDefault="006826B4" w:rsidP="000A66F1">
            <w:pPr>
              <w:jc w:val="right"/>
            </w:pPr>
            <w:r w:rsidRPr="00D6521C">
              <w:t>-</w:t>
            </w:r>
          </w:p>
        </w:tc>
      </w:tr>
      <w:tr w:rsidR="006826B4" w:rsidRPr="000127EF" w14:paraId="1CF8CFD5" w14:textId="77777777" w:rsidTr="00E165AE">
        <w:trPr>
          <w:jc w:val="center"/>
        </w:trPr>
        <w:tc>
          <w:tcPr>
            <w:tcW w:w="1454" w:type="dxa"/>
            <w:tcBorders>
              <w:bottom w:val="nil"/>
            </w:tcBorders>
          </w:tcPr>
          <w:p w14:paraId="55EB01D3" w14:textId="18A5733D" w:rsidR="006826B4" w:rsidRPr="000A66F1" w:rsidRDefault="006826B4" w:rsidP="000A66F1">
            <w:pPr>
              <w:jc w:val="right"/>
              <w:rPr>
                <w:i/>
              </w:rPr>
            </w:pPr>
            <w:r>
              <w:rPr>
                <w:i/>
              </w:rPr>
              <w:t>-</w:t>
            </w:r>
          </w:p>
        </w:tc>
        <w:tc>
          <w:tcPr>
            <w:tcW w:w="5634" w:type="dxa"/>
            <w:tcBorders>
              <w:bottom w:val="nil"/>
            </w:tcBorders>
          </w:tcPr>
          <w:p w14:paraId="33B1E959" w14:textId="7D791D20" w:rsidR="006826B4" w:rsidRPr="000127EF" w:rsidRDefault="006826B4" w:rsidP="000A66F1">
            <w:pPr>
              <w:ind w:left="198" w:hanging="56"/>
              <w:rPr>
                <w:rFonts w:cs="Arial"/>
                <w:szCs w:val="22"/>
                <w:lang w:val="en-US"/>
              </w:rPr>
            </w:pPr>
            <w:r>
              <w:rPr>
                <w:rFonts w:cs="Arial"/>
                <w:szCs w:val="22"/>
                <w:lang w:val="en-US"/>
              </w:rPr>
              <w:t>Improving Access to Psychological Therapies</w:t>
            </w:r>
          </w:p>
        </w:tc>
        <w:tc>
          <w:tcPr>
            <w:tcW w:w="1534" w:type="dxa"/>
            <w:tcBorders>
              <w:bottom w:val="nil"/>
            </w:tcBorders>
            <w:shd w:val="clear" w:color="auto" w:fill="C5E0B3" w:themeFill="accent6" w:themeFillTint="66"/>
          </w:tcPr>
          <w:p w14:paraId="4B51D22C" w14:textId="3E9B2AA3" w:rsidR="006826B4" w:rsidRPr="00D6521C" w:rsidRDefault="00D6521C" w:rsidP="000A66F1">
            <w:pPr>
              <w:jc w:val="right"/>
            </w:pPr>
            <w:r w:rsidRPr="00D6521C">
              <w:t>30</w:t>
            </w:r>
          </w:p>
        </w:tc>
      </w:tr>
      <w:tr w:rsidR="006826B4" w:rsidRPr="000127EF" w14:paraId="70982A8E" w14:textId="77777777" w:rsidTr="00E165AE">
        <w:trPr>
          <w:jc w:val="center"/>
        </w:trPr>
        <w:tc>
          <w:tcPr>
            <w:tcW w:w="1454" w:type="dxa"/>
            <w:tcBorders>
              <w:bottom w:val="nil"/>
            </w:tcBorders>
          </w:tcPr>
          <w:p w14:paraId="1049DCCC" w14:textId="1E42A322" w:rsidR="006826B4" w:rsidRPr="000A66F1" w:rsidRDefault="006826B4" w:rsidP="000A66F1">
            <w:pPr>
              <w:jc w:val="right"/>
              <w:rPr>
                <w:i/>
              </w:rPr>
            </w:pPr>
            <w:r>
              <w:rPr>
                <w:i/>
              </w:rPr>
              <w:t>-</w:t>
            </w:r>
          </w:p>
        </w:tc>
        <w:tc>
          <w:tcPr>
            <w:tcW w:w="5634" w:type="dxa"/>
            <w:tcBorders>
              <w:bottom w:val="nil"/>
            </w:tcBorders>
          </w:tcPr>
          <w:p w14:paraId="7CA83D58" w14:textId="1032D7DA" w:rsidR="006826B4" w:rsidRPr="000127EF" w:rsidRDefault="00D6521C" w:rsidP="000A66F1">
            <w:pPr>
              <w:ind w:left="198" w:hanging="56"/>
              <w:rPr>
                <w:rFonts w:cs="Arial"/>
                <w:szCs w:val="22"/>
                <w:lang w:val="en-US"/>
              </w:rPr>
            </w:pPr>
            <w:r>
              <w:rPr>
                <w:rFonts w:cs="Arial"/>
                <w:szCs w:val="22"/>
                <w:lang w:val="en-US"/>
              </w:rPr>
              <w:t>Previous Looked after Children</w:t>
            </w:r>
          </w:p>
        </w:tc>
        <w:tc>
          <w:tcPr>
            <w:tcW w:w="1534" w:type="dxa"/>
            <w:tcBorders>
              <w:bottom w:val="nil"/>
            </w:tcBorders>
            <w:shd w:val="clear" w:color="auto" w:fill="C5E0B3" w:themeFill="accent6" w:themeFillTint="66"/>
          </w:tcPr>
          <w:p w14:paraId="5D4664DC" w14:textId="61BF7738" w:rsidR="006826B4" w:rsidRPr="00D6521C" w:rsidRDefault="00D6521C" w:rsidP="000A66F1">
            <w:pPr>
              <w:jc w:val="right"/>
            </w:pPr>
            <w:r w:rsidRPr="00D6521C">
              <w:t>30</w:t>
            </w:r>
          </w:p>
        </w:tc>
      </w:tr>
      <w:tr w:rsidR="000A66F1" w:rsidRPr="000127EF" w14:paraId="7E89ED92" w14:textId="77777777" w:rsidTr="00E165AE">
        <w:trPr>
          <w:jc w:val="center"/>
        </w:trPr>
        <w:tc>
          <w:tcPr>
            <w:tcW w:w="1454" w:type="dxa"/>
            <w:tcBorders>
              <w:bottom w:val="nil"/>
            </w:tcBorders>
          </w:tcPr>
          <w:p w14:paraId="2978D6C8" w14:textId="3663E245" w:rsidR="000A66F1" w:rsidRPr="000A66F1" w:rsidRDefault="000A66F1" w:rsidP="000A66F1">
            <w:pPr>
              <w:jc w:val="right"/>
              <w:rPr>
                <w:i/>
              </w:rPr>
            </w:pPr>
            <w:r w:rsidRPr="000A66F1">
              <w:rPr>
                <w:i/>
              </w:rPr>
              <w:t>69</w:t>
            </w:r>
          </w:p>
        </w:tc>
        <w:tc>
          <w:tcPr>
            <w:tcW w:w="5634" w:type="dxa"/>
            <w:tcBorders>
              <w:bottom w:val="nil"/>
            </w:tcBorders>
          </w:tcPr>
          <w:p w14:paraId="1BD473BA" w14:textId="251E51B0" w:rsidR="000A66F1" w:rsidRPr="000127EF" w:rsidRDefault="000A66F1" w:rsidP="000A66F1">
            <w:pPr>
              <w:ind w:left="198" w:hanging="56"/>
              <w:rPr>
                <w:rFonts w:cs="Arial"/>
                <w:szCs w:val="22"/>
                <w:lang w:val="en-US"/>
              </w:rPr>
            </w:pPr>
            <w:r w:rsidRPr="000127EF">
              <w:rPr>
                <w:rFonts w:cs="Arial"/>
                <w:szCs w:val="22"/>
                <w:lang w:val="en-US"/>
              </w:rPr>
              <w:t>Troubled Families</w:t>
            </w:r>
          </w:p>
        </w:tc>
        <w:tc>
          <w:tcPr>
            <w:tcW w:w="1534" w:type="dxa"/>
            <w:tcBorders>
              <w:bottom w:val="nil"/>
            </w:tcBorders>
            <w:shd w:val="clear" w:color="auto" w:fill="C5E0B3" w:themeFill="accent6" w:themeFillTint="66"/>
          </w:tcPr>
          <w:p w14:paraId="40685B78" w14:textId="65FADBA6" w:rsidR="000A66F1" w:rsidRPr="00D6521C" w:rsidRDefault="006826B4" w:rsidP="000A66F1">
            <w:pPr>
              <w:jc w:val="right"/>
            </w:pPr>
            <w:r w:rsidRPr="00D6521C">
              <w:t>71</w:t>
            </w:r>
          </w:p>
        </w:tc>
      </w:tr>
      <w:tr w:rsidR="000A66F1" w:rsidRPr="000127EF" w14:paraId="7330DC8C" w14:textId="77777777" w:rsidTr="002445E2">
        <w:trPr>
          <w:trHeight w:val="280"/>
          <w:jc w:val="center"/>
        </w:trPr>
        <w:tc>
          <w:tcPr>
            <w:tcW w:w="1454" w:type="dxa"/>
            <w:tcBorders>
              <w:bottom w:val="nil"/>
            </w:tcBorders>
          </w:tcPr>
          <w:p w14:paraId="090997FF" w14:textId="727B898A" w:rsidR="000A66F1" w:rsidRPr="000A66F1" w:rsidRDefault="000A66F1" w:rsidP="000A66F1">
            <w:pPr>
              <w:jc w:val="right"/>
              <w:rPr>
                <w:i/>
              </w:rPr>
            </w:pPr>
            <w:r w:rsidRPr="000A66F1">
              <w:rPr>
                <w:i/>
              </w:rPr>
              <w:t>52</w:t>
            </w:r>
          </w:p>
        </w:tc>
        <w:tc>
          <w:tcPr>
            <w:tcW w:w="5634" w:type="dxa"/>
            <w:tcBorders>
              <w:bottom w:val="nil"/>
            </w:tcBorders>
          </w:tcPr>
          <w:p w14:paraId="5018C5DC" w14:textId="77777777" w:rsidR="000A66F1" w:rsidRPr="000127EF" w:rsidRDefault="000A66F1" w:rsidP="000A66F1">
            <w:pPr>
              <w:ind w:left="198" w:hanging="56"/>
              <w:rPr>
                <w:rFonts w:cs="Arial"/>
                <w:szCs w:val="22"/>
                <w:lang w:val="en-US"/>
              </w:rPr>
            </w:pPr>
            <w:r w:rsidRPr="000127EF">
              <w:rPr>
                <w:rFonts w:cs="Arial"/>
                <w:szCs w:val="22"/>
                <w:lang w:val="en-US"/>
              </w:rPr>
              <w:t>Other Grants</w:t>
            </w:r>
          </w:p>
        </w:tc>
        <w:tc>
          <w:tcPr>
            <w:tcW w:w="1534" w:type="dxa"/>
            <w:tcBorders>
              <w:bottom w:val="nil"/>
            </w:tcBorders>
            <w:shd w:val="clear" w:color="auto" w:fill="C5E0B3" w:themeFill="accent6" w:themeFillTint="66"/>
          </w:tcPr>
          <w:p w14:paraId="616B79E9" w14:textId="63C9537B" w:rsidR="000A66F1" w:rsidRPr="00D6521C" w:rsidRDefault="006826B4" w:rsidP="000A66F1">
            <w:pPr>
              <w:jc w:val="right"/>
            </w:pPr>
            <w:r w:rsidRPr="00D6521C">
              <w:t>22</w:t>
            </w:r>
          </w:p>
        </w:tc>
      </w:tr>
      <w:tr w:rsidR="000A66F1" w:rsidRPr="000127EF" w14:paraId="4DD32D67" w14:textId="77777777" w:rsidTr="00E165AE">
        <w:trPr>
          <w:jc w:val="center"/>
        </w:trPr>
        <w:tc>
          <w:tcPr>
            <w:tcW w:w="1454" w:type="dxa"/>
            <w:tcBorders>
              <w:top w:val="single" w:sz="8" w:space="0" w:color="auto"/>
              <w:bottom w:val="single" w:sz="8" w:space="0" w:color="auto"/>
            </w:tcBorders>
          </w:tcPr>
          <w:p w14:paraId="3489DF32" w14:textId="6272121C" w:rsidR="000A66F1" w:rsidRPr="000A66F1" w:rsidRDefault="00D873AC" w:rsidP="000A66F1">
            <w:pPr>
              <w:jc w:val="right"/>
              <w:rPr>
                <w:b/>
                <w:i/>
              </w:rPr>
            </w:pPr>
            <w:r>
              <w:rPr>
                <w:b/>
                <w:i/>
              </w:rPr>
              <w:fldChar w:fldCharType="begin"/>
            </w:r>
            <w:r>
              <w:rPr>
                <w:b/>
                <w:i/>
              </w:rPr>
              <w:instrText xml:space="preserve"> =SUM(a3:a12) </w:instrText>
            </w:r>
            <w:r>
              <w:rPr>
                <w:b/>
                <w:i/>
              </w:rPr>
              <w:fldChar w:fldCharType="separate"/>
            </w:r>
            <w:r>
              <w:rPr>
                <w:b/>
                <w:i/>
                <w:noProof/>
              </w:rPr>
              <w:t>654</w:t>
            </w:r>
            <w:r>
              <w:rPr>
                <w:b/>
                <w:i/>
              </w:rPr>
              <w:fldChar w:fldCharType="end"/>
            </w:r>
          </w:p>
        </w:tc>
        <w:tc>
          <w:tcPr>
            <w:tcW w:w="5634" w:type="dxa"/>
            <w:tcBorders>
              <w:bottom w:val="nil"/>
            </w:tcBorders>
          </w:tcPr>
          <w:p w14:paraId="28445037" w14:textId="77777777" w:rsidR="000A66F1" w:rsidRPr="000127EF" w:rsidRDefault="000A66F1" w:rsidP="000A66F1">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5FC619A8" w14:textId="33F51076" w:rsidR="000A66F1" w:rsidRPr="00D6521C" w:rsidRDefault="00D6521C" w:rsidP="000A66F1">
            <w:pPr>
              <w:jc w:val="right"/>
              <w:rPr>
                <w:b/>
              </w:rPr>
            </w:pPr>
            <w:r w:rsidRPr="00D6521C">
              <w:rPr>
                <w:b/>
              </w:rPr>
              <w:fldChar w:fldCharType="begin"/>
            </w:r>
            <w:r w:rsidRPr="00D6521C">
              <w:rPr>
                <w:b/>
              </w:rPr>
              <w:instrText xml:space="preserve"> =SUM(c3:c12) \# "#,##0;(#,##0)" </w:instrText>
            </w:r>
            <w:r w:rsidRPr="00D6521C">
              <w:rPr>
                <w:b/>
              </w:rPr>
              <w:fldChar w:fldCharType="separate"/>
            </w:r>
            <w:r w:rsidRPr="00D6521C">
              <w:rPr>
                <w:b/>
                <w:noProof/>
              </w:rPr>
              <w:t xml:space="preserve"> 183</w:t>
            </w:r>
            <w:r w:rsidRPr="00D6521C">
              <w:rPr>
                <w:b/>
              </w:rPr>
              <w:fldChar w:fldCharType="end"/>
            </w:r>
          </w:p>
        </w:tc>
      </w:tr>
      <w:tr w:rsidR="00F43867" w:rsidRPr="000127EF" w14:paraId="7C49A519" w14:textId="77777777" w:rsidTr="00A05D1D">
        <w:trPr>
          <w:trHeight w:hRule="exact" w:val="142"/>
          <w:jc w:val="center"/>
        </w:trPr>
        <w:tc>
          <w:tcPr>
            <w:tcW w:w="1454" w:type="dxa"/>
            <w:tcBorders>
              <w:top w:val="nil"/>
            </w:tcBorders>
          </w:tcPr>
          <w:p w14:paraId="3981AD6C" w14:textId="77777777" w:rsidR="00F43867" w:rsidRPr="000127EF" w:rsidRDefault="00F43867" w:rsidP="00F43867">
            <w:pPr>
              <w:jc w:val="right"/>
              <w:rPr>
                <w:i/>
                <w:sz w:val="12"/>
                <w:szCs w:val="12"/>
              </w:rPr>
            </w:pPr>
          </w:p>
        </w:tc>
        <w:tc>
          <w:tcPr>
            <w:tcW w:w="5634" w:type="dxa"/>
            <w:tcBorders>
              <w:top w:val="nil"/>
            </w:tcBorders>
          </w:tcPr>
          <w:p w14:paraId="3EE6DC61" w14:textId="77777777" w:rsidR="00F43867" w:rsidRPr="000127EF" w:rsidRDefault="00F43867" w:rsidP="00F43867">
            <w:pPr>
              <w:jc w:val="both"/>
              <w:rPr>
                <w:sz w:val="12"/>
                <w:szCs w:val="12"/>
              </w:rPr>
            </w:pPr>
          </w:p>
        </w:tc>
        <w:tc>
          <w:tcPr>
            <w:tcW w:w="1534" w:type="dxa"/>
            <w:tcBorders>
              <w:top w:val="nil"/>
            </w:tcBorders>
          </w:tcPr>
          <w:p w14:paraId="39A14E67" w14:textId="77777777" w:rsidR="00F43867" w:rsidRPr="000127EF" w:rsidRDefault="00F43867" w:rsidP="00F43867">
            <w:pPr>
              <w:jc w:val="right"/>
              <w:rPr>
                <w:sz w:val="12"/>
                <w:szCs w:val="12"/>
              </w:rPr>
            </w:pPr>
          </w:p>
        </w:tc>
      </w:tr>
    </w:tbl>
    <w:p w14:paraId="23EE542D" w14:textId="77777777" w:rsidR="00CE0021" w:rsidRPr="000127EF" w:rsidRDefault="00CE0021" w:rsidP="009171A6">
      <w:pPr>
        <w:spacing w:before="120" w:after="120"/>
        <w:sectPr w:rsidR="00CE0021" w:rsidRPr="000127EF" w:rsidSect="008C78E8">
          <w:pgSz w:w="11907" w:h="16840" w:code="9"/>
          <w:pgMar w:top="1135" w:right="992" w:bottom="1440" w:left="709" w:header="567" w:footer="851" w:gutter="0"/>
          <w:paperSrc w:first="7" w:other="7"/>
          <w:cols w:space="720"/>
          <w:docGrid w:linePitch="299"/>
        </w:sectPr>
      </w:pPr>
    </w:p>
    <w:p w14:paraId="304FAE90" w14:textId="2DBD6FA1" w:rsidR="00A80E72" w:rsidRPr="000127EF" w:rsidRDefault="00D37254" w:rsidP="009171A6">
      <w:pPr>
        <w:spacing w:before="120" w:after="120"/>
      </w:pPr>
      <w:r w:rsidRPr="000127EF">
        <w:lastRenderedPageBreak/>
        <w:t>T</w:t>
      </w:r>
      <w:r w:rsidR="00A80E72" w:rsidRPr="000127EF">
        <w:t>he authority credited the following capital grants, contributions and donations within the Comprehensive Income and Expenditure Statement in 201</w:t>
      </w:r>
      <w:r w:rsidR="00656352">
        <w:t>9</w:t>
      </w:r>
      <w:r w:rsidR="00A80E72" w:rsidRPr="000127EF">
        <w:t>/</w:t>
      </w:r>
      <w:r w:rsidR="00656352">
        <w:t>20</w:t>
      </w:r>
      <w:r w:rsidR="00A80E72" w:rsidRPr="000127EF">
        <w:t>:</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84298E" w:rsidRPr="000127EF" w14:paraId="0E82FF8E" w14:textId="77777777" w:rsidTr="00A05D1D">
        <w:trPr>
          <w:trHeight w:val="283"/>
          <w:jc w:val="center"/>
        </w:trPr>
        <w:tc>
          <w:tcPr>
            <w:tcW w:w="1454" w:type="dxa"/>
          </w:tcPr>
          <w:p w14:paraId="7BE8952A" w14:textId="78C28C66" w:rsidR="0084298E" w:rsidRPr="000127EF" w:rsidRDefault="000A66F1" w:rsidP="001F2D6B">
            <w:pPr>
              <w:jc w:val="center"/>
              <w:rPr>
                <w:b/>
                <w:i/>
              </w:rPr>
            </w:pPr>
            <w:r>
              <w:rPr>
                <w:b/>
                <w:i/>
              </w:rPr>
              <w:t>2018/19</w:t>
            </w:r>
          </w:p>
        </w:tc>
        <w:tc>
          <w:tcPr>
            <w:tcW w:w="5634" w:type="dxa"/>
            <w:vAlign w:val="center"/>
          </w:tcPr>
          <w:p w14:paraId="24AF57B5" w14:textId="77777777" w:rsidR="0084298E" w:rsidRPr="000127EF" w:rsidRDefault="0084298E" w:rsidP="00A80E72">
            <w:pPr>
              <w:jc w:val="center"/>
              <w:rPr>
                <w:b/>
              </w:rPr>
            </w:pPr>
            <w:r w:rsidRPr="000127EF">
              <w:rPr>
                <w:b/>
              </w:rPr>
              <w:t>Capital Grants &amp; Contributions</w:t>
            </w:r>
          </w:p>
        </w:tc>
        <w:tc>
          <w:tcPr>
            <w:tcW w:w="1534" w:type="dxa"/>
          </w:tcPr>
          <w:p w14:paraId="75C48082" w14:textId="0ABCE46B" w:rsidR="0084298E" w:rsidRPr="00B45516" w:rsidRDefault="000A66F1" w:rsidP="00A05D1D">
            <w:pPr>
              <w:jc w:val="center"/>
              <w:rPr>
                <w:b/>
              </w:rPr>
            </w:pPr>
            <w:r w:rsidRPr="00B45516">
              <w:rPr>
                <w:b/>
              </w:rPr>
              <w:t>2019/20</w:t>
            </w:r>
          </w:p>
        </w:tc>
      </w:tr>
      <w:tr w:rsidR="0084298E" w:rsidRPr="000127EF" w14:paraId="1453BB35" w14:textId="77777777" w:rsidTr="00A05D1D">
        <w:trPr>
          <w:jc w:val="center"/>
        </w:trPr>
        <w:tc>
          <w:tcPr>
            <w:tcW w:w="1454" w:type="dxa"/>
          </w:tcPr>
          <w:p w14:paraId="529295AB" w14:textId="77777777" w:rsidR="0084298E" w:rsidRPr="000127EF" w:rsidRDefault="0084298E" w:rsidP="001F2D6B">
            <w:pPr>
              <w:jc w:val="center"/>
              <w:rPr>
                <w:b/>
                <w:i/>
              </w:rPr>
            </w:pPr>
            <w:r w:rsidRPr="000127EF">
              <w:rPr>
                <w:b/>
                <w:i/>
              </w:rPr>
              <w:t>£000</w:t>
            </w:r>
          </w:p>
        </w:tc>
        <w:tc>
          <w:tcPr>
            <w:tcW w:w="5634" w:type="dxa"/>
          </w:tcPr>
          <w:p w14:paraId="5C84ABF8" w14:textId="77777777" w:rsidR="0084298E" w:rsidRPr="000127EF" w:rsidRDefault="0084298E" w:rsidP="00A05D1D">
            <w:pPr>
              <w:jc w:val="center"/>
              <w:rPr>
                <w:b/>
              </w:rPr>
            </w:pPr>
          </w:p>
        </w:tc>
        <w:tc>
          <w:tcPr>
            <w:tcW w:w="1534" w:type="dxa"/>
            <w:shd w:val="clear" w:color="auto" w:fill="C5E0B3" w:themeFill="accent6" w:themeFillTint="66"/>
          </w:tcPr>
          <w:p w14:paraId="68C623AE" w14:textId="77777777" w:rsidR="0084298E" w:rsidRPr="00B45516" w:rsidRDefault="0084298E" w:rsidP="00A05D1D">
            <w:pPr>
              <w:jc w:val="center"/>
              <w:rPr>
                <w:b/>
              </w:rPr>
            </w:pPr>
            <w:r w:rsidRPr="00B45516">
              <w:rPr>
                <w:b/>
              </w:rPr>
              <w:t>£000</w:t>
            </w:r>
          </w:p>
        </w:tc>
      </w:tr>
      <w:tr w:rsidR="000A66F1" w:rsidRPr="000127EF" w14:paraId="1FE82D13" w14:textId="77777777" w:rsidTr="00E165AE">
        <w:trPr>
          <w:jc w:val="center"/>
        </w:trPr>
        <w:tc>
          <w:tcPr>
            <w:tcW w:w="1454" w:type="dxa"/>
            <w:tcBorders>
              <w:bottom w:val="nil"/>
            </w:tcBorders>
          </w:tcPr>
          <w:p w14:paraId="6B41906E" w14:textId="0BCDE64E" w:rsidR="000A66F1" w:rsidRPr="000A66F1" w:rsidRDefault="000A66F1" w:rsidP="000A66F1">
            <w:pPr>
              <w:jc w:val="right"/>
              <w:rPr>
                <w:i/>
              </w:rPr>
            </w:pPr>
            <w:r w:rsidRPr="000A66F1">
              <w:rPr>
                <w:i/>
              </w:rPr>
              <w:t>192</w:t>
            </w:r>
          </w:p>
        </w:tc>
        <w:tc>
          <w:tcPr>
            <w:tcW w:w="5634" w:type="dxa"/>
            <w:tcBorders>
              <w:bottom w:val="nil"/>
            </w:tcBorders>
          </w:tcPr>
          <w:p w14:paraId="4D4EC44C" w14:textId="068BFB40" w:rsidR="000A66F1" w:rsidRPr="000127EF" w:rsidRDefault="00B45516" w:rsidP="000A66F1">
            <w:pPr>
              <w:ind w:left="198" w:hanging="56"/>
              <w:rPr>
                <w:rFonts w:cs="Arial"/>
                <w:szCs w:val="22"/>
                <w:lang w:val="en-US"/>
              </w:rPr>
            </w:pPr>
            <w:r>
              <w:rPr>
                <w:rFonts w:cs="Arial"/>
                <w:szCs w:val="22"/>
                <w:lang w:val="en-US"/>
              </w:rPr>
              <w:t xml:space="preserve">Schools </w:t>
            </w:r>
            <w:r w:rsidR="000A66F1" w:rsidRPr="000127EF">
              <w:rPr>
                <w:rFonts w:cs="Arial"/>
                <w:szCs w:val="22"/>
                <w:lang w:val="en-US"/>
              </w:rPr>
              <w:t>Capital Maintenance</w:t>
            </w:r>
          </w:p>
        </w:tc>
        <w:tc>
          <w:tcPr>
            <w:tcW w:w="1534" w:type="dxa"/>
            <w:tcBorders>
              <w:bottom w:val="nil"/>
            </w:tcBorders>
            <w:shd w:val="clear" w:color="auto" w:fill="C5E0B3" w:themeFill="accent6" w:themeFillTint="66"/>
          </w:tcPr>
          <w:p w14:paraId="61CD66A8" w14:textId="113AD4C6" w:rsidR="000A66F1" w:rsidRPr="00B45516" w:rsidRDefault="00B45516" w:rsidP="000A66F1">
            <w:pPr>
              <w:jc w:val="right"/>
            </w:pPr>
            <w:r w:rsidRPr="00B45516">
              <w:t>154</w:t>
            </w:r>
          </w:p>
        </w:tc>
      </w:tr>
      <w:tr w:rsidR="000A66F1" w:rsidRPr="000127EF" w14:paraId="5D82CDF1" w14:textId="77777777" w:rsidTr="00E165AE">
        <w:trPr>
          <w:jc w:val="center"/>
        </w:trPr>
        <w:tc>
          <w:tcPr>
            <w:tcW w:w="1454" w:type="dxa"/>
            <w:tcBorders>
              <w:bottom w:val="nil"/>
            </w:tcBorders>
          </w:tcPr>
          <w:p w14:paraId="2915F6EA" w14:textId="727F5240" w:rsidR="000A66F1" w:rsidRPr="000A66F1" w:rsidRDefault="000A66F1" w:rsidP="000A66F1">
            <w:pPr>
              <w:jc w:val="right"/>
              <w:rPr>
                <w:i/>
              </w:rPr>
            </w:pPr>
            <w:r w:rsidRPr="000A66F1">
              <w:rPr>
                <w:i/>
              </w:rPr>
              <w:t>-</w:t>
            </w:r>
          </w:p>
        </w:tc>
        <w:tc>
          <w:tcPr>
            <w:tcW w:w="5634" w:type="dxa"/>
            <w:tcBorders>
              <w:bottom w:val="nil"/>
            </w:tcBorders>
          </w:tcPr>
          <w:p w14:paraId="4AAE2DA6" w14:textId="77777777" w:rsidR="000A66F1" w:rsidRPr="000127EF" w:rsidRDefault="000A66F1" w:rsidP="000A66F1">
            <w:pPr>
              <w:ind w:left="198" w:hanging="56"/>
              <w:rPr>
                <w:rFonts w:cs="Arial"/>
                <w:szCs w:val="22"/>
                <w:lang w:val="en-US"/>
              </w:rPr>
            </w:pPr>
            <w:r w:rsidRPr="000127EF">
              <w:rPr>
                <w:rFonts w:cs="Arial"/>
                <w:szCs w:val="22"/>
                <w:lang w:val="en-US"/>
              </w:rPr>
              <w:t>Basic Need Grant</w:t>
            </w:r>
          </w:p>
        </w:tc>
        <w:tc>
          <w:tcPr>
            <w:tcW w:w="1534" w:type="dxa"/>
            <w:tcBorders>
              <w:bottom w:val="nil"/>
            </w:tcBorders>
            <w:shd w:val="clear" w:color="auto" w:fill="C5E0B3" w:themeFill="accent6" w:themeFillTint="66"/>
          </w:tcPr>
          <w:p w14:paraId="171A0D74" w14:textId="190164AF" w:rsidR="000A66F1" w:rsidRPr="00B45516" w:rsidRDefault="00B45516" w:rsidP="000A66F1">
            <w:pPr>
              <w:jc w:val="right"/>
            </w:pPr>
            <w:r w:rsidRPr="00B45516">
              <w:t>0</w:t>
            </w:r>
          </w:p>
        </w:tc>
      </w:tr>
      <w:tr w:rsidR="000A66F1" w:rsidRPr="000127EF" w14:paraId="5058FD5E" w14:textId="77777777" w:rsidTr="00E165AE">
        <w:trPr>
          <w:jc w:val="center"/>
        </w:trPr>
        <w:tc>
          <w:tcPr>
            <w:tcW w:w="1454" w:type="dxa"/>
            <w:tcBorders>
              <w:bottom w:val="nil"/>
            </w:tcBorders>
          </w:tcPr>
          <w:p w14:paraId="7E23763B" w14:textId="5E39082A" w:rsidR="000A66F1" w:rsidRPr="000A66F1" w:rsidRDefault="000A66F1" w:rsidP="000A66F1">
            <w:pPr>
              <w:jc w:val="right"/>
              <w:rPr>
                <w:i/>
              </w:rPr>
            </w:pPr>
            <w:r w:rsidRPr="000A66F1">
              <w:rPr>
                <w:i/>
              </w:rPr>
              <w:t>2,763</w:t>
            </w:r>
          </w:p>
        </w:tc>
        <w:tc>
          <w:tcPr>
            <w:tcW w:w="5634" w:type="dxa"/>
            <w:tcBorders>
              <w:bottom w:val="nil"/>
            </w:tcBorders>
          </w:tcPr>
          <w:p w14:paraId="317BB3EA" w14:textId="77777777" w:rsidR="000A66F1" w:rsidRPr="000127EF" w:rsidRDefault="000A66F1" w:rsidP="000A66F1">
            <w:pPr>
              <w:ind w:left="198" w:hanging="56"/>
              <w:rPr>
                <w:rFonts w:cs="Arial"/>
                <w:szCs w:val="22"/>
                <w:lang w:val="en-US"/>
              </w:rPr>
            </w:pPr>
            <w:r w:rsidRPr="000127EF">
              <w:rPr>
                <w:rFonts w:cs="Arial"/>
                <w:szCs w:val="22"/>
                <w:lang w:val="en-US"/>
              </w:rPr>
              <w:t>Highways Capital Maintenance</w:t>
            </w:r>
          </w:p>
        </w:tc>
        <w:tc>
          <w:tcPr>
            <w:tcW w:w="1534" w:type="dxa"/>
            <w:tcBorders>
              <w:bottom w:val="nil"/>
            </w:tcBorders>
            <w:shd w:val="clear" w:color="auto" w:fill="C5E0B3" w:themeFill="accent6" w:themeFillTint="66"/>
          </w:tcPr>
          <w:p w14:paraId="71B1E2DC" w14:textId="65803C41" w:rsidR="000A66F1" w:rsidRPr="00B45516" w:rsidRDefault="00B45516" w:rsidP="000A66F1">
            <w:pPr>
              <w:jc w:val="right"/>
            </w:pPr>
            <w:r w:rsidRPr="00B45516">
              <w:t>1,855</w:t>
            </w:r>
          </w:p>
        </w:tc>
      </w:tr>
      <w:tr w:rsidR="000A66F1" w:rsidRPr="000127EF" w14:paraId="3DE69D84" w14:textId="77777777" w:rsidTr="00E165AE">
        <w:trPr>
          <w:jc w:val="center"/>
        </w:trPr>
        <w:tc>
          <w:tcPr>
            <w:tcW w:w="1454" w:type="dxa"/>
            <w:tcBorders>
              <w:bottom w:val="nil"/>
            </w:tcBorders>
          </w:tcPr>
          <w:p w14:paraId="00FCEB46" w14:textId="591AC842" w:rsidR="000A66F1" w:rsidRPr="000A66F1" w:rsidRDefault="000A66F1" w:rsidP="000A66F1">
            <w:pPr>
              <w:jc w:val="right"/>
              <w:rPr>
                <w:i/>
              </w:rPr>
            </w:pPr>
            <w:r w:rsidRPr="000A66F1">
              <w:rPr>
                <w:i/>
              </w:rPr>
              <w:t>458</w:t>
            </w:r>
          </w:p>
        </w:tc>
        <w:tc>
          <w:tcPr>
            <w:tcW w:w="5634" w:type="dxa"/>
            <w:tcBorders>
              <w:bottom w:val="nil"/>
            </w:tcBorders>
          </w:tcPr>
          <w:p w14:paraId="01DA9408" w14:textId="77777777" w:rsidR="000A66F1" w:rsidRPr="000127EF" w:rsidRDefault="000A66F1" w:rsidP="000A66F1">
            <w:pPr>
              <w:ind w:left="198" w:hanging="56"/>
              <w:rPr>
                <w:rFonts w:cs="Arial"/>
                <w:szCs w:val="22"/>
                <w:lang w:val="en-US"/>
              </w:rPr>
            </w:pPr>
            <w:r w:rsidRPr="000127EF">
              <w:rPr>
                <w:rFonts w:cs="Arial"/>
                <w:szCs w:val="22"/>
                <w:lang w:val="en-US"/>
              </w:rPr>
              <w:t>Highways Integrated Transport</w:t>
            </w:r>
          </w:p>
        </w:tc>
        <w:tc>
          <w:tcPr>
            <w:tcW w:w="1534" w:type="dxa"/>
            <w:tcBorders>
              <w:bottom w:val="nil"/>
            </w:tcBorders>
            <w:shd w:val="clear" w:color="auto" w:fill="C5E0B3" w:themeFill="accent6" w:themeFillTint="66"/>
          </w:tcPr>
          <w:p w14:paraId="396DA1D8" w14:textId="039469AD" w:rsidR="000A66F1" w:rsidRPr="00B45516" w:rsidRDefault="00B45516" w:rsidP="000A66F1">
            <w:pPr>
              <w:jc w:val="right"/>
            </w:pPr>
            <w:r w:rsidRPr="00B45516">
              <w:t>458</w:t>
            </w:r>
          </w:p>
        </w:tc>
      </w:tr>
      <w:tr w:rsidR="000A66F1" w:rsidRPr="000127EF" w14:paraId="4AA7FB64" w14:textId="77777777" w:rsidTr="00E165AE">
        <w:trPr>
          <w:jc w:val="center"/>
        </w:trPr>
        <w:tc>
          <w:tcPr>
            <w:tcW w:w="1454" w:type="dxa"/>
            <w:tcBorders>
              <w:bottom w:val="nil"/>
            </w:tcBorders>
          </w:tcPr>
          <w:p w14:paraId="5335AB77" w14:textId="4720299B" w:rsidR="000A66F1" w:rsidRPr="000A66F1" w:rsidRDefault="000A66F1" w:rsidP="000A66F1">
            <w:pPr>
              <w:jc w:val="right"/>
              <w:rPr>
                <w:i/>
              </w:rPr>
            </w:pPr>
            <w:r w:rsidRPr="000A66F1">
              <w:rPr>
                <w:i/>
              </w:rPr>
              <w:t>63</w:t>
            </w:r>
          </w:p>
        </w:tc>
        <w:tc>
          <w:tcPr>
            <w:tcW w:w="5634" w:type="dxa"/>
            <w:tcBorders>
              <w:bottom w:val="nil"/>
            </w:tcBorders>
          </w:tcPr>
          <w:p w14:paraId="4CFFDE41" w14:textId="77777777" w:rsidR="000A66F1" w:rsidRPr="000127EF" w:rsidRDefault="000A66F1" w:rsidP="000A66F1">
            <w:pPr>
              <w:ind w:left="198" w:hanging="56"/>
              <w:rPr>
                <w:rFonts w:cs="Arial"/>
                <w:szCs w:val="22"/>
                <w:lang w:val="en-US"/>
              </w:rPr>
            </w:pPr>
            <w:r w:rsidRPr="000127EF">
              <w:rPr>
                <w:rFonts w:cs="Arial"/>
                <w:szCs w:val="22"/>
                <w:lang w:val="en-US"/>
              </w:rPr>
              <w:t>Devolved Formula Capital</w:t>
            </w:r>
          </w:p>
        </w:tc>
        <w:tc>
          <w:tcPr>
            <w:tcW w:w="1534" w:type="dxa"/>
            <w:tcBorders>
              <w:bottom w:val="nil"/>
            </w:tcBorders>
            <w:shd w:val="clear" w:color="auto" w:fill="C5E0B3" w:themeFill="accent6" w:themeFillTint="66"/>
          </w:tcPr>
          <w:p w14:paraId="0EFE3E48" w14:textId="6FA6C013" w:rsidR="000A66F1" w:rsidRPr="00B45516" w:rsidRDefault="00B45516" w:rsidP="000A66F1">
            <w:pPr>
              <w:jc w:val="right"/>
            </w:pPr>
            <w:r w:rsidRPr="00B45516">
              <w:t>11</w:t>
            </w:r>
          </w:p>
        </w:tc>
      </w:tr>
      <w:tr w:rsidR="000A66F1" w:rsidRPr="000127EF" w14:paraId="4918E984" w14:textId="77777777" w:rsidTr="00E165AE">
        <w:trPr>
          <w:jc w:val="center"/>
        </w:trPr>
        <w:tc>
          <w:tcPr>
            <w:tcW w:w="1454" w:type="dxa"/>
            <w:tcBorders>
              <w:bottom w:val="nil"/>
            </w:tcBorders>
          </w:tcPr>
          <w:p w14:paraId="2963FDC0" w14:textId="7EDC01C9" w:rsidR="000A66F1" w:rsidRPr="000A66F1" w:rsidRDefault="000A66F1" w:rsidP="000A66F1">
            <w:pPr>
              <w:jc w:val="right"/>
              <w:rPr>
                <w:i/>
              </w:rPr>
            </w:pPr>
            <w:r w:rsidRPr="000A66F1">
              <w:rPr>
                <w:i/>
              </w:rPr>
              <w:t>247</w:t>
            </w:r>
          </w:p>
        </w:tc>
        <w:tc>
          <w:tcPr>
            <w:tcW w:w="5634" w:type="dxa"/>
            <w:tcBorders>
              <w:bottom w:val="nil"/>
            </w:tcBorders>
          </w:tcPr>
          <w:p w14:paraId="7C0A8118" w14:textId="71015F52" w:rsidR="000A66F1" w:rsidRPr="000127EF" w:rsidRDefault="000A66F1" w:rsidP="000A66F1">
            <w:pPr>
              <w:ind w:left="198" w:hanging="56"/>
              <w:rPr>
                <w:rFonts w:cs="Arial"/>
                <w:szCs w:val="22"/>
                <w:lang w:val="en-US"/>
              </w:rPr>
            </w:pPr>
            <w:r w:rsidRPr="000127EF">
              <w:rPr>
                <w:rFonts w:cs="Arial"/>
                <w:szCs w:val="22"/>
                <w:lang w:val="en-US"/>
              </w:rPr>
              <w:t>Better Care Fund (BCF)</w:t>
            </w:r>
          </w:p>
        </w:tc>
        <w:tc>
          <w:tcPr>
            <w:tcW w:w="1534" w:type="dxa"/>
            <w:tcBorders>
              <w:bottom w:val="nil"/>
            </w:tcBorders>
            <w:shd w:val="clear" w:color="auto" w:fill="C5E0B3" w:themeFill="accent6" w:themeFillTint="66"/>
          </w:tcPr>
          <w:p w14:paraId="3A076776" w14:textId="6B239BE0" w:rsidR="000A66F1" w:rsidRPr="00B45516" w:rsidRDefault="00B45516" w:rsidP="000A66F1">
            <w:pPr>
              <w:jc w:val="right"/>
            </w:pPr>
            <w:r w:rsidRPr="00B45516">
              <w:t>238</w:t>
            </w:r>
          </w:p>
        </w:tc>
      </w:tr>
      <w:tr w:rsidR="000A66F1" w:rsidRPr="000127EF" w14:paraId="1B6EAE49" w14:textId="77777777" w:rsidTr="00BA19E2">
        <w:trPr>
          <w:jc w:val="center"/>
        </w:trPr>
        <w:tc>
          <w:tcPr>
            <w:tcW w:w="1454" w:type="dxa"/>
            <w:tcBorders>
              <w:top w:val="nil"/>
              <w:bottom w:val="nil"/>
            </w:tcBorders>
          </w:tcPr>
          <w:p w14:paraId="5BC34A03" w14:textId="253B3AD2" w:rsidR="000A66F1" w:rsidRPr="000A66F1" w:rsidRDefault="000A66F1" w:rsidP="000A66F1">
            <w:pPr>
              <w:jc w:val="right"/>
              <w:rPr>
                <w:i/>
              </w:rPr>
            </w:pPr>
            <w:r w:rsidRPr="000A66F1">
              <w:rPr>
                <w:i/>
              </w:rPr>
              <w:t>240</w:t>
            </w:r>
          </w:p>
        </w:tc>
        <w:tc>
          <w:tcPr>
            <w:tcW w:w="5634" w:type="dxa"/>
            <w:tcBorders>
              <w:top w:val="nil"/>
              <w:bottom w:val="nil"/>
            </w:tcBorders>
          </w:tcPr>
          <w:p w14:paraId="6DFB45DB" w14:textId="7D38907A" w:rsidR="000A66F1" w:rsidRPr="000127EF" w:rsidRDefault="000A66F1" w:rsidP="000A66F1">
            <w:pPr>
              <w:ind w:left="198" w:hanging="56"/>
              <w:rPr>
                <w:rFonts w:cs="Arial"/>
                <w:szCs w:val="22"/>
                <w:lang w:val="en-US"/>
              </w:rPr>
            </w:pPr>
            <w:r w:rsidRPr="000127EF">
              <w:rPr>
                <w:rFonts w:cs="Arial"/>
                <w:szCs w:val="22"/>
                <w:lang w:val="en-US"/>
              </w:rPr>
              <w:t>Heritage Lottery Funding</w:t>
            </w:r>
          </w:p>
        </w:tc>
        <w:tc>
          <w:tcPr>
            <w:tcW w:w="1534" w:type="dxa"/>
            <w:tcBorders>
              <w:top w:val="nil"/>
              <w:bottom w:val="nil"/>
            </w:tcBorders>
            <w:shd w:val="clear" w:color="auto" w:fill="C5E0B3" w:themeFill="accent6" w:themeFillTint="66"/>
          </w:tcPr>
          <w:p w14:paraId="5BB3CA8F" w14:textId="501FCDB2" w:rsidR="000A66F1" w:rsidRPr="00B45516" w:rsidRDefault="00B45516" w:rsidP="000A66F1">
            <w:pPr>
              <w:jc w:val="right"/>
            </w:pPr>
            <w:r w:rsidRPr="00B45516">
              <w:t>139</w:t>
            </w:r>
          </w:p>
        </w:tc>
      </w:tr>
      <w:tr w:rsidR="000A66F1" w:rsidRPr="000127EF" w14:paraId="3132D2B4" w14:textId="77777777" w:rsidTr="00BA19E2">
        <w:trPr>
          <w:jc w:val="center"/>
        </w:trPr>
        <w:tc>
          <w:tcPr>
            <w:tcW w:w="1454" w:type="dxa"/>
            <w:tcBorders>
              <w:top w:val="nil"/>
              <w:bottom w:val="nil"/>
            </w:tcBorders>
          </w:tcPr>
          <w:p w14:paraId="29897209" w14:textId="465A1DD0" w:rsidR="000A66F1" w:rsidRPr="000A66F1" w:rsidRDefault="000A66F1" w:rsidP="000A66F1">
            <w:pPr>
              <w:jc w:val="right"/>
              <w:rPr>
                <w:i/>
              </w:rPr>
            </w:pPr>
            <w:r w:rsidRPr="000A66F1">
              <w:rPr>
                <w:i/>
              </w:rPr>
              <w:t>167</w:t>
            </w:r>
          </w:p>
        </w:tc>
        <w:tc>
          <w:tcPr>
            <w:tcW w:w="5634" w:type="dxa"/>
            <w:tcBorders>
              <w:top w:val="nil"/>
              <w:bottom w:val="nil"/>
            </w:tcBorders>
          </w:tcPr>
          <w:p w14:paraId="18E89B2A" w14:textId="329CF6F7" w:rsidR="000A66F1" w:rsidRPr="000127EF" w:rsidRDefault="000A66F1" w:rsidP="000A66F1">
            <w:pPr>
              <w:ind w:left="198" w:hanging="56"/>
              <w:rPr>
                <w:rFonts w:cs="Arial"/>
                <w:szCs w:val="22"/>
                <w:lang w:val="en-US"/>
              </w:rPr>
            </w:pPr>
            <w:r w:rsidRPr="000127EF">
              <w:rPr>
                <w:rFonts w:cs="Arial"/>
                <w:szCs w:val="22"/>
                <w:lang w:val="en-US"/>
              </w:rPr>
              <w:t xml:space="preserve">Special funding Provision (SEND) </w:t>
            </w:r>
          </w:p>
        </w:tc>
        <w:tc>
          <w:tcPr>
            <w:tcW w:w="1534" w:type="dxa"/>
            <w:tcBorders>
              <w:top w:val="nil"/>
              <w:bottom w:val="nil"/>
            </w:tcBorders>
            <w:shd w:val="clear" w:color="auto" w:fill="C5E0B3" w:themeFill="accent6" w:themeFillTint="66"/>
          </w:tcPr>
          <w:p w14:paraId="2E955035" w14:textId="6F23001A" w:rsidR="000A66F1" w:rsidRPr="00B45516" w:rsidRDefault="00B45516" w:rsidP="000A66F1">
            <w:pPr>
              <w:jc w:val="right"/>
            </w:pPr>
            <w:r w:rsidRPr="00B45516">
              <w:t>516</w:t>
            </w:r>
          </w:p>
        </w:tc>
      </w:tr>
      <w:tr w:rsidR="000A66F1" w:rsidRPr="000127EF" w14:paraId="27EFBB21" w14:textId="77777777" w:rsidTr="00E165AE">
        <w:trPr>
          <w:trHeight w:val="104"/>
          <w:jc w:val="center"/>
        </w:trPr>
        <w:tc>
          <w:tcPr>
            <w:tcW w:w="1454" w:type="dxa"/>
            <w:tcBorders>
              <w:top w:val="nil"/>
              <w:bottom w:val="nil"/>
            </w:tcBorders>
          </w:tcPr>
          <w:p w14:paraId="0020F44D" w14:textId="682A6C4C" w:rsidR="000A66F1" w:rsidRPr="000A66F1" w:rsidRDefault="000A66F1" w:rsidP="000A66F1">
            <w:pPr>
              <w:jc w:val="right"/>
              <w:rPr>
                <w:i/>
              </w:rPr>
            </w:pPr>
            <w:r w:rsidRPr="000A66F1">
              <w:rPr>
                <w:i/>
              </w:rPr>
              <w:t>213</w:t>
            </w:r>
          </w:p>
        </w:tc>
        <w:tc>
          <w:tcPr>
            <w:tcW w:w="5634" w:type="dxa"/>
            <w:tcBorders>
              <w:top w:val="nil"/>
              <w:bottom w:val="nil"/>
            </w:tcBorders>
          </w:tcPr>
          <w:p w14:paraId="0B48CFEB" w14:textId="30379EF1" w:rsidR="000A66F1" w:rsidRPr="000127EF" w:rsidRDefault="000A66F1" w:rsidP="000A66F1">
            <w:pPr>
              <w:ind w:left="198" w:hanging="56"/>
              <w:rPr>
                <w:rFonts w:cs="Arial"/>
                <w:szCs w:val="22"/>
                <w:lang w:val="en-US"/>
              </w:rPr>
            </w:pPr>
            <w:r w:rsidRPr="000127EF">
              <w:rPr>
                <w:rFonts w:cs="Arial"/>
                <w:szCs w:val="22"/>
                <w:lang w:val="en-US"/>
              </w:rPr>
              <w:t>Other Grants &amp; Contributions</w:t>
            </w:r>
          </w:p>
        </w:tc>
        <w:tc>
          <w:tcPr>
            <w:tcW w:w="1534" w:type="dxa"/>
            <w:tcBorders>
              <w:top w:val="nil"/>
              <w:bottom w:val="nil"/>
            </w:tcBorders>
            <w:shd w:val="clear" w:color="auto" w:fill="C5E0B3" w:themeFill="accent6" w:themeFillTint="66"/>
          </w:tcPr>
          <w:p w14:paraId="035D28B8" w14:textId="2CC7C881" w:rsidR="000A66F1" w:rsidRPr="00B45516" w:rsidRDefault="00B45516" w:rsidP="000A66F1">
            <w:pPr>
              <w:jc w:val="right"/>
            </w:pPr>
            <w:r w:rsidRPr="00B45516">
              <w:t>0</w:t>
            </w:r>
          </w:p>
        </w:tc>
      </w:tr>
      <w:tr w:rsidR="000A66F1" w:rsidRPr="000127EF" w14:paraId="667C1191" w14:textId="77777777" w:rsidTr="00BA19E2">
        <w:trPr>
          <w:trHeight w:val="104"/>
          <w:jc w:val="center"/>
        </w:trPr>
        <w:tc>
          <w:tcPr>
            <w:tcW w:w="1454" w:type="dxa"/>
            <w:tcBorders>
              <w:top w:val="single" w:sz="8" w:space="0" w:color="auto"/>
              <w:bottom w:val="single" w:sz="8" w:space="0" w:color="auto"/>
            </w:tcBorders>
          </w:tcPr>
          <w:p w14:paraId="32EAB696" w14:textId="01DDCD0D" w:rsidR="000A66F1" w:rsidRPr="000A66F1" w:rsidRDefault="00D873AC" w:rsidP="000A66F1">
            <w:pPr>
              <w:jc w:val="right"/>
              <w:rPr>
                <w:i/>
              </w:rPr>
            </w:pPr>
            <w:r>
              <w:rPr>
                <w:b/>
                <w:i/>
              </w:rPr>
              <w:fldChar w:fldCharType="begin"/>
            </w:r>
            <w:r>
              <w:rPr>
                <w:b/>
                <w:i/>
              </w:rPr>
              <w:instrText xml:space="preserve"> =SUM(a3:a11) </w:instrText>
            </w:r>
            <w:r>
              <w:rPr>
                <w:b/>
                <w:i/>
              </w:rPr>
              <w:fldChar w:fldCharType="separate"/>
            </w:r>
            <w:r>
              <w:rPr>
                <w:b/>
                <w:i/>
                <w:noProof/>
              </w:rPr>
              <w:t>4,343</w:t>
            </w:r>
            <w:r>
              <w:rPr>
                <w:b/>
                <w:i/>
              </w:rPr>
              <w:fldChar w:fldCharType="end"/>
            </w:r>
          </w:p>
        </w:tc>
        <w:tc>
          <w:tcPr>
            <w:tcW w:w="5634" w:type="dxa"/>
            <w:tcBorders>
              <w:bottom w:val="nil"/>
            </w:tcBorders>
          </w:tcPr>
          <w:p w14:paraId="716B6404" w14:textId="306A5AEF" w:rsidR="000A66F1" w:rsidRPr="000127EF" w:rsidRDefault="000A66F1" w:rsidP="000A66F1">
            <w:pPr>
              <w:ind w:left="198" w:hanging="56"/>
              <w:rPr>
                <w:rFonts w:cs="Arial"/>
                <w:szCs w:val="22"/>
                <w:lang w:val="en-US"/>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3FE8F141" w14:textId="0763B570" w:rsidR="000A66F1" w:rsidRPr="00B45516" w:rsidRDefault="00B45516" w:rsidP="000A66F1">
            <w:pPr>
              <w:jc w:val="right"/>
            </w:pPr>
            <w:r w:rsidRPr="00B45516">
              <w:t>3,371</w:t>
            </w:r>
          </w:p>
        </w:tc>
      </w:tr>
      <w:tr w:rsidR="00F43867" w:rsidRPr="000127EF" w14:paraId="7903434A" w14:textId="77777777" w:rsidTr="00A05D1D">
        <w:trPr>
          <w:trHeight w:hRule="exact" w:val="142"/>
          <w:jc w:val="center"/>
        </w:trPr>
        <w:tc>
          <w:tcPr>
            <w:tcW w:w="1454" w:type="dxa"/>
            <w:tcBorders>
              <w:top w:val="nil"/>
            </w:tcBorders>
          </w:tcPr>
          <w:p w14:paraId="5DFFB996" w14:textId="77777777" w:rsidR="00F43867" w:rsidRPr="000127EF" w:rsidRDefault="00F43867" w:rsidP="00F43867">
            <w:pPr>
              <w:jc w:val="right"/>
              <w:rPr>
                <w:i/>
                <w:sz w:val="12"/>
                <w:szCs w:val="12"/>
              </w:rPr>
            </w:pPr>
          </w:p>
        </w:tc>
        <w:tc>
          <w:tcPr>
            <w:tcW w:w="5634" w:type="dxa"/>
            <w:tcBorders>
              <w:top w:val="nil"/>
            </w:tcBorders>
          </w:tcPr>
          <w:p w14:paraId="367F9CBD" w14:textId="77777777" w:rsidR="00F43867" w:rsidRPr="000127EF" w:rsidRDefault="00F43867" w:rsidP="00F43867">
            <w:pPr>
              <w:jc w:val="both"/>
              <w:rPr>
                <w:sz w:val="12"/>
                <w:szCs w:val="12"/>
              </w:rPr>
            </w:pPr>
          </w:p>
        </w:tc>
        <w:tc>
          <w:tcPr>
            <w:tcW w:w="1534" w:type="dxa"/>
            <w:tcBorders>
              <w:top w:val="nil"/>
            </w:tcBorders>
          </w:tcPr>
          <w:p w14:paraId="58ACD20E" w14:textId="77777777" w:rsidR="00F43867" w:rsidRPr="00B45516" w:rsidRDefault="00F43867" w:rsidP="00F43867">
            <w:pPr>
              <w:jc w:val="right"/>
              <w:rPr>
                <w:sz w:val="12"/>
                <w:szCs w:val="12"/>
              </w:rPr>
            </w:pPr>
          </w:p>
        </w:tc>
      </w:tr>
    </w:tbl>
    <w:p w14:paraId="0D3976C8" w14:textId="77777777" w:rsidR="001254EB" w:rsidRPr="000127EF" w:rsidRDefault="00483E44" w:rsidP="001254EB">
      <w:pPr>
        <w:pStyle w:val="Heading1"/>
        <w:numPr>
          <w:ilvl w:val="0"/>
          <w:numId w:val="8"/>
        </w:numPr>
        <w:ind w:left="426"/>
        <w:rPr>
          <w:sz w:val="22"/>
          <w:szCs w:val="22"/>
        </w:rPr>
      </w:pPr>
      <w:r w:rsidRPr="000127EF">
        <w:rPr>
          <w:sz w:val="22"/>
          <w:szCs w:val="22"/>
        </w:rPr>
        <w:t xml:space="preserve">Movement in Reserves Statement - </w:t>
      </w:r>
      <w:r w:rsidR="001254EB" w:rsidRPr="000127EF">
        <w:rPr>
          <w:sz w:val="22"/>
          <w:szCs w:val="22"/>
        </w:rPr>
        <w:t>Adjustments Between Accounting Basis &amp; Funding Basis Under Regulations</w:t>
      </w:r>
    </w:p>
    <w:p w14:paraId="708E84BC" w14:textId="77777777" w:rsidR="00483E44" w:rsidRPr="000127EF" w:rsidRDefault="00483E44" w:rsidP="00483E44">
      <w:pPr>
        <w:spacing w:after="120"/>
      </w:pPr>
      <w:r w:rsidRPr="000127EF">
        <w:t>This note details the adjustments that are made to the total Comprehensive Income and Expenditure Statement recognised by the Council in the year in accordance with proper accounting practice to the resources that are specified by statutory provisions as being available to the Council to meet future capital and revenue expenditure.</w:t>
      </w:r>
    </w:p>
    <w:p w14:paraId="26871556" w14:textId="77777777" w:rsidR="00483E44" w:rsidRPr="000127EF" w:rsidRDefault="00483E44" w:rsidP="007779CE">
      <w:pPr>
        <w:pStyle w:val="ListParagraph"/>
        <w:numPr>
          <w:ilvl w:val="0"/>
          <w:numId w:val="9"/>
        </w:numPr>
      </w:pPr>
      <w:r w:rsidRPr="000127EF">
        <w:rPr>
          <w:b/>
        </w:rPr>
        <w:t>General Fund Balance</w:t>
      </w:r>
      <w:r w:rsidRPr="000127EF">
        <w:t xml:space="preserve"> - is the statutory fund into which all the receipts of an authority are required to paid in and out of which all liabilities of the Council are to be met, except to the extent that statutory rules might provide otherwise.  These rules can also specify the financial year in which liabilities and payments should impact on the General Fund, which is not necessarily in accordance with proper accounting practice.  The General Fund Balance therefore summarises the resources that the Council is statutorily empowered to spend on its services or on capital investment (or the deficit of resources that the Council is required to recover) at the end of the financial year.</w:t>
      </w:r>
    </w:p>
    <w:p w14:paraId="274A5398" w14:textId="77777777" w:rsidR="00483E44" w:rsidRPr="000127EF" w:rsidRDefault="00483E44" w:rsidP="007779CE">
      <w:pPr>
        <w:pStyle w:val="ListParagraph"/>
        <w:numPr>
          <w:ilvl w:val="0"/>
          <w:numId w:val="9"/>
        </w:numPr>
      </w:pPr>
      <w:r w:rsidRPr="000127EF">
        <w:rPr>
          <w:b/>
        </w:rPr>
        <w:t>Capital Receipts Reserve</w:t>
      </w:r>
      <w:r w:rsidRPr="000127EF">
        <w:t xml:space="preserve"> – holds the proceeds from the disposal of land or other assets, which are restricted by statute from being used other than to fund new capital expenditure or to be set aside to finance historical capital expenditure.</w:t>
      </w:r>
    </w:p>
    <w:p w14:paraId="6975AF67" w14:textId="77777777" w:rsidR="00483E44" w:rsidRPr="000127EF" w:rsidRDefault="00483E44" w:rsidP="009171A6">
      <w:pPr>
        <w:pStyle w:val="ListParagraph"/>
        <w:numPr>
          <w:ilvl w:val="0"/>
          <w:numId w:val="9"/>
        </w:numPr>
        <w:spacing w:after="120"/>
        <w:ind w:left="986" w:hanging="629"/>
      </w:pPr>
      <w:r w:rsidRPr="000127EF">
        <w:rPr>
          <w:b/>
        </w:rPr>
        <w:t>Capital Grants Unapplied Account</w:t>
      </w:r>
      <w:r w:rsidRPr="000127EF">
        <w:t xml:space="preserve"> – holds the grants and contributions received towards capital projects for which the Council has met the conditions that would otherwise require repayment of the monies but which have yet to be applied to meet expenditure.  The balance is not restricted by grant terms as to the capital expenditure against which it can be applied and / or the financial year in which this can take place.</w:t>
      </w:r>
    </w:p>
    <w:p w14:paraId="62D703AB" w14:textId="77777777" w:rsidR="00483E44" w:rsidRPr="000127EF" w:rsidRDefault="00483E44" w:rsidP="009171A6">
      <w:pPr>
        <w:spacing w:after="120"/>
      </w:pPr>
      <w:r w:rsidRPr="000127EF">
        <w:rPr>
          <w:b/>
        </w:rPr>
        <w:t>Usable Reserves</w:t>
      </w:r>
      <w:r w:rsidRPr="000127EF">
        <w:t xml:space="preserve"> are those reserves that can be applied to fund expenditure or reduce local taxation, however the Council is restricted in the use of these as the schools balances are held by schools and can only be spent by schools. The Capital Grants Unapplied Account can only be used to finance the Capital Programme and the General Fund is used by the Council to maintain a prudent level of reserves.</w:t>
      </w:r>
    </w:p>
    <w:p w14:paraId="6DB49D9F" w14:textId="77777777" w:rsidR="00347909" w:rsidRPr="000127EF" w:rsidRDefault="00483E44" w:rsidP="00347909">
      <w:pPr>
        <w:spacing w:after="120"/>
      </w:pPr>
      <w:r w:rsidRPr="000127EF">
        <w:rPr>
          <w:b/>
        </w:rPr>
        <w:t>Unusable Reserves</w:t>
      </w:r>
      <w:r w:rsidRPr="000127EF">
        <w:t xml:space="preserve"> are those reserves that absorb the timing differences arising from different accounting arrangements.</w:t>
      </w:r>
    </w:p>
    <w:p w14:paraId="2B452C72" w14:textId="77777777" w:rsidR="00CE0021" w:rsidRPr="000127EF" w:rsidRDefault="00347909" w:rsidP="007075E5">
      <w:pPr>
        <w:spacing w:after="120"/>
        <w:rPr>
          <w:b/>
        </w:rPr>
        <w:sectPr w:rsidR="00CE0021" w:rsidRPr="000127EF" w:rsidSect="008C78E8">
          <w:pgSz w:w="11907" w:h="16840" w:code="9"/>
          <w:pgMar w:top="1135" w:right="992" w:bottom="1440" w:left="709" w:header="567" w:footer="851" w:gutter="0"/>
          <w:paperSrc w:first="7" w:other="7"/>
          <w:cols w:space="720"/>
          <w:docGrid w:linePitch="299"/>
        </w:sectPr>
      </w:pPr>
      <w:r w:rsidRPr="000127EF">
        <w:rPr>
          <w:b/>
        </w:rPr>
        <w:t xml:space="preserve"> </w:t>
      </w:r>
    </w:p>
    <w:p w14:paraId="62D27462" w14:textId="091FFD4D" w:rsidR="00763E03" w:rsidRPr="000127EF" w:rsidRDefault="00483E44" w:rsidP="007075E5">
      <w:pPr>
        <w:spacing w:after="120"/>
        <w:rPr>
          <w:b/>
        </w:rPr>
      </w:pPr>
      <w:r w:rsidRPr="000127EF">
        <w:rPr>
          <w:b/>
        </w:rPr>
        <w:lastRenderedPageBreak/>
        <w:t>Summary o</w:t>
      </w:r>
      <w:r w:rsidR="007075E5" w:rsidRPr="000127EF">
        <w:rPr>
          <w:b/>
        </w:rPr>
        <w:t xml:space="preserve">f Usable and Unusable Reserves </w:t>
      </w:r>
    </w:p>
    <w:tbl>
      <w:tblPr>
        <w:tblStyle w:val="TableGrid"/>
        <w:tblW w:w="8624"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336"/>
        <w:gridCol w:w="3217"/>
        <w:gridCol w:w="1214"/>
        <w:gridCol w:w="1448"/>
        <w:gridCol w:w="1409"/>
      </w:tblGrid>
      <w:tr w:rsidR="00B062AD" w:rsidRPr="000127EF" w14:paraId="1BE1ADF0" w14:textId="77777777" w:rsidTr="007A79E7">
        <w:trPr>
          <w:jc w:val="center"/>
        </w:trPr>
        <w:tc>
          <w:tcPr>
            <w:tcW w:w="1336" w:type="dxa"/>
          </w:tcPr>
          <w:p w14:paraId="0A0BEC5C" w14:textId="5F7370E4" w:rsidR="00B062AD" w:rsidRPr="000127EF" w:rsidRDefault="000A66F1" w:rsidP="007A79E7">
            <w:pPr>
              <w:jc w:val="center"/>
              <w:rPr>
                <w:b/>
                <w:i/>
              </w:rPr>
            </w:pPr>
            <w:r>
              <w:rPr>
                <w:b/>
                <w:i/>
              </w:rPr>
              <w:t>31 March 2019</w:t>
            </w:r>
          </w:p>
        </w:tc>
        <w:tc>
          <w:tcPr>
            <w:tcW w:w="3217" w:type="dxa"/>
          </w:tcPr>
          <w:p w14:paraId="067737C7" w14:textId="77777777" w:rsidR="00B062AD" w:rsidRPr="000127EF" w:rsidRDefault="00B062AD" w:rsidP="007A79E7">
            <w:pPr>
              <w:rPr>
                <w:b/>
              </w:rPr>
            </w:pPr>
            <w:r w:rsidRPr="000127EF">
              <w:rPr>
                <w:b/>
              </w:rPr>
              <w:t>Summary of Usable &amp; Unusable Reserves</w:t>
            </w:r>
          </w:p>
        </w:tc>
        <w:tc>
          <w:tcPr>
            <w:tcW w:w="1214" w:type="dxa"/>
          </w:tcPr>
          <w:p w14:paraId="26A3832B" w14:textId="71F091B3" w:rsidR="00B062AD" w:rsidRPr="00890BBC" w:rsidRDefault="000A66F1" w:rsidP="007A79E7">
            <w:pPr>
              <w:jc w:val="center"/>
              <w:rPr>
                <w:b/>
              </w:rPr>
            </w:pPr>
            <w:r w:rsidRPr="00890BBC">
              <w:rPr>
                <w:b/>
              </w:rPr>
              <w:t>1 April 2019</w:t>
            </w:r>
          </w:p>
        </w:tc>
        <w:tc>
          <w:tcPr>
            <w:tcW w:w="1448" w:type="dxa"/>
            <w:vAlign w:val="center"/>
          </w:tcPr>
          <w:p w14:paraId="69EBD319" w14:textId="77777777" w:rsidR="00B062AD" w:rsidRPr="00890BBC" w:rsidRDefault="00B062AD" w:rsidP="007A79E7">
            <w:pPr>
              <w:jc w:val="center"/>
              <w:rPr>
                <w:b/>
              </w:rPr>
            </w:pPr>
            <w:r w:rsidRPr="00890BBC">
              <w:rPr>
                <w:b/>
              </w:rPr>
              <w:t>Movement</w:t>
            </w:r>
          </w:p>
        </w:tc>
        <w:tc>
          <w:tcPr>
            <w:tcW w:w="1409" w:type="dxa"/>
          </w:tcPr>
          <w:p w14:paraId="170E550E" w14:textId="22D0DD8B" w:rsidR="00B062AD" w:rsidRPr="00890BBC" w:rsidRDefault="000A66F1" w:rsidP="007A79E7">
            <w:pPr>
              <w:jc w:val="center"/>
              <w:rPr>
                <w:b/>
              </w:rPr>
            </w:pPr>
            <w:r w:rsidRPr="00890BBC">
              <w:rPr>
                <w:b/>
              </w:rPr>
              <w:t>31 March 2020</w:t>
            </w:r>
          </w:p>
        </w:tc>
      </w:tr>
      <w:tr w:rsidR="00B062AD" w:rsidRPr="000127EF" w14:paraId="1519BC15" w14:textId="77777777" w:rsidTr="007A79E7">
        <w:trPr>
          <w:jc w:val="center"/>
        </w:trPr>
        <w:tc>
          <w:tcPr>
            <w:tcW w:w="1336" w:type="dxa"/>
          </w:tcPr>
          <w:p w14:paraId="3BDA9E57" w14:textId="77777777" w:rsidR="00B062AD" w:rsidRPr="000127EF" w:rsidRDefault="00B062AD" w:rsidP="007A79E7">
            <w:pPr>
              <w:jc w:val="center"/>
              <w:rPr>
                <w:b/>
                <w:i/>
              </w:rPr>
            </w:pPr>
            <w:r w:rsidRPr="000127EF">
              <w:rPr>
                <w:b/>
                <w:i/>
              </w:rPr>
              <w:t>£000</w:t>
            </w:r>
          </w:p>
        </w:tc>
        <w:tc>
          <w:tcPr>
            <w:tcW w:w="3217" w:type="dxa"/>
          </w:tcPr>
          <w:p w14:paraId="4CF93464" w14:textId="77777777" w:rsidR="00B062AD" w:rsidRPr="000127EF" w:rsidRDefault="00B062AD" w:rsidP="007A79E7">
            <w:pPr>
              <w:jc w:val="both"/>
            </w:pPr>
          </w:p>
        </w:tc>
        <w:tc>
          <w:tcPr>
            <w:tcW w:w="1214" w:type="dxa"/>
          </w:tcPr>
          <w:p w14:paraId="0F5BB06E" w14:textId="77777777" w:rsidR="00B062AD" w:rsidRPr="00890BBC" w:rsidRDefault="00B062AD" w:rsidP="007A79E7">
            <w:pPr>
              <w:ind w:firstLine="33"/>
              <w:jc w:val="center"/>
              <w:rPr>
                <w:b/>
              </w:rPr>
            </w:pPr>
            <w:r w:rsidRPr="00890BBC">
              <w:rPr>
                <w:b/>
              </w:rPr>
              <w:t>£000</w:t>
            </w:r>
          </w:p>
        </w:tc>
        <w:tc>
          <w:tcPr>
            <w:tcW w:w="1448" w:type="dxa"/>
          </w:tcPr>
          <w:p w14:paraId="4B8C261B" w14:textId="77777777" w:rsidR="00B062AD" w:rsidRPr="00890BBC" w:rsidRDefault="00B062AD" w:rsidP="007A79E7">
            <w:pPr>
              <w:jc w:val="center"/>
              <w:rPr>
                <w:b/>
              </w:rPr>
            </w:pPr>
            <w:r w:rsidRPr="00890BBC">
              <w:rPr>
                <w:b/>
              </w:rPr>
              <w:t>£000</w:t>
            </w:r>
          </w:p>
        </w:tc>
        <w:tc>
          <w:tcPr>
            <w:tcW w:w="1409" w:type="dxa"/>
            <w:shd w:val="clear" w:color="auto" w:fill="C5E0B3" w:themeFill="accent6" w:themeFillTint="66"/>
          </w:tcPr>
          <w:p w14:paraId="5A9EB1D9" w14:textId="77777777" w:rsidR="00B062AD" w:rsidRPr="00890BBC" w:rsidRDefault="00B062AD" w:rsidP="007A79E7">
            <w:pPr>
              <w:jc w:val="center"/>
              <w:rPr>
                <w:b/>
              </w:rPr>
            </w:pPr>
            <w:r w:rsidRPr="00890BBC">
              <w:rPr>
                <w:b/>
              </w:rPr>
              <w:t>£000</w:t>
            </w:r>
          </w:p>
        </w:tc>
      </w:tr>
      <w:tr w:rsidR="00B062AD" w:rsidRPr="000127EF" w14:paraId="21ECEDDF" w14:textId="77777777" w:rsidTr="00F76FFD">
        <w:trPr>
          <w:trHeight w:val="85"/>
          <w:jc w:val="center"/>
        </w:trPr>
        <w:tc>
          <w:tcPr>
            <w:tcW w:w="1336" w:type="dxa"/>
          </w:tcPr>
          <w:p w14:paraId="17513AD6" w14:textId="77777777" w:rsidR="00B062AD" w:rsidRPr="000127EF" w:rsidRDefault="00B062AD" w:rsidP="007A79E7">
            <w:pPr>
              <w:jc w:val="both"/>
              <w:rPr>
                <w:i/>
              </w:rPr>
            </w:pPr>
          </w:p>
        </w:tc>
        <w:tc>
          <w:tcPr>
            <w:tcW w:w="3217" w:type="dxa"/>
          </w:tcPr>
          <w:p w14:paraId="224AE8FA" w14:textId="77777777" w:rsidR="00B062AD" w:rsidRPr="000127EF" w:rsidRDefault="00B062AD" w:rsidP="007A79E7">
            <w:pPr>
              <w:jc w:val="both"/>
            </w:pPr>
            <w:r w:rsidRPr="000127EF">
              <w:rPr>
                <w:b/>
              </w:rPr>
              <w:t>Usable Reserves</w:t>
            </w:r>
          </w:p>
        </w:tc>
        <w:tc>
          <w:tcPr>
            <w:tcW w:w="1214" w:type="dxa"/>
          </w:tcPr>
          <w:p w14:paraId="2ED8925E" w14:textId="77777777" w:rsidR="00B062AD" w:rsidRPr="00890BBC" w:rsidRDefault="00B062AD" w:rsidP="007A79E7">
            <w:pPr>
              <w:jc w:val="both"/>
            </w:pPr>
          </w:p>
        </w:tc>
        <w:tc>
          <w:tcPr>
            <w:tcW w:w="1448" w:type="dxa"/>
          </w:tcPr>
          <w:p w14:paraId="4573E7EE" w14:textId="77777777" w:rsidR="00B062AD" w:rsidRPr="00890BBC" w:rsidRDefault="00B062AD" w:rsidP="007A79E7">
            <w:pPr>
              <w:jc w:val="both"/>
            </w:pPr>
          </w:p>
        </w:tc>
        <w:tc>
          <w:tcPr>
            <w:tcW w:w="1409" w:type="dxa"/>
            <w:shd w:val="clear" w:color="auto" w:fill="C5E0B3" w:themeFill="accent6" w:themeFillTint="66"/>
          </w:tcPr>
          <w:p w14:paraId="0A956FC1" w14:textId="77777777" w:rsidR="00B062AD" w:rsidRPr="00890BBC" w:rsidRDefault="00B062AD" w:rsidP="007A79E7">
            <w:pPr>
              <w:jc w:val="both"/>
            </w:pPr>
          </w:p>
        </w:tc>
      </w:tr>
      <w:tr w:rsidR="000A66F1" w:rsidRPr="000127EF" w14:paraId="13691F44" w14:textId="77777777" w:rsidTr="000A66F1">
        <w:trPr>
          <w:trHeight w:val="170"/>
          <w:jc w:val="center"/>
        </w:trPr>
        <w:tc>
          <w:tcPr>
            <w:tcW w:w="1336" w:type="dxa"/>
            <w:vAlign w:val="bottom"/>
          </w:tcPr>
          <w:p w14:paraId="196E44AD" w14:textId="07C5C262" w:rsidR="000A66F1" w:rsidRPr="000A66F1" w:rsidRDefault="000A66F1" w:rsidP="000A66F1">
            <w:pPr>
              <w:jc w:val="right"/>
              <w:rPr>
                <w:i/>
              </w:rPr>
            </w:pPr>
            <w:r w:rsidRPr="000A66F1">
              <w:rPr>
                <w:i/>
              </w:rPr>
              <w:fldChar w:fldCharType="begin"/>
            </w:r>
            <w:r w:rsidRPr="000A66F1">
              <w:rPr>
                <w:i/>
              </w:rPr>
              <w:instrText xml:space="preserve"> =SUM(left) </w:instrText>
            </w:r>
            <w:r w:rsidRPr="000A66F1">
              <w:rPr>
                <w:i/>
              </w:rPr>
              <w:fldChar w:fldCharType="separate"/>
            </w:r>
            <w:r w:rsidRPr="000A66F1">
              <w:rPr>
                <w:i/>
                <w:noProof/>
              </w:rPr>
              <w:t>8,96</w:t>
            </w:r>
            <w:r w:rsidRPr="000A66F1">
              <w:rPr>
                <w:i/>
              </w:rPr>
              <w:fldChar w:fldCharType="end"/>
            </w:r>
            <w:r w:rsidRPr="000A66F1">
              <w:rPr>
                <w:i/>
              </w:rPr>
              <w:t>3</w:t>
            </w:r>
          </w:p>
        </w:tc>
        <w:tc>
          <w:tcPr>
            <w:tcW w:w="3217" w:type="dxa"/>
          </w:tcPr>
          <w:p w14:paraId="364D7152" w14:textId="77777777" w:rsidR="000A66F1" w:rsidRPr="000127EF" w:rsidRDefault="000A66F1" w:rsidP="000A66F1">
            <w:pPr>
              <w:jc w:val="both"/>
            </w:pPr>
            <w:r w:rsidRPr="000127EF">
              <w:t>General Fund Balance</w:t>
            </w:r>
          </w:p>
        </w:tc>
        <w:tc>
          <w:tcPr>
            <w:tcW w:w="1214" w:type="dxa"/>
            <w:vAlign w:val="bottom"/>
          </w:tcPr>
          <w:p w14:paraId="540133C6" w14:textId="102A719E" w:rsidR="000A66F1" w:rsidRPr="00890BBC" w:rsidRDefault="00890BBC" w:rsidP="000A66F1">
            <w:pPr>
              <w:jc w:val="right"/>
            </w:pPr>
            <w:r w:rsidRPr="00890BBC">
              <w:t>8,960</w:t>
            </w:r>
          </w:p>
        </w:tc>
        <w:tc>
          <w:tcPr>
            <w:tcW w:w="1448" w:type="dxa"/>
            <w:vAlign w:val="bottom"/>
          </w:tcPr>
          <w:p w14:paraId="4D2C1CBA" w14:textId="5AC87A28" w:rsidR="000A66F1" w:rsidRPr="00890BBC" w:rsidRDefault="00AE7462" w:rsidP="000A66F1">
            <w:pPr>
              <w:jc w:val="right"/>
            </w:pPr>
            <w:r>
              <w:t>317</w:t>
            </w:r>
          </w:p>
        </w:tc>
        <w:tc>
          <w:tcPr>
            <w:tcW w:w="1409" w:type="dxa"/>
            <w:shd w:val="clear" w:color="auto" w:fill="C5E0B3" w:themeFill="accent6" w:themeFillTint="66"/>
            <w:vAlign w:val="bottom"/>
          </w:tcPr>
          <w:p w14:paraId="3056F7B1" w14:textId="0D82E46B" w:rsidR="000A66F1" w:rsidRPr="00890BBC" w:rsidRDefault="00AE7462" w:rsidP="000A66F1">
            <w:pPr>
              <w:jc w:val="right"/>
            </w:pPr>
            <w:r>
              <w:t>9,277</w:t>
            </w:r>
          </w:p>
        </w:tc>
      </w:tr>
      <w:tr w:rsidR="000A66F1" w:rsidRPr="000127EF" w14:paraId="324D3742" w14:textId="77777777" w:rsidTr="000A66F1">
        <w:trPr>
          <w:trHeight w:val="170"/>
          <w:jc w:val="center"/>
        </w:trPr>
        <w:tc>
          <w:tcPr>
            <w:tcW w:w="1336" w:type="dxa"/>
            <w:vAlign w:val="bottom"/>
          </w:tcPr>
          <w:p w14:paraId="42E11EA3" w14:textId="5BF2286C" w:rsidR="000A66F1" w:rsidRPr="000A66F1" w:rsidRDefault="000A66F1" w:rsidP="000A66F1">
            <w:pPr>
              <w:jc w:val="right"/>
              <w:rPr>
                <w:i/>
              </w:rPr>
            </w:pPr>
            <w:r w:rsidRPr="000A66F1">
              <w:rPr>
                <w:i/>
              </w:rPr>
              <w:fldChar w:fldCharType="begin"/>
            </w:r>
            <w:r w:rsidRPr="000A66F1">
              <w:rPr>
                <w:i/>
              </w:rPr>
              <w:instrText xml:space="preserve"> =SUM(left) </w:instrText>
            </w:r>
            <w:r w:rsidRPr="000A66F1">
              <w:rPr>
                <w:i/>
              </w:rPr>
              <w:fldChar w:fldCharType="separate"/>
            </w:r>
            <w:r w:rsidRPr="000A66F1">
              <w:rPr>
                <w:i/>
                <w:noProof/>
              </w:rPr>
              <w:t>64</w:t>
            </w:r>
            <w:r w:rsidRPr="000A66F1">
              <w:rPr>
                <w:i/>
              </w:rPr>
              <w:fldChar w:fldCharType="end"/>
            </w:r>
            <w:r w:rsidRPr="000A66F1">
              <w:rPr>
                <w:i/>
              </w:rPr>
              <w:t>2</w:t>
            </w:r>
          </w:p>
        </w:tc>
        <w:tc>
          <w:tcPr>
            <w:tcW w:w="3217" w:type="dxa"/>
          </w:tcPr>
          <w:p w14:paraId="51613020" w14:textId="1C3B4279" w:rsidR="000A66F1" w:rsidRPr="000127EF" w:rsidRDefault="000A66F1" w:rsidP="000A66F1">
            <w:pPr>
              <w:jc w:val="both"/>
            </w:pPr>
            <w:r w:rsidRPr="000127EF">
              <w:t>School Balances</w:t>
            </w:r>
            <w:r w:rsidR="00F30F55">
              <w:t>*</w:t>
            </w:r>
          </w:p>
        </w:tc>
        <w:tc>
          <w:tcPr>
            <w:tcW w:w="1214" w:type="dxa"/>
            <w:vAlign w:val="bottom"/>
          </w:tcPr>
          <w:p w14:paraId="18801E75" w14:textId="65935CCB" w:rsidR="000A66F1" w:rsidRPr="00890BBC" w:rsidRDefault="00890BBC" w:rsidP="000A66F1">
            <w:pPr>
              <w:jc w:val="right"/>
            </w:pPr>
            <w:r w:rsidRPr="00890BBC">
              <w:t>643</w:t>
            </w:r>
          </w:p>
        </w:tc>
        <w:tc>
          <w:tcPr>
            <w:tcW w:w="1448" w:type="dxa"/>
            <w:vAlign w:val="bottom"/>
          </w:tcPr>
          <w:p w14:paraId="061D3863" w14:textId="1B0F567F" w:rsidR="000A66F1" w:rsidRPr="00890BBC" w:rsidRDefault="00890BBC" w:rsidP="000A66F1">
            <w:pPr>
              <w:jc w:val="right"/>
            </w:pPr>
            <w:r w:rsidRPr="00890BBC">
              <w:t>(235)</w:t>
            </w:r>
          </w:p>
        </w:tc>
        <w:tc>
          <w:tcPr>
            <w:tcW w:w="1409" w:type="dxa"/>
            <w:shd w:val="clear" w:color="auto" w:fill="C5E0B3" w:themeFill="accent6" w:themeFillTint="66"/>
            <w:vAlign w:val="bottom"/>
          </w:tcPr>
          <w:p w14:paraId="2A08E530" w14:textId="0E3FD806" w:rsidR="000A66F1" w:rsidRPr="00890BBC" w:rsidRDefault="00890BBC" w:rsidP="000A66F1">
            <w:pPr>
              <w:jc w:val="right"/>
            </w:pPr>
            <w:r w:rsidRPr="00890BBC">
              <w:t>408</w:t>
            </w:r>
          </w:p>
        </w:tc>
      </w:tr>
      <w:tr w:rsidR="000A66F1" w:rsidRPr="000127EF" w14:paraId="04CC50D6" w14:textId="77777777" w:rsidTr="000A66F1">
        <w:trPr>
          <w:trHeight w:val="170"/>
          <w:jc w:val="center"/>
        </w:trPr>
        <w:tc>
          <w:tcPr>
            <w:tcW w:w="1336" w:type="dxa"/>
            <w:vAlign w:val="bottom"/>
          </w:tcPr>
          <w:p w14:paraId="574DAA21" w14:textId="14B81649" w:rsidR="000A66F1" w:rsidRPr="000A66F1" w:rsidRDefault="000A66F1" w:rsidP="000A66F1">
            <w:pPr>
              <w:jc w:val="right"/>
              <w:rPr>
                <w:i/>
              </w:rPr>
            </w:pPr>
            <w:r w:rsidRPr="000A66F1">
              <w:rPr>
                <w:i/>
              </w:rPr>
              <w:fldChar w:fldCharType="begin"/>
            </w:r>
            <w:r w:rsidRPr="000A66F1">
              <w:rPr>
                <w:i/>
              </w:rPr>
              <w:instrText xml:space="preserve"> =SUM(left) </w:instrText>
            </w:r>
            <w:r w:rsidRPr="000A66F1">
              <w:rPr>
                <w:i/>
              </w:rPr>
              <w:fldChar w:fldCharType="separate"/>
            </w:r>
            <w:r w:rsidRPr="000A66F1">
              <w:rPr>
                <w:i/>
                <w:noProof/>
              </w:rPr>
              <w:t>11,93</w:t>
            </w:r>
            <w:r w:rsidRPr="000A66F1">
              <w:rPr>
                <w:i/>
              </w:rPr>
              <w:fldChar w:fldCharType="end"/>
            </w:r>
            <w:r w:rsidRPr="000A66F1">
              <w:rPr>
                <w:i/>
              </w:rPr>
              <w:t>3</w:t>
            </w:r>
          </w:p>
        </w:tc>
        <w:tc>
          <w:tcPr>
            <w:tcW w:w="3217" w:type="dxa"/>
          </w:tcPr>
          <w:p w14:paraId="598494F2" w14:textId="77777777" w:rsidR="000A66F1" w:rsidRPr="000127EF" w:rsidRDefault="000A66F1" w:rsidP="000A66F1">
            <w:pPr>
              <w:jc w:val="both"/>
            </w:pPr>
            <w:r w:rsidRPr="000127EF">
              <w:t>Specific Reserves (Note 14)</w:t>
            </w:r>
          </w:p>
        </w:tc>
        <w:tc>
          <w:tcPr>
            <w:tcW w:w="1214" w:type="dxa"/>
            <w:vAlign w:val="bottom"/>
          </w:tcPr>
          <w:p w14:paraId="4E52E367" w14:textId="44261AD7" w:rsidR="000A66F1" w:rsidRPr="00890BBC" w:rsidRDefault="00890BBC" w:rsidP="000A66F1">
            <w:pPr>
              <w:jc w:val="right"/>
            </w:pPr>
            <w:r w:rsidRPr="00890BBC">
              <w:t>11,933</w:t>
            </w:r>
          </w:p>
        </w:tc>
        <w:tc>
          <w:tcPr>
            <w:tcW w:w="1448" w:type="dxa"/>
            <w:vAlign w:val="bottom"/>
          </w:tcPr>
          <w:p w14:paraId="5CEAB7F0" w14:textId="13C4C9E9" w:rsidR="000A66F1" w:rsidRPr="00890BBC" w:rsidRDefault="00AE7462" w:rsidP="000A66F1">
            <w:pPr>
              <w:jc w:val="right"/>
            </w:pPr>
            <w:r>
              <w:t>2,145</w:t>
            </w:r>
          </w:p>
        </w:tc>
        <w:tc>
          <w:tcPr>
            <w:tcW w:w="1409" w:type="dxa"/>
            <w:shd w:val="clear" w:color="auto" w:fill="C5E0B3" w:themeFill="accent6" w:themeFillTint="66"/>
            <w:vAlign w:val="bottom"/>
          </w:tcPr>
          <w:p w14:paraId="339F6401" w14:textId="53569B4F" w:rsidR="000A66F1" w:rsidRPr="00890BBC" w:rsidRDefault="00AE7462" w:rsidP="000A66F1">
            <w:pPr>
              <w:jc w:val="right"/>
            </w:pPr>
            <w:r>
              <w:t>14,078</w:t>
            </w:r>
          </w:p>
        </w:tc>
      </w:tr>
      <w:tr w:rsidR="000A66F1" w:rsidRPr="000127EF" w14:paraId="348FBA60" w14:textId="77777777" w:rsidTr="000A66F1">
        <w:trPr>
          <w:trHeight w:val="170"/>
          <w:jc w:val="center"/>
        </w:trPr>
        <w:tc>
          <w:tcPr>
            <w:tcW w:w="1336" w:type="dxa"/>
            <w:vAlign w:val="bottom"/>
          </w:tcPr>
          <w:p w14:paraId="2D45C662" w14:textId="0B440B01" w:rsidR="000A66F1" w:rsidRPr="000A66F1" w:rsidRDefault="000A66F1" w:rsidP="000A66F1">
            <w:pPr>
              <w:jc w:val="right"/>
              <w:rPr>
                <w:i/>
              </w:rPr>
            </w:pPr>
            <w:r w:rsidRPr="000A66F1">
              <w:rPr>
                <w:i/>
              </w:rPr>
              <w:fldChar w:fldCharType="begin"/>
            </w:r>
            <w:r w:rsidRPr="000A66F1">
              <w:rPr>
                <w:i/>
              </w:rPr>
              <w:instrText xml:space="preserve"> =SUM(left) </w:instrText>
            </w:r>
            <w:r w:rsidRPr="000A66F1">
              <w:rPr>
                <w:i/>
              </w:rPr>
              <w:fldChar w:fldCharType="separate"/>
            </w:r>
            <w:r w:rsidRPr="000A66F1">
              <w:rPr>
                <w:i/>
                <w:noProof/>
              </w:rPr>
              <w:t>1,442</w:t>
            </w:r>
            <w:r w:rsidRPr="000A66F1">
              <w:rPr>
                <w:i/>
              </w:rPr>
              <w:fldChar w:fldCharType="end"/>
            </w:r>
          </w:p>
        </w:tc>
        <w:tc>
          <w:tcPr>
            <w:tcW w:w="3217" w:type="dxa"/>
          </w:tcPr>
          <w:p w14:paraId="68D8709F" w14:textId="77777777" w:rsidR="000A66F1" w:rsidRPr="000127EF" w:rsidRDefault="000A66F1" w:rsidP="000A66F1">
            <w:pPr>
              <w:jc w:val="both"/>
            </w:pPr>
            <w:r w:rsidRPr="000127EF">
              <w:t>Capital Receipts Reserve</w:t>
            </w:r>
          </w:p>
        </w:tc>
        <w:tc>
          <w:tcPr>
            <w:tcW w:w="1214" w:type="dxa"/>
            <w:vAlign w:val="bottom"/>
          </w:tcPr>
          <w:p w14:paraId="5265677E" w14:textId="568F9261" w:rsidR="000A66F1" w:rsidRPr="00890BBC" w:rsidRDefault="00890BBC" w:rsidP="000A66F1">
            <w:pPr>
              <w:jc w:val="right"/>
            </w:pPr>
            <w:r w:rsidRPr="00890BBC">
              <w:t>1,443</w:t>
            </w:r>
          </w:p>
        </w:tc>
        <w:tc>
          <w:tcPr>
            <w:tcW w:w="1448" w:type="dxa"/>
            <w:vAlign w:val="bottom"/>
          </w:tcPr>
          <w:p w14:paraId="17401D8D" w14:textId="0E730E6B" w:rsidR="000A66F1" w:rsidRPr="00890BBC" w:rsidRDefault="00890BBC" w:rsidP="000A66F1">
            <w:pPr>
              <w:jc w:val="right"/>
            </w:pPr>
            <w:r w:rsidRPr="00890BBC">
              <w:t>75</w:t>
            </w:r>
          </w:p>
        </w:tc>
        <w:tc>
          <w:tcPr>
            <w:tcW w:w="1409" w:type="dxa"/>
            <w:shd w:val="clear" w:color="auto" w:fill="C5E0B3" w:themeFill="accent6" w:themeFillTint="66"/>
            <w:vAlign w:val="bottom"/>
          </w:tcPr>
          <w:p w14:paraId="11BA565C" w14:textId="520BD9BD" w:rsidR="000A66F1" w:rsidRPr="00890BBC" w:rsidRDefault="00890BBC" w:rsidP="000A66F1">
            <w:pPr>
              <w:jc w:val="right"/>
            </w:pPr>
            <w:r w:rsidRPr="00890BBC">
              <w:t>1,518</w:t>
            </w:r>
          </w:p>
        </w:tc>
      </w:tr>
      <w:tr w:rsidR="000A66F1" w:rsidRPr="000127EF" w14:paraId="19A3E7A1" w14:textId="77777777" w:rsidTr="000A66F1">
        <w:trPr>
          <w:trHeight w:val="170"/>
          <w:jc w:val="center"/>
        </w:trPr>
        <w:tc>
          <w:tcPr>
            <w:tcW w:w="1336" w:type="dxa"/>
            <w:tcBorders>
              <w:bottom w:val="single" w:sz="4" w:space="0" w:color="auto"/>
            </w:tcBorders>
            <w:vAlign w:val="bottom"/>
          </w:tcPr>
          <w:p w14:paraId="08EDBC23" w14:textId="1EFB9467" w:rsidR="000A66F1" w:rsidRPr="000A66F1" w:rsidRDefault="000A66F1" w:rsidP="000A66F1">
            <w:pPr>
              <w:jc w:val="right"/>
              <w:rPr>
                <w:i/>
              </w:rPr>
            </w:pPr>
            <w:r w:rsidRPr="000A66F1">
              <w:rPr>
                <w:i/>
              </w:rPr>
              <w:fldChar w:fldCharType="begin"/>
            </w:r>
            <w:r w:rsidRPr="000A66F1">
              <w:rPr>
                <w:i/>
              </w:rPr>
              <w:instrText xml:space="preserve"> =SUM(left) </w:instrText>
            </w:r>
            <w:r w:rsidRPr="000A66F1">
              <w:rPr>
                <w:i/>
              </w:rPr>
              <w:fldChar w:fldCharType="separate"/>
            </w:r>
            <w:r w:rsidRPr="000A66F1">
              <w:rPr>
                <w:i/>
                <w:noProof/>
              </w:rPr>
              <w:t>6,607</w:t>
            </w:r>
            <w:r w:rsidRPr="000A66F1">
              <w:rPr>
                <w:i/>
              </w:rPr>
              <w:fldChar w:fldCharType="end"/>
            </w:r>
          </w:p>
        </w:tc>
        <w:tc>
          <w:tcPr>
            <w:tcW w:w="3217" w:type="dxa"/>
          </w:tcPr>
          <w:p w14:paraId="2357343A" w14:textId="77777777" w:rsidR="000A66F1" w:rsidRPr="000127EF" w:rsidRDefault="000A66F1" w:rsidP="000A66F1">
            <w:pPr>
              <w:jc w:val="both"/>
            </w:pPr>
            <w:r w:rsidRPr="000127EF">
              <w:t xml:space="preserve">Capital Grants </w:t>
            </w:r>
          </w:p>
        </w:tc>
        <w:tc>
          <w:tcPr>
            <w:tcW w:w="1214" w:type="dxa"/>
            <w:tcBorders>
              <w:bottom w:val="single" w:sz="4" w:space="0" w:color="auto"/>
            </w:tcBorders>
            <w:vAlign w:val="bottom"/>
          </w:tcPr>
          <w:p w14:paraId="637B60AC" w14:textId="3A04DBFA" w:rsidR="000A66F1" w:rsidRPr="00890BBC" w:rsidRDefault="00890BBC" w:rsidP="000A66F1">
            <w:pPr>
              <w:jc w:val="right"/>
            </w:pPr>
            <w:r w:rsidRPr="00890BBC">
              <w:t>6,607</w:t>
            </w:r>
          </w:p>
        </w:tc>
        <w:tc>
          <w:tcPr>
            <w:tcW w:w="1448" w:type="dxa"/>
            <w:tcBorders>
              <w:bottom w:val="single" w:sz="4" w:space="0" w:color="auto"/>
            </w:tcBorders>
            <w:vAlign w:val="bottom"/>
          </w:tcPr>
          <w:p w14:paraId="0F388AE4" w14:textId="26FFF632" w:rsidR="000A66F1" w:rsidRPr="00890BBC" w:rsidRDefault="00890BBC" w:rsidP="000A66F1">
            <w:pPr>
              <w:jc w:val="right"/>
            </w:pPr>
            <w:r w:rsidRPr="00890BBC">
              <w:t>(165)</w:t>
            </w:r>
          </w:p>
        </w:tc>
        <w:tc>
          <w:tcPr>
            <w:tcW w:w="1409" w:type="dxa"/>
            <w:tcBorders>
              <w:bottom w:val="single" w:sz="4" w:space="0" w:color="auto"/>
            </w:tcBorders>
            <w:shd w:val="clear" w:color="auto" w:fill="C5E0B3" w:themeFill="accent6" w:themeFillTint="66"/>
            <w:vAlign w:val="bottom"/>
          </w:tcPr>
          <w:p w14:paraId="07350F98" w14:textId="3AFC0CED" w:rsidR="000A66F1" w:rsidRPr="00890BBC" w:rsidRDefault="00890BBC" w:rsidP="000A66F1">
            <w:pPr>
              <w:jc w:val="right"/>
            </w:pPr>
            <w:r w:rsidRPr="00890BBC">
              <w:t>6,442</w:t>
            </w:r>
          </w:p>
        </w:tc>
      </w:tr>
      <w:tr w:rsidR="000A66F1" w:rsidRPr="000127EF" w14:paraId="30257C02" w14:textId="77777777" w:rsidTr="007A79E7">
        <w:trPr>
          <w:jc w:val="center"/>
        </w:trPr>
        <w:tc>
          <w:tcPr>
            <w:tcW w:w="1336" w:type="dxa"/>
            <w:tcBorders>
              <w:top w:val="single" w:sz="4" w:space="0" w:color="auto"/>
            </w:tcBorders>
            <w:vAlign w:val="bottom"/>
          </w:tcPr>
          <w:p w14:paraId="3FF9C1D0" w14:textId="1FDF529A" w:rsidR="000A66F1" w:rsidRPr="000A66F1" w:rsidRDefault="000A66F1" w:rsidP="000A66F1">
            <w:pPr>
              <w:jc w:val="right"/>
              <w:rPr>
                <w:b/>
                <w:i/>
              </w:rPr>
            </w:pPr>
            <w:r w:rsidRPr="000A66F1">
              <w:rPr>
                <w:b/>
                <w:i/>
              </w:rPr>
              <w:fldChar w:fldCharType="begin"/>
            </w:r>
            <w:r w:rsidRPr="000A66F1">
              <w:rPr>
                <w:b/>
                <w:i/>
              </w:rPr>
              <w:instrText xml:space="preserve"> =SUM(e4:e8) </w:instrText>
            </w:r>
            <w:r w:rsidRPr="000A66F1">
              <w:rPr>
                <w:b/>
                <w:i/>
              </w:rPr>
              <w:fldChar w:fldCharType="separate"/>
            </w:r>
            <w:r w:rsidRPr="000A66F1">
              <w:rPr>
                <w:b/>
                <w:i/>
                <w:noProof/>
              </w:rPr>
              <w:t>29,587</w:t>
            </w:r>
            <w:r w:rsidRPr="000A66F1">
              <w:rPr>
                <w:b/>
                <w:i/>
              </w:rPr>
              <w:fldChar w:fldCharType="end"/>
            </w:r>
          </w:p>
        </w:tc>
        <w:tc>
          <w:tcPr>
            <w:tcW w:w="3217" w:type="dxa"/>
          </w:tcPr>
          <w:p w14:paraId="6B8D167C" w14:textId="77777777" w:rsidR="000A66F1" w:rsidRPr="000127EF" w:rsidRDefault="000A66F1" w:rsidP="000A66F1">
            <w:pPr>
              <w:jc w:val="both"/>
              <w:rPr>
                <w:b/>
              </w:rPr>
            </w:pPr>
            <w:r w:rsidRPr="000127EF">
              <w:rPr>
                <w:b/>
              </w:rPr>
              <w:t>Total Usable Reserves</w:t>
            </w:r>
          </w:p>
        </w:tc>
        <w:tc>
          <w:tcPr>
            <w:tcW w:w="1214" w:type="dxa"/>
            <w:tcBorders>
              <w:top w:val="single" w:sz="4" w:space="0" w:color="auto"/>
            </w:tcBorders>
            <w:vAlign w:val="bottom"/>
          </w:tcPr>
          <w:p w14:paraId="1EA48FA8" w14:textId="6E709352" w:rsidR="000A66F1" w:rsidRPr="00890BBC" w:rsidRDefault="00890BBC" w:rsidP="000A66F1">
            <w:pPr>
              <w:jc w:val="right"/>
              <w:rPr>
                <w:b/>
              </w:rPr>
            </w:pPr>
            <w:r w:rsidRPr="00890BBC">
              <w:rPr>
                <w:b/>
              </w:rPr>
              <w:t>29,586</w:t>
            </w:r>
          </w:p>
        </w:tc>
        <w:tc>
          <w:tcPr>
            <w:tcW w:w="1448" w:type="dxa"/>
            <w:tcBorders>
              <w:top w:val="single" w:sz="4" w:space="0" w:color="auto"/>
            </w:tcBorders>
            <w:vAlign w:val="bottom"/>
          </w:tcPr>
          <w:p w14:paraId="2A27D635" w14:textId="24AA8026" w:rsidR="000A66F1" w:rsidRPr="00890BBC" w:rsidRDefault="00AE7462" w:rsidP="000A66F1">
            <w:pPr>
              <w:jc w:val="right"/>
              <w:rPr>
                <w:b/>
              </w:rPr>
            </w:pPr>
            <w:r>
              <w:rPr>
                <w:b/>
              </w:rPr>
              <w:t>2,137</w:t>
            </w:r>
          </w:p>
        </w:tc>
        <w:tc>
          <w:tcPr>
            <w:tcW w:w="1409" w:type="dxa"/>
            <w:tcBorders>
              <w:top w:val="single" w:sz="4" w:space="0" w:color="auto"/>
            </w:tcBorders>
            <w:shd w:val="clear" w:color="auto" w:fill="C5E0B3" w:themeFill="accent6" w:themeFillTint="66"/>
            <w:vAlign w:val="bottom"/>
          </w:tcPr>
          <w:p w14:paraId="55516F3E" w14:textId="5747FFA3" w:rsidR="000A66F1" w:rsidRPr="00890BBC" w:rsidRDefault="00AE7462" w:rsidP="000A66F1">
            <w:pPr>
              <w:jc w:val="right"/>
              <w:rPr>
                <w:b/>
              </w:rPr>
            </w:pPr>
            <w:r>
              <w:rPr>
                <w:b/>
              </w:rPr>
              <w:t>31,723</w:t>
            </w:r>
          </w:p>
        </w:tc>
      </w:tr>
      <w:tr w:rsidR="000A66F1" w:rsidRPr="000127EF" w14:paraId="3ECEC9E8" w14:textId="77777777" w:rsidTr="007A79E7">
        <w:trPr>
          <w:jc w:val="center"/>
        </w:trPr>
        <w:tc>
          <w:tcPr>
            <w:tcW w:w="1336" w:type="dxa"/>
            <w:vAlign w:val="bottom"/>
          </w:tcPr>
          <w:p w14:paraId="29133471" w14:textId="5F6CF585" w:rsidR="000A66F1" w:rsidRPr="000A66F1" w:rsidRDefault="000A66F1" w:rsidP="000A66F1">
            <w:pPr>
              <w:jc w:val="right"/>
              <w:rPr>
                <w:i/>
              </w:rPr>
            </w:pPr>
            <w:r w:rsidRPr="000A66F1">
              <w:rPr>
                <w:i/>
              </w:rPr>
              <w:fldChar w:fldCharType="begin"/>
            </w:r>
            <w:r w:rsidRPr="000A66F1">
              <w:rPr>
                <w:i/>
              </w:rPr>
              <w:instrText xml:space="preserve"> =SUM(left) </w:instrText>
            </w:r>
            <w:r w:rsidRPr="000A66F1">
              <w:rPr>
                <w:i/>
              </w:rPr>
              <w:fldChar w:fldCharType="separate"/>
            </w:r>
            <w:r w:rsidRPr="000A66F1">
              <w:rPr>
                <w:i/>
                <w:noProof/>
              </w:rPr>
              <w:t>13,842</w:t>
            </w:r>
            <w:r w:rsidRPr="000A66F1">
              <w:rPr>
                <w:i/>
              </w:rPr>
              <w:fldChar w:fldCharType="end"/>
            </w:r>
          </w:p>
        </w:tc>
        <w:tc>
          <w:tcPr>
            <w:tcW w:w="3217" w:type="dxa"/>
          </w:tcPr>
          <w:p w14:paraId="60CF931D" w14:textId="77777777" w:rsidR="000A66F1" w:rsidRPr="000127EF" w:rsidRDefault="000A66F1" w:rsidP="000A66F1">
            <w:r w:rsidRPr="000127EF">
              <w:t>Revaluation Reserve</w:t>
            </w:r>
          </w:p>
        </w:tc>
        <w:tc>
          <w:tcPr>
            <w:tcW w:w="1214" w:type="dxa"/>
            <w:vAlign w:val="bottom"/>
          </w:tcPr>
          <w:p w14:paraId="164BA4FE" w14:textId="64341A11" w:rsidR="000A66F1" w:rsidRPr="00890BBC" w:rsidRDefault="00890BBC" w:rsidP="000A66F1">
            <w:pPr>
              <w:jc w:val="right"/>
            </w:pPr>
            <w:r w:rsidRPr="00890BBC">
              <w:t>13,842</w:t>
            </w:r>
          </w:p>
        </w:tc>
        <w:tc>
          <w:tcPr>
            <w:tcW w:w="1448" w:type="dxa"/>
            <w:vAlign w:val="bottom"/>
          </w:tcPr>
          <w:p w14:paraId="6F055580" w14:textId="7D7DDC6B" w:rsidR="000A66F1" w:rsidRPr="00890BBC" w:rsidRDefault="00890BBC" w:rsidP="000A66F1">
            <w:pPr>
              <w:jc w:val="right"/>
            </w:pPr>
            <w:r w:rsidRPr="00890BBC">
              <w:t>1,326</w:t>
            </w:r>
          </w:p>
        </w:tc>
        <w:tc>
          <w:tcPr>
            <w:tcW w:w="1409" w:type="dxa"/>
            <w:shd w:val="clear" w:color="auto" w:fill="C5E0B3" w:themeFill="accent6" w:themeFillTint="66"/>
            <w:vAlign w:val="bottom"/>
          </w:tcPr>
          <w:p w14:paraId="3AADF64D" w14:textId="47702D55" w:rsidR="000A66F1" w:rsidRPr="00890BBC" w:rsidRDefault="00890BBC" w:rsidP="000A66F1">
            <w:pPr>
              <w:jc w:val="right"/>
            </w:pPr>
            <w:r w:rsidRPr="00890BBC">
              <w:t>15,168</w:t>
            </w:r>
          </w:p>
        </w:tc>
      </w:tr>
      <w:tr w:rsidR="000A66F1" w:rsidRPr="000127EF" w14:paraId="2950E61D" w14:textId="77777777" w:rsidTr="007A79E7">
        <w:trPr>
          <w:jc w:val="center"/>
        </w:trPr>
        <w:tc>
          <w:tcPr>
            <w:tcW w:w="1336" w:type="dxa"/>
            <w:vAlign w:val="bottom"/>
          </w:tcPr>
          <w:p w14:paraId="1E248C45" w14:textId="7CF90B1D" w:rsidR="000A66F1" w:rsidRPr="000A66F1" w:rsidRDefault="000A66F1" w:rsidP="000A66F1">
            <w:pPr>
              <w:jc w:val="right"/>
              <w:rPr>
                <w:i/>
              </w:rPr>
            </w:pPr>
            <w:r w:rsidRPr="000A66F1">
              <w:rPr>
                <w:i/>
              </w:rPr>
              <w:fldChar w:fldCharType="begin"/>
            </w:r>
            <w:r w:rsidRPr="000A66F1">
              <w:rPr>
                <w:i/>
              </w:rPr>
              <w:instrText xml:space="preserve"> =SUM(left) </w:instrText>
            </w:r>
            <w:r w:rsidRPr="000A66F1">
              <w:rPr>
                <w:i/>
              </w:rPr>
              <w:fldChar w:fldCharType="separate"/>
            </w:r>
            <w:r w:rsidRPr="000A66F1">
              <w:rPr>
                <w:i/>
                <w:noProof/>
              </w:rPr>
              <w:t>35,765</w:t>
            </w:r>
            <w:r w:rsidRPr="000A66F1">
              <w:rPr>
                <w:i/>
              </w:rPr>
              <w:fldChar w:fldCharType="end"/>
            </w:r>
          </w:p>
        </w:tc>
        <w:tc>
          <w:tcPr>
            <w:tcW w:w="3217" w:type="dxa"/>
          </w:tcPr>
          <w:p w14:paraId="7B25F560" w14:textId="77777777" w:rsidR="000A66F1" w:rsidRPr="000127EF" w:rsidRDefault="000A66F1" w:rsidP="000A66F1">
            <w:r w:rsidRPr="000127EF">
              <w:t>Capital Adjustment Account</w:t>
            </w:r>
          </w:p>
        </w:tc>
        <w:tc>
          <w:tcPr>
            <w:tcW w:w="1214" w:type="dxa"/>
            <w:vAlign w:val="bottom"/>
          </w:tcPr>
          <w:p w14:paraId="7A435A8F" w14:textId="29696577" w:rsidR="000A66F1" w:rsidRPr="00890BBC" w:rsidRDefault="00890BBC" w:rsidP="000A66F1">
            <w:pPr>
              <w:jc w:val="right"/>
            </w:pPr>
            <w:r w:rsidRPr="00890BBC">
              <w:t>35,765</w:t>
            </w:r>
          </w:p>
        </w:tc>
        <w:tc>
          <w:tcPr>
            <w:tcW w:w="1448" w:type="dxa"/>
            <w:vAlign w:val="bottom"/>
          </w:tcPr>
          <w:p w14:paraId="04F6155E" w14:textId="10A225D4" w:rsidR="000A66F1" w:rsidRPr="00890BBC" w:rsidRDefault="00890BBC" w:rsidP="000A66F1">
            <w:pPr>
              <w:jc w:val="right"/>
            </w:pPr>
            <w:r w:rsidRPr="00890BBC">
              <w:t>1,354</w:t>
            </w:r>
          </w:p>
        </w:tc>
        <w:tc>
          <w:tcPr>
            <w:tcW w:w="1409" w:type="dxa"/>
            <w:shd w:val="clear" w:color="auto" w:fill="C5E0B3" w:themeFill="accent6" w:themeFillTint="66"/>
            <w:vAlign w:val="bottom"/>
          </w:tcPr>
          <w:p w14:paraId="6F9E5C89" w14:textId="594A4535" w:rsidR="000A66F1" w:rsidRPr="00890BBC" w:rsidRDefault="00890BBC" w:rsidP="000A66F1">
            <w:pPr>
              <w:jc w:val="right"/>
            </w:pPr>
            <w:r w:rsidRPr="00890BBC">
              <w:t>37,119</w:t>
            </w:r>
          </w:p>
        </w:tc>
      </w:tr>
      <w:tr w:rsidR="000A66F1" w:rsidRPr="000127EF" w14:paraId="461FD4E0" w14:textId="77777777" w:rsidTr="007A79E7">
        <w:trPr>
          <w:jc w:val="center"/>
        </w:trPr>
        <w:tc>
          <w:tcPr>
            <w:tcW w:w="1336" w:type="dxa"/>
            <w:vAlign w:val="bottom"/>
          </w:tcPr>
          <w:p w14:paraId="1F98A135" w14:textId="32EFD946" w:rsidR="000A66F1" w:rsidRPr="000A66F1" w:rsidRDefault="000A66F1" w:rsidP="00D55D81">
            <w:pPr>
              <w:jc w:val="right"/>
              <w:rPr>
                <w:i/>
              </w:rPr>
            </w:pPr>
            <w:r w:rsidRPr="000A66F1">
              <w:rPr>
                <w:i/>
              </w:rPr>
              <w:fldChar w:fldCharType="begin"/>
            </w:r>
            <w:r w:rsidRPr="000A66F1">
              <w:rPr>
                <w:i/>
              </w:rPr>
              <w:instrText xml:space="preserve"> =SUM(left) </w:instrText>
            </w:r>
            <w:r w:rsidRPr="000A66F1">
              <w:rPr>
                <w:i/>
              </w:rPr>
              <w:fldChar w:fldCharType="separate"/>
            </w:r>
            <w:r w:rsidRPr="000A66F1">
              <w:rPr>
                <w:i/>
                <w:noProof/>
              </w:rPr>
              <w:t>34</w:t>
            </w:r>
            <w:r w:rsidRPr="000A66F1">
              <w:rPr>
                <w:i/>
              </w:rPr>
              <w:fldChar w:fldCharType="end"/>
            </w:r>
          </w:p>
        </w:tc>
        <w:tc>
          <w:tcPr>
            <w:tcW w:w="3217" w:type="dxa"/>
          </w:tcPr>
          <w:p w14:paraId="3D6D2A59" w14:textId="77777777" w:rsidR="000A66F1" w:rsidRPr="000127EF" w:rsidRDefault="000A66F1" w:rsidP="00D55D81">
            <w:r w:rsidRPr="000127EF">
              <w:t>Deferred Capital Receipts</w:t>
            </w:r>
          </w:p>
        </w:tc>
        <w:tc>
          <w:tcPr>
            <w:tcW w:w="1214" w:type="dxa"/>
            <w:vAlign w:val="bottom"/>
          </w:tcPr>
          <w:p w14:paraId="1FFE65BC" w14:textId="769EECBF" w:rsidR="000A66F1" w:rsidRPr="00890BBC" w:rsidRDefault="00890BBC" w:rsidP="00D55D81">
            <w:pPr>
              <w:jc w:val="right"/>
            </w:pPr>
            <w:r w:rsidRPr="00890BBC">
              <w:t>33</w:t>
            </w:r>
          </w:p>
        </w:tc>
        <w:tc>
          <w:tcPr>
            <w:tcW w:w="1448" w:type="dxa"/>
            <w:vAlign w:val="bottom"/>
          </w:tcPr>
          <w:p w14:paraId="7D91A91F" w14:textId="3F48E8FD" w:rsidR="000A66F1" w:rsidRPr="00890BBC" w:rsidRDefault="00890BBC" w:rsidP="00D55D81">
            <w:pPr>
              <w:jc w:val="right"/>
            </w:pPr>
            <w:r w:rsidRPr="00890BBC">
              <w:t>(10)</w:t>
            </w:r>
          </w:p>
        </w:tc>
        <w:tc>
          <w:tcPr>
            <w:tcW w:w="1409" w:type="dxa"/>
            <w:shd w:val="clear" w:color="auto" w:fill="C5E0B3" w:themeFill="accent6" w:themeFillTint="66"/>
            <w:vAlign w:val="bottom"/>
          </w:tcPr>
          <w:p w14:paraId="58120392" w14:textId="2096FBFC" w:rsidR="000A66F1" w:rsidRPr="00890BBC" w:rsidRDefault="00890BBC" w:rsidP="00D55D81">
            <w:pPr>
              <w:jc w:val="right"/>
            </w:pPr>
            <w:r w:rsidRPr="00890BBC">
              <w:t>23</w:t>
            </w:r>
          </w:p>
        </w:tc>
      </w:tr>
      <w:tr w:rsidR="000A66F1" w:rsidRPr="000127EF" w14:paraId="70985D8B" w14:textId="77777777" w:rsidTr="007A79E7">
        <w:trPr>
          <w:jc w:val="center"/>
        </w:trPr>
        <w:tc>
          <w:tcPr>
            <w:tcW w:w="1336" w:type="dxa"/>
            <w:vAlign w:val="center"/>
          </w:tcPr>
          <w:p w14:paraId="4E36713D" w14:textId="60083B7F" w:rsidR="000A66F1" w:rsidRPr="000A66F1" w:rsidRDefault="000A66F1" w:rsidP="00D55D81">
            <w:pPr>
              <w:jc w:val="right"/>
              <w:rPr>
                <w:i/>
              </w:rPr>
            </w:pPr>
            <w:r w:rsidRPr="000A66F1">
              <w:rPr>
                <w:i/>
              </w:rPr>
              <w:fldChar w:fldCharType="begin"/>
            </w:r>
            <w:r w:rsidRPr="000A66F1">
              <w:rPr>
                <w:i/>
              </w:rPr>
              <w:instrText xml:space="preserve"> =SUM(c13:d13) </w:instrText>
            </w:r>
            <w:r w:rsidRPr="000A66F1">
              <w:rPr>
                <w:i/>
              </w:rPr>
              <w:fldChar w:fldCharType="separate"/>
            </w:r>
            <w:r w:rsidRPr="000A66F1">
              <w:rPr>
                <w:i/>
                <w:noProof/>
              </w:rPr>
              <w:t>60</w:t>
            </w:r>
            <w:r w:rsidRPr="000A66F1">
              <w:rPr>
                <w:i/>
              </w:rPr>
              <w:fldChar w:fldCharType="end"/>
            </w:r>
          </w:p>
        </w:tc>
        <w:tc>
          <w:tcPr>
            <w:tcW w:w="3217" w:type="dxa"/>
          </w:tcPr>
          <w:p w14:paraId="19A2FF2A" w14:textId="77777777" w:rsidR="000A66F1" w:rsidRPr="000127EF" w:rsidRDefault="000A66F1" w:rsidP="00D55D81">
            <w:r w:rsidRPr="000127EF">
              <w:t>Financial Instruments Adjustment Account</w:t>
            </w:r>
          </w:p>
        </w:tc>
        <w:tc>
          <w:tcPr>
            <w:tcW w:w="1214" w:type="dxa"/>
            <w:vAlign w:val="center"/>
          </w:tcPr>
          <w:p w14:paraId="1D23A51C" w14:textId="5067DD80" w:rsidR="000A66F1" w:rsidRPr="00890BBC" w:rsidRDefault="00890BBC" w:rsidP="00D55D81">
            <w:pPr>
              <w:jc w:val="right"/>
            </w:pPr>
            <w:r w:rsidRPr="00890BBC">
              <w:t>60</w:t>
            </w:r>
          </w:p>
        </w:tc>
        <w:tc>
          <w:tcPr>
            <w:tcW w:w="1448" w:type="dxa"/>
            <w:vAlign w:val="center"/>
          </w:tcPr>
          <w:p w14:paraId="7B81D525" w14:textId="04E09B73" w:rsidR="000A66F1" w:rsidRPr="00890BBC" w:rsidRDefault="00890BBC" w:rsidP="00D55D81">
            <w:pPr>
              <w:jc w:val="right"/>
            </w:pPr>
            <w:r w:rsidRPr="00890BBC">
              <w:t>(16)</w:t>
            </w:r>
          </w:p>
        </w:tc>
        <w:tc>
          <w:tcPr>
            <w:tcW w:w="1409" w:type="dxa"/>
            <w:shd w:val="clear" w:color="auto" w:fill="C5E0B3" w:themeFill="accent6" w:themeFillTint="66"/>
            <w:vAlign w:val="center"/>
          </w:tcPr>
          <w:p w14:paraId="3EDAF290" w14:textId="2FEBCFCC" w:rsidR="000A66F1" w:rsidRPr="00890BBC" w:rsidRDefault="00890BBC" w:rsidP="00D55D81">
            <w:pPr>
              <w:jc w:val="right"/>
            </w:pPr>
            <w:r w:rsidRPr="00890BBC">
              <w:t>44</w:t>
            </w:r>
          </w:p>
        </w:tc>
      </w:tr>
      <w:tr w:rsidR="000A66F1" w:rsidRPr="000127EF" w14:paraId="7DB0EDC8" w14:textId="77777777" w:rsidTr="007A79E7">
        <w:trPr>
          <w:jc w:val="center"/>
        </w:trPr>
        <w:tc>
          <w:tcPr>
            <w:tcW w:w="1336" w:type="dxa"/>
            <w:vAlign w:val="bottom"/>
          </w:tcPr>
          <w:p w14:paraId="20499888" w14:textId="0C2E95EB" w:rsidR="000A66F1" w:rsidRPr="000A66F1" w:rsidRDefault="000A66F1" w:rsidP="00D55D81">
            <w:pPr>
              <w:jc w:val="right"/>
              <w:rPr>
                <w:i/>
              </w:rPr>
            </w:pPr>
            <w:r w:rsidRPr="000A66F1">
              <w:rPr>
                <w:i/>
              </w:rPr>
              <w:fldChar w:fldCharType="begin"/>
            </w:r>
            <w:r w:rsidRPr="000A66F1">
              <w:rPr>
                <w:i/>
              </w:rPr>
              <w:instrText xml:space="preserve"> =SUM(c14:d14) </w:instrText>
            </w:r>
            <w:r w:rsidRPr="000A66F1">
              <w:rPr>
                <w:i/>
              </w:rPr>
              <w:fldChar w:fldCharType="separate"/>
            </w:r>
            <w:r w:rsidRPr="000A66F1">
              <w:rPr>
                <w:i/>
                <w:noProof/>
              </w:rPr>
              <w:t>(4</w:t>
            </w:r>
            <w:r w:rsidR="008C7117">
              <w:rPr>
                <w:i/>
                <w:noProof/>
              </w:rPr>
              <w:t>7,095</w:t>
            </w:r>
            <w:r w:rsidRPr="000A66F1">
              <w:rPr>
                <w:i/>
                <w:noProof/>
              </w:rPr>
              <w:t>)</w:t>
            </w:r>
            <w:r w:rsidRPr="000A66F1">
              <w:rPr>
                <w:i/>
              </w:rPr>
              <w:fldChar w:fldCharType="end"/>
            </w:r>
          </w:p>
        </w:tc>
        <w:tc>
          <w:tcPr>
            <w:tcW w:w="3217" w:type="dxa"/>
          </w:tcPr>
          <w:p w14:paraId="426D56C6" w14:textId="77777777" w:rsidR="000A66F1" w:rsidRPr="000127EF" w:rsidRDefault="000A66F1" w:rsidP="00D55D81">
            <w:r w:rsidRPr="000127EF">
              <w:t>Pension Fund Reserve</w:t>
            </w:r>
          </w:p>
        </w:tc>
        <w:tc>
          <w:tcPr>
            <w:tcW w:w="1214" w:type="dxa"/>
            <w:vAlign w:val="bottom"/>
          </w:tcPr>
          <w:p w14:paraId="77A6BAB3" w14:textId="6ADFE528" w:rsidR="000A66F1" w:rsidRPr="00890BBC" w:rsidRDefault="00890BBC" w:rsidP="00D55D81">
            <w:pPr>
              <w:jc w:val="right"/>
            </w:pPr>
            <w:r w:rsidRPr="00890BBC">
              <w:t>(47,095)</w:t>
            </w:r>
          </w:p>
        </w:tc>
        <w:tc>
          <w:tcPr>
            <w:tcW w:w="1448" w:type="dxa"/>
            <w:vAlign w:val="bottom"/>
          </w:tcPr>
          <w:p w14:paraId="52555DE3" w14:textId="65445691" w:rsidR="000A66F1" w:rsidRPr="00890BBC" w:rsidRDefault="00890BBC" w:rsidP="00D55D81">
            <w:pPr>
              <w:jc w:val="right"/>
            </w:pPr>
            <w:r w:rsidRPr="00890BBC">
              <w:t>6,961</w:t>
            </w:r>
          </w:p>
        </w:tc>
        <w:tc>
          <w:tcPr>
            <w:tcW w:w="1409" w:type="dxa"/>
            <w:shd w:val="clear" w:color="auto" w:fill="C5E0B3" w:themeFill="accent6" w:themeFillTint="66"/>
            <w:vAlign w:val="bottom"/>
          </w:tcPr>
          <w:p w14:paraId="2FFFA6DB" w14:textId="5DB2C0B3" w:rsidR="000A66F1" w:rsidRPr="00890BBC" w:rsidRDefault="00890BBC" w:rsidP="00D55D81">
            <w:pPr>
              <w:jc w:val="right"/>
            </w:pPr>
            <w:r w:rsidRPr="00890BBC">
              <w:t>(40,134)</w:t>
            </w:r>
          </w:p>
        </w:tc>
      </w:tr>
      <w:tr w:rsidR="000A66F1" w:rsidRPr="000127EF" w14:paraId="7459966A" w14:textId="77777777" w:rsidTr="007A79E7">
        <w:trPr>
          <w:jc w:val="center"/>
        </w:trPr>
        <w:tc>
          <w:tcPr>
            <w:tcW w:w="1336" w:type="dxa"/>
            <w:vAlign w:val="center"/>
          </w:tcPr>
          <w:p w14:paraId="079F03C7" w14:textId="3C629D5A" w:rsidR="000A66F1" w:rsidRPr="000A66F1" w:rsidRDefault="000A66F1" w:rsidP="00D55D81">
            <w:pPr>
              <w:jc w:val="right"/>
              <w:rPr>
                <w:i/>
              </w:rPr>
            </w:pPr>
            <w:r w:rsidRPr="000A66F1">
              <w:rPr>
                <w:i/>
              </w:rPr>
              <w:fldChar w:fldCharType="begin"/>
            </w:r>
            <w:r w:rsidRPr="000A66F1">
              <w:rPr>
                <w:i/>
              </w:rPr>
              <w:instrText xml:space="preserve"> =SUM(c15:d15) </w:instrText>
            </w:r>
            <w:r w:rsidRPr="000A66F1">
              <w:rPr>
                <w:i/>
              </w:rPr>
              <w:fldChar w:fldCharType="separate"/>
            </w:r>
            <w:r w:rsidRPr="000A66F1">
              <w:rPr>
                <w:i/>
                <w:noProof/>
              </w:rPr>
              <w:t>20</w:t>
            </w:r>
            <w:r w:rsidRPr="000A66F1">
              <w:rPr>
                <w:i/>
              </w:rPr>
              <w:fldChar w:fldCharType="end"/>
            </w:r>
          </w:p>
        </w:tc>
        <w:tc>
          <w:tcPr>
            <w:tcW w:w="3217" w:type="dxa"/>
          </w:tcPr>
          <w:p w14:paraId="7A608EFB" w14:textId="77777777" w:rsidR="000A66F1" w:rsidRPr="000127EF" w:rsidRDefault="000A66F1" w:rsidP="00D55D81">
            <w:r w:rsidRPr="000127EF">
              <w:t>Collection Fund Adjustment Account</w:t>
            </w:r>
          </w:p>
        </w:tc>
        <w:tc>
          <w:tcPr>
            <w:tcW w:w="1214" w:type="dxa"/>
            <w:vAlign w:val="center"/>
          </w:tcPr>
          <w:p w14:paraId="655A1B08" w14:textId="29995FE3" w:rsidR="000A66F1" w:rsidRPr="00890BBC" w:rsidRDefault="00890BBC" w:rsidP="00D55D81">
            <w:pPr>
              <w:jc w:val="right"/>
            </w:pPr>
            <w:r w:rsidRPr="00890BBC">
              <w:t>20</w:t>
            </w:r>
          </w:p>
        </w:tc>
        <w:tc>
          <w:tcPr>
            <w:tcW w:w="1448" w:type="dxa"/>
            <w:vAlign w:val="center"/>
          </w:tcPr>
          <w:p w14:paraId="4CCBF8D1" w14:textId="3BAB9E0F" w:rsidR="000A66F1" w:rsidRPr="00890BBC" w:rsidRDefault="00890BBC" w:rsidP="00D55D81">
            <w:pPr>
              <w:jc w:val="right"/>
            </w:pPr>
            <w:r w:rsidRPr="00890BBC">
              <w:t>(44)</w:t>
            </w:r>
          </w:p>
        </w:tc>
        <w:tc>
          <w:tcPr>
            <w:tcW w:w="1409" w:type="dxa"/>
            <w:shd w:val="clear" w:color="auto" w:fill="C5E0B3" w:themeFill="accent6" w:themeFillTint="66"/>
            <w:vAlign w:val="center"/>
          </w:tcPr>
          <w:p w14:paraId="48154DE1" w14:textId="441A2FE1" w:rsidR="000A66F1" w:rsidRPr="00890BBC" w:rsidRDefault="00890BBC" w:rsidP="00D55D81">
            <w:pPr>
              <w:jc w:val="right"/>
            </w:pPr>
            <w:r w:rsidRPr="00890BBC">
              <w:t>(24)</w:t>
            </w:r>
          </w:p>
        </w:tc>
      </w:tr>
      <w:tr w:rsidR="000A66F1" w:rsidRPr="000127EF" w14:paraId="2EDC691B" w14:textId="77777777" w:rsidTr="007A79E7">
        <w:trPr>
          <w:jc w:val="center"/>
        </w:trPr>
        <w:tc>
          <w:tcPr>
            <w:tcW w:w="1336" w:type="dxa"/>
            <w:tcBorders>
              <w:bottom w:val="single" w:sz="4" w:space="0" w:color="auto"/>
            </w:tcBorders>
            <w:vAlign w:val="center"/>
          </w:tcPr>
          <w:p w14:paraId="2BEC4D01" w14:textId="3471379A" w:rsidR="000A66F1" w:rsidRPr="000A66F1" w:rsidRDefault="000A66F1" w:rsidP="00D55D81">
            <w:pPr>
              <w:jc w:val="right"/>
              <w:rPr>
                <w:i/>
              </w:rPr>
            </w:pPr>
            <w:r w:rsidRPr="000A66F1">
              <w:rPr>
                <w:i/>
              </w:rPr>
              <w:fldChar w:fldCharType="begin"/>
            </w:r>
            <w:r w:rsidRPr="000A66F1">
              <w:rPr>
                <w:i/>
              </w:rPr>
              <w:instrText xml:space="preserve"> =SUM(c16:d16) </w:instrText>
            </w:r>
            <w:r w:rsidRPr="000A66F1">
              <w:rPr>
                <w:i/>
              </w:rPr>
              <w:fldChar w:fldCharType="separate"/>
            </w:r>
            <w:r w:rsidRPr="000A66F1">
              <w:rPr>
                <w:i/>
                <w:noProof/>
              </w:rPr>
              <w:t>(166)</w:t>
            </w:r>
            <w:r w:rsidRPr="000A66F1">
              <w:rPr>
                <w:i/>
              </w:rPr>
              <w:fldChar w:fldCharType="end"/>
            </w:r>
          </w:p>
        </w:tc>
        <w:tc>
          <w:tcPr>
            <w:tcW w:w="3217" w:type="dxa"/>
          </w:tcPr>
          <w:p w14:paraId="2352F9CE" w14:textId="77777777" w:rsidR="000A66F1" w:rsidRPr="000127EF" w:rsidRDefault="000A66F1" w:rsidP="00D55D81">
            <w:r w:rsidRPr="000127EF">
              <w:t>Accumulating Compensated Absences Adjustment Account</w:t>
            </w:r>
          </w:p>
        </w:tc>
        <w:tc>
          <w:tcPr>
            <w:tcW w:w="1214" w:type="dxa"/>
            <w:tcBorders>
              <w:bottom w:val="single" w:sz="4" w:space="0" w:color="auto"/>
            </w:tcBorders>
            <w:vAlign w:val="center"/>
          </w:tcPr>
          <w:p w14:paraId="41461087" w14:textId="7DF74528" w:rsidR="000A66F1" w:rsidRPr="00890BBC" w:rsidRDefault="00890BBC" w:rsidP="00D55D81">
            <w:pPr>
              <w:jc w:val="right"/>
            </w:pPr>
            <w:r w:rsidRPr="00890BBC">
              <w:t>(166)</w:t>
            </w:r>
          </w:p>
        </w:tc>
        <w:tc>
          <w:tcPr>
            <w:tcW w:w="1448" w:type="dxa"/>
            <w:tcBorders>
              <w:bottom w:val="single" w:sz="4" w:space="0" w:color="auto"/>
            </w:tcBorders>
            <w:vAlign w:val="center"/>
          </w:tcPr>
          <w:p w14:paraId="37F4E9D4" w14:textId="5CDBE75C" w:rsidR="000A66F1" w:rsidRPr="00890BBC" w:rsidRDefault="00890BBC" w:rsidP="00D55D81">
            <w:pPr>
              <w:jc w:val="right"/>
            </w:pPr>
            <w:r w:rsidRPr="00890BBC">
              <w:t>(36)</w:t>
            </w:r>
          </w:p>
        </w:tc>
        <w:tc>
          <w:tcPr>
            <w:tcW w:w="1409" w:type="dxa"/>
            <w:tcBorders>
              <w:bottom w:val="single" w:sz="4" w:space="0" w:color="auto"/>
            </w:tcBorders>
            <w:shd w:val="clear" w:color="auto" w:fill="C5E0B3" w:themeFill="accent6" w:themeFillTint="66"/>
            <w:vAlign w:val="center"/>
          </w:tcPr>
          <w:p w14:paraId="49BB3B3D" w14:textId="39686E11" w:rsidR="000A66F1" w:rsidRPr="00890BBC" w:rsidRDefault="00890BBC" w:rsidP="00D55D81">
            <w:pPr>
              <w:jc w:val="right"/>
            </w:pPr>
            <w:r w:rsidRPr="00890BBC">
              <w:t>(202)</w:t>
            </w:r>
          </w:p>
        </w:tc>
      </w:tr>
      <w:tr w:rsidR="000A66F1" w:rsidRPr="000127EF" w14:paraId="7878FE67" w14:textId="77777777" w:rsidTr="007A79E7">
        <w:trPr>
          <w:jc w:val="center"/>
        </w:trPr>
        <w:tc>
          <w:tcPr>
            <w:tcW w:w="1336" w:type="dxa"/>
            <w:tcBorders>
              <w:top w:val="single" w:sz="4" w:space="0" w:color="auto"/>
              <w:bottom w:val="single" w:sz="4" w:space="0" w:color="auto"/>
            </w:tcBorders>
            <w:vAlign w:val="bottom"/>
          </w:tcPr>
          <w:p w14:paraId="58B8F165" w14:textId="29A394E2" w:rsidR="000A66F1" w:rsidRPr="000A66F1" w:rsidRDefault="008C7117" w:rsidP="00D55D81">
            <w:pPr>
              <w:jc w:val="right"/>
              <w:rPr>
                <w:b/>
                <w:i/>
              </w:rPr>
            </w:pPr>
            <w:r>
              <w:rPr>
                <w:b/>
                <w:i/>
              </w:rPr>
              <w:t>2,460</w:t>
            </w:r>
          </w:p>
        </w:tc>
        <w:tc>
          <w:tcPr>
            <w:tcW w:w="3217" w:type="dxa"/>
            <w:vMerge w:val="restart"/>
          </w:tcPr>
          <w:p w14:paraId="4A119F8F" w14:textId="77777777" w:rsidR="000A66F1" w:rsidRPr="000127EF" w:rsidRDefault="000A66F1" w:rsidP="00D55D81">
            <w:pPr>
              <w:jc w:val="both"/>
              <w:rPr>
                <w:b/>
              </w:rPr>
            </w:pPr>
            <w:r w:rsidRPr="000127EF">
              <w:rPr>
                <w:b/>
              </w:rPr>
              <w:t>Total Unusable Reserves</w:t>
            </w:r>
          </w:p>
          <w:p w14:paraId="2123120F" w14:textId="77777777" w:rsidR="000A66F1" w:rsidRPr="000127EF" w:rsidRDefault="000A66F1" w:rsidP="00D55D81">
            <w:pPr>
              <w:jc w:val="both"/>
              <w:rPr>
                <w:b/>
              </w:rPr>
            </w:pPr>
            <w:r w:rsidRPr="000127EF">
              <w:rPr>
                <w:b/>
              </w:rPr>
              <w:t>Total Reserves</w:t>
            </w:r>
          </w:p>
        </w:tc>
        <w:tc>
          <w:tcPr>
            <w:tcW w:w="1214" w:type="dxa"/>
            <w:tcBorders>
              <w:top w:val="single" w:sz="4" w:space="0" w:color="auto"/>
              <w:bottom w:val="single" w:sz="4" w:space="0" w:color="auto"/>
            </w:tcBorders>
            <w:vAlign w:val="bottom"/>
          </w:tcPr>
          <w:p w14:paraId="59788C82" w14:textId="32A64BFF" w:rsidR="000A66F1" w:rsidRPr="00890BBC" w:rsidRDefault="00890BBC" w:rsidP="00D55D81">
            <w:pPr>
              <w:jc w:val="right"/>
              <w:rPr>
                <w:b/>
              </w:rPr>
            </w:pPr>
            <w:r w:rsidRPr="00890BBC">
              <w:rPr>
                <w:b/>
              </w:rPr>
              <w:t>2,459</w:t>
            </w:r>
          </w:p>
        </w:tc>
        <w:tc>
          <w:tcPr>
            <w:tcW w:w="1448" w:type="dxa"/>
            <w:tcBorders>
              <w:top w:val="single" w:sz="4" w:space="0" w:color="auto"/>
              <w:bottom w:val="single" w:sz="4" w:space="0" w:color="auto"/>
            </w:tcBorders>
            <w:vAlign w:val="bottom"/>
          </w:tcPr>
          <w:p w14:paraId="00B346E0" w14:textId="3A7CBBB9" w:rsidR="000A66F1" w:rsidRPr="00890BBC" w:rsidRDefault="00890BBC" w:rsidP="00D55D81">
            <w:pPr>
              <w:jc w:val="right"/>
              <w:rPr>
                <w:b/>
              </w:rPr>
            </w:pPr>
            <w:r w:rsidRPr="00890BBC">
              <w:rPr>
                <w:b/>
              </w:rPr>
              <w:t>9,535</w:t>
            </w:r>
          </w:p>
        </w:tc>
        <w:tc>
          <w:tcPr>
            <w:tcW w:w="1409" w:type="dxa"/>
            <w:tcBorders>
              <w:top w:val="single" w:sz="4" w:space="0" w:color="auto"/>
              <w:bottom w:val="single" w:sz="4" w:space="0" w:color="auto"/>
            </w:tcBorders>
            <w:shd w:val="clear" w:color="auto" w:fill="C5E0B3" w:themeFill="accent6" w:themeFillTint="66"/>
            <w:vAlign w:val="bottom"/>
          </w:tcPr>
          <w:p w14:paraId="78B2A536" w14:textId="77F6D5A6" w:rsidR="000A66F1" w:rsidRPr="00890BBC" w:rsidRDefault="00890BBC" w:rsidP="00D55D81">
            <w:pPr>
              <w:jc w:val="right"/>
              <w:rPr>
                <w:b/>
              </w:rPr>
            </w:pPr>
            <w:r w:rsidRPr="00890BBC">
              <w:rPr>
                <w:b/>
              </w:rPr>
              <w:t>11,994</w:t>
            </w:r>
          </w:p>
        </w:tc>
      </w:tr>
      <w:tr w:rsidR="000A66F1" w:rsidRPr="000127EF" w14:paraId="73CA463E" w14:textId="77777777" w:rsidTr="007A79E7">
        <w:trPr>
          <w:jc w:val="center"/>
        </w:trPr>
        <w:tc>
          <w:tcPr>
            <w:tcW w:w="1336" w:type="dxa"/>
            <w:tcBorders>
              <w:top w:val="single" w:sz="4" w:space="0" w:color="auto"/>
              <w:bottom w:val="single" w:sz="4" w:space="0" w:color="auto"/>
            </w:tcBorders>
            <w:vAlign w:val="bottom"/>
          </w:tcPr>
          <w:p w14:paraId="54C4AF7A" w14:textId="3ECB3ADE" w:rsidR="000A66F1" w:rsidRPr="000A66F1" w:rsidRDefault="008C7117" w:rsidP="00D55D81">
            <w:pPr>
              <w:jc w:val="right"/>
              <w:rPr>
                <w:b/>
                <w:i/>
              </w:rPr>
            </w:pPr>
            <w:r>
              <w:rPr>
                <w:b/>
                <w:i/>
              </w:rPr>
              <w:t>32,047</w:t>
            </w:r>
          </w:p>
        </w:tc>
        <w:tc>
          <w:tcPr>
            <w:tcW w:w="3217" w:type="dxa"/>
            <w:vMerge/>
          </w:tcPr>
          <w:p w14:paraId="188CB11E" w14:textId="77777777" w:rsidR="000A66F1" w:rsidRPr="000127EF" w:rsidRDefault="000A66F1" w:rsidP="00D55D81">
            <w:pPr>
              <w:jc w:val="both"/>
              <w:rPr>
                <w:b/>
              </w:rPr>
            </w:pPr>
          </w:p>
        </w:tc>
        <w:tc>
          <w:tcPr>
            <w:tcW w:w="1214" w:type="dxa"/>
            <w:tcBorders>
              <w:top w:val="single" w:sz="4" w:space="0" w:color="auto"/>
              <w:bottom w:val="single" w:sz="4" w:space="0" w:color="auto"/>
            </w:tcBorders>
            <w:vAlign w:val="bottom"/>
          </w:tcPr>
          <w:p w14:paraId="68737E8C" w14:textId="1967B1E2" w:rsidR="000A66F1" w:rsidRPr="00890BBC" w:rsidRDefault="00890BBC" w:rsidP="00D55D81">
            <w:pPr>
              <w:jc w:val="right"/>
              <w:rPr>
                <w:b/>
              </w:rPr>
            </w:pPr>
            <w:r w:rsidRPr="00890BBC">
              <w:rPr>
                <w:b/>
              </w:rPr>
              <w:t>32,045</w:t>
            </w:r>
          </w:p>
        </w:tc>
        <w:tc>
          <w:tcPr>
            <w:tcW w:w="1448" w:type="dxa"/>
            <w:tcBorders>
              <w:top w:val="single" w:sz="4" w:space="0" w:color="auto"/>
              <w:bottom w:val="single" w:sz="4" w:space="0" w:color="auto"/>
            </w:tcBorders>
            <w:vAlign w:val="bottom"/>
          </w:tcPr>
          <w:p w14:paraId="31CAB8F8" w14:textId="0419CF95" w:rsidR="000A66F1" w:rsidRPr="00890BBC" w:rsidRDefault="00AE7462" w:rsidP="00D55D81">
            <w:pPr>
              <w:jc w:val="right"/>
              <w:rPr>
                <w:b/>
              </w:rPr>
            </w:pPr>
            <w:r>
              <w:rPr>
                <w:b/>
              </w:rPr>
              <w:t>11,672</w:t>
            </w:r>
          </w:p>
        </w:tc>
        <w:tc>
          <w:tcPr>
            <w:tcW w:w="1409" w:type="dxa"/>
            <w:tcBorders>
              <w:top w:val="single" w:sz="4" w:space="0" w:color="auto"/>
              <w:bottom w:val="single" w:sz="4" w:space="0" w:color="auto"/>
            </w:tcBorders>
            <w:shd w:val="clear" w:color="auto" w:fill="C5E0B3" w:themeFill="accent6" w:themeFillTint="66"/>
            <w:vAlign w:val="bottom"/>
          </w:tcPr>
          <w:p w14:paraId="4926E274" w14:textId="701BEAB0" w:rsidR="000A66F1" w:rsidRPr="00890BBC" w:rsidRDefault="00AE7462" w:rsidP="00D55D81">
            <w:pPr>
              <w:jc w:val="right"/>
              <w:rPr>
                <w:b/>
              </w:rPr>
            </w:pPr>
            <w:r>
              <w:rPr>
                <w:b/>
              </w:rPr>
              <w:t>43,717</w:t>
            </w:r>
          </w:p>
        </w:tc>
      </w:tr>
      <w:tr w:rsidR="00B062AD" w:rsidRPr="000127EF" w14:paraId="18D2BD53" w14:textId="77777777" w:rsidTr="007A79E7">
        <w:trPr>
          <w:jc w:val="center"/>
        </w:trPr>
        <w:tc>
          <w:tcPr>
            <w:tcW w:w="1336" w:type="dxa"/>
            <w:tcBorders>
              <w:top w:val="single" w:sz="4" w:space="0" w:color="auto"/>
            </w:tcBorders>
          </w:tcPr>
          <w:p w14:paraId="31F5AB04" w14:textId="77777777" w:rsidR="00B062AD" w:rsidRPr="000127EF" w:rsidRDefault="00B062AD" w:rsidP="00D55D81">
            <w:pPr>
              <w:jc w:val="both"/>
              <w:rPr>
                <w:i/>
                <w:sz w:val="12"/>
                <w:szCs w:val="12"/>
              </w:rPr>
            </w:pPr>
          </w:p>
        </w:tc>
        <w:tc>
          <w:tcPr>
            <w:tcW w:w="3217" w:type="dxa"/>
          </w:tcPr>
          <w:p w14:paraId="38AE80E9" w14:textId="77777777" w:rsidR="00B062AD" w:rsidRPr="000127EF" w:rsidRDefault="00B062AD" w:rsidP="00D55D81">
            <w:pPr>
              <w:jc w:val="both"/>
              <w:rPr>
                <w:sz w:val="12"/>
                <w:szCs w:val="12"/>
              </w:rPr>
            </w:pPr>
          </w:p>
        </w:tc>
        <w:tc>
          <w:tcPr>
            <w:tcW w:w="1214" w:type="dxa"/>
            <w:tcBorders>
              <w:top w:val="single" w:sz="4" w:space="0" w:color="auto"/>
            </w:tcBorders>
          </w:tcPr>
          <w:p w14:paraId="199436ED" w14:textId="77777777" w:rsidR="00B062AD" w:rsidRPr="00890BBC" w:rsidRDefault="00B062AD" w:rsidP="00D55D81">
            <w:pPr>
              <w:jc w:val="both"/>
              <w:rPr>
                <w:sz w:val="12"/>
                <w:szCs w:val="12"/>
              </w:rPr>
            </w:pPr>
          </w:p>
        </w:tc>
        <w:tc>
          <w:tcPr>
            <w:tcW w:w="1448" w:type="dxa"/>
            <w:tcBorders>
              <w:top w:val="single" w:sz="4" w:space="0" w:color="auto"/>
            </w:tcBorders>
          </w:tcPr>
          <w:p w14:paraId="660BD220" w14:textId="77777777" w:rsidR="00B062AD" w:rsidRPr="00890BBC" w:rsidRDefault="00B062AD" w:rsidP="00D55D81">
            <w:pPr>
              <w:jc w:val="both"/>
              <w:rPr>
                <w:sz w:val="12"/>
                <w:szCs w:val="12"/>
              </w:rPr>
            </w:pPr>
          </w:p>
        </w:tc>
        <w:tc>
          <w:tcPr>
            <w:tcW w:w="1409" w:type="dxa"/>
            <w:tcBorders>
              <w:top w:val="single" w:sz="4" w:space="0" w:color="auto"/>
            </w:tcBorders>
            <w:shd w:val="clear" w:color="auto" w:fill="C5E0B3" w:themeFill="accent6" w:themeFillTint="66"/>
          </w:tcPr>
          <w:p w14:paraId="6E890005" w14:textId="77777777" w:rsidR="00B062AD" w:rsidRPr="00890BBC" w:rsidRDefault="00B062AD" w:rsidP="00D55D81">
            <w:pPr>
              <w:jc w:val="both"/>
              <w:rPr>
                <w:sz w:val="12"/>
                <w:szCs w:val="12"/>
              </w:rPr>
            </w:pPr>
          </w:p>
        </w:tc>
      </w:tr>
    </w:tbl>
    <w:p w14:paraId="3EC7CAD0" w14:textId="32381B19" w:rsidR="00AC5A17" w:rsidRDefault="00F30F55" w:rsidP="00D55D81">
      <w:r>
        <w:t>*Includes the deficit carry forward of £268k in relation to the Dedicated Schools Grant</w:t>
      </w:r>
    </w:p>
    <w:p w14:paraId="2871D654" w14:textId="77777777" w:rsidR="00F30F55" w:rsidRPr="000127EF" w:rsidRDefault="00F30F55" w:rsidP="00D55D81"/>
    <w:tbl>
      <w:tblPr>
        <w:tblStyle w:val="TableGrid"/>
        <w:tblW w:w="11023"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dotted" w:sz="8" w:space="0" w:color="A8D08D" w:themeColor="accent6" w:themeTint="99"/>
          <w:insideV w:val="dotted" w:sz="8" w:space="0" w:color="A8D08D" w:themeColor="accent6" w:themeTint="99"/>
        </w:tblBorders>
        <w:tblLayout w:type="fixed"/>
        <w:tblLook w:val="04A0" w:firstRow="1" w:lastRow="0" w:firstColumn="1" w:lastColumn="0" w:noHBand="0" w:noVBand="1"/>
      </w:tblPr>
      <w:tblGrid>
        <w:gridCol w:w="4483"/>
        <w:gridCol w:w="8"/>
        <w:gridCol w:w="6"/>
        <w:gridCol w:w="9"/>
        <w:gridCol w:w="7"/>
        <w:gridCol w:w="1247"/>
        <w:gridCol w:w="25"/>
        <w:gridCol w:w="12"/>
        <w:gridCol w:w="10"/>
        <w:gridCol w:w="7"/>
        <w:gridCol w:w="1220"/>
        <w:gridCol w:w="1274"/>
        <w:gridCol w:w="1298"/>
        <w:gridCol w:w="1417"/>
      </w:tblGrid>
      <w:tr w:rsidR="00600E52" w:rsidRPr="000127EF" w14:paraId="3612261F" w14:textId="77777777" w:rsidTr="003F3221">
        <w:trPr>
          <w:tblHeader/>
        </w:trPr>
        <w:tc>
          <w:tcPr>
            <w:tcW w:w="4483" w:type="dxa"/>
          </w:tcPr>
          <w:p w14:paraId="5259B620" w14:textId="77777777" w:rsidR="00600E52" w:rsidRPr="000127EF" w:rsidRDefault="00600E52" w:rsidP="00D55D81">
            <w:pPr>
              <w:rPr>
                <w:b/>
              </w:rPr>
            </w:pPr>
          </w:p>
        </w:tc>
        <w:tc>
          <w:tcPr>
            <w:tcW w:w="5123" w:type="dxa"/>
            <w:gridSpan w:val="12"/>
          </w:tcPr>
          <w:p w14:paraId="56ACC4F6" w14:textId="77777777" w:rsidR="00600E52" w:rsidRPr="000127EF" w:rsidRDefault="00600E52" w:rsidP="00D55D81">
            <w:pPr>
              <w:jc w:val="center"/>
              <w:rPr>
                <w:b/>
              </w:rPr>
            </w:pPr>
            <w:r w:rsidRPr="000127EF">
              <w:rPr>
                <w:b/>
              </w:rPr>
              <w:t>Usable Reserves</w:t>
            </w:r>
          </w:p>
        </w:tc>
        <w:tc>
          <w:tcPr>
            <w:tcW w:w="1417" w:type="dxa"/>
            <w:vAlign w:val="bottom"/>
          </w:tcPr>
          <w:p w14:paraId="3D0CFB51" w14:textId="77777777" w:rsidR="00600E52" w:rsidRPr="000127EF" w:rsidRDefault="00600E52" w:rsidP="00D55D81">
            <w:pPr>
              <w:jc w:val="both"/>
              <w:rPr>
                <w:b/>
              </w:rPr>
            </w:pPr>
          </w:p>
        </w:tc>
      </w:tr>
      <w:tr w:rsidR="00600E52" w:rsidRPr="000127EF" w14:paraId="66B51E87" w14:textId="77777777" w:rsidTr="00D55D81">
        <w:trPr>
          <w:tblHeader/>
        </w:trPr>
        <w:tc>
          <w:tcPr>
            <w:tcW w:w="4483" w:type="dxa"/>
          </w:tcPr>
          <w:p w14:paraId="714D48FA" w14:textId="747132E0" w:rsidR="00600E52" w:rsidRPr="000127EF" w:rsidRDefault="00600E52" w:rsidP="00D55D81">
            <w:pPr>
              <w:rPr>
                <w:b/>
              </w:rPr>
            </w:pPr>
            <w:r w:rsidRPr="000127EF">
              <w:rPr>
                <w:b/>
              </w:rPr>
              <w:t>Adjustments between Accounting Basis &amp; Funding Basis Under Regulations 201</w:t>
            </w:r>
            <w:r w:rsidR="00905D6D">
              <w:rPr>
                <w:b/>
              </w:rPr>
              <w:t>9/20</w:t>
            </w:r>
          </w:p>
        </w:tc>
        <w:tc>
          <w:tcPr>
            <w:tcW w:w="1277" w:type="dxa"/>
            <w:gridSpan w:val="5"/>
            <w:shd w:val="clear" w:color="auto" w:fill="auto"/>
            <w:vAlign w:val="center"/>
          </w:tcPr>
          <w:p w14:paraId="3CF5973B" w14:textId="77777777" w:rsidR="00600E52" w:rsidRPr="00D55D81" w:rsidRDefault="00600E52" w:rsidP="00D55D81">
            <w:pPr>
              <w:jc w:val="center"/>
              <w:rPr>
                <w:b/>
              </w:rPr>
            </w:pPr>
            <w:r w:rsidRPr="00D55D81">
              <w:rPr>
                <w:b/>
              </w:rPr>
              <w:t>General Fund Balance</w:t>
            </w:r>
          </w:p>
        </w:tc>
        <w:tc>
          <w:tcPr>
            <w:tcW w:w="1274" w:type="dxa"/>
            <w:gridSpan w:val="5"/>
            <w:shd w:val="clear" w:color="auto" w:fill="auto"/>
            <w:vAlign w:val="center"/>
          </w:tcPr>
          <w:p w14:paraId="34B78861" w14:textId="77777777" w:rsidR="00600E52" w:rsidRPr="00D55D81" w:rsidRDefault="00600E52" w:rsidP="00D55D81">
            <w:pPr>
              <w:jc w:val="center"/>
              <w:rPr>
                <w:b/>
              </w:rPr>
            </w:pPr>
            <w:r w:rsidRPr="00D55D81">
              <w:rPr>
                <w:b/>
              </w:rPr>
              <w:t>Capital Receipts Reserve</w:t>
            </w:r>
          </w:p>
        </w:tc>
        <w:tc>
          <w:tcPr>
            <w:tcW w:w="1274" w:type="dxa"/>
            <w:shd w:val="clear" w:color="auto" w:fill="auto"/>
            <w:vAlign w:val="center"/>
          </w:tcPr>
          <w:p w14:paraId="7FF7B1D3" w14:textId="77777777" w:rsidR="00600E52" w:rsidRPr="00D55D81" w:rsidRDefault="00600E52" w:rsidP="00D55D81">
            <w:pPr>
              <w:jc w:val="center"/>
              <w:rPr>
                <w:b/>
              </w:rPr>
            </w:pPr>
            <w:r w:rsidRPr="00D55D81">
              <w:rPr>
                <w:b/>
              </w:rPr>
              <w:t>S106/ Oakham North Reserve</w:t>
            </w:r>
          </w:p>
        </w:tc>
        <w:tc>
          <w:tcPr>
            <w:tcW w:w="1298" w:type="dxa"/>
            <w:shd w:val="clear" w:color="auto" w:fill="auto"/>
            <w:vAlign w:val="center"/>
          </w:tcPr>
          <w:p w14:paraId="5C6DDB85" w14:textId="77777777" w:rsidR="00600E52" w:rsidRPr="00D55D81" w:rsidRDefault="00600E52" w:rsidP="00D55D81">
            <w:pPr>
              <w:jc w:val="center"/>
              <w:rPr>
                <w:b/>
              </w:rPr>
            </w:pPr>
            <w:r w:rsidRPr="00D55D81">
              <w:rPr>
                <w:b/>
              </w:rPr>
              <w:t>Capital Grants Unapplied</w:t>
            </w:r>
          </w:p>
        </w:tc>
        <w:tc>
          <w:tcPr>
            <w:tcW w:w="1417" w:type="dxa"/>
            <w:shd w:val="clear" w:color="auto" w:fill="auto"/>
            <w:vAlign w:val="center"/>
          </w:tcPr>
          <w:p w14:paraId="7D8B5E7F" w14:textId="77777777" w:rsidR="00600E52" w:rsidRPr="00D55D81" w:rsidRDefault="00600E52" w:rsidP="00D55D81">
            <w:pPr>
              <w:jc w:val="center"/>
              <w:rPr>
                <w:b/>
              </w:rPr>
            </w:pPr>
            <w:r w:rsidRPr="00D55D81">
              <w:rPr>
                <w:b/>
              </w:rPr>
              <w:t>Movement in Unusable Reserves</w:t>
            </w:r>
          </w:p>
        </w:tc>
      </w:tr>
      <w:tr w:rsidR="00600E52" w:rsidRPr="000127EF" w14:paraId="6CAE4CEA" w14:textId="77777777" w:rsidTr="00D55D81">
        <w:trPr>
          <w:tblHeader/>
        </w:trPr>
        <w:tc>
          <w:tcPr>
            <w:tcW w:w="4483" w:type="dxa"/>
          </w:tcPr>
          <w:p w14:paraId="4D610C91" w14:textId="77777777" w:rsidR="00600E52" w:rsidRPr="000127EF" w:rsidRDefault="00600E52" w:rsidP="00D55D81">
            <w:pPr>
              <w:jc w:val="both"/>
            </w:pPr>
          </w:p>
        </w:tc>
        <w:tc>
          <w:tcPr>
            <w:tcW w:w="1277" w:type="dxa"/>
            <w:gridSpan w:val="5"/>
            <w:shd w:val="clear" w:color="auto" w:fill="auto"/>
          </w:tcPr>
          <w:p w14:paraId="1F2BE341" w14:textId="77777777" w:rsidR="00600E52" w:rsidRPr="00D55D81" w:rsidRDefault="00600E52" w:rsidP="00D55D81">
            <w:pPr>
              <w:jc w:val="center"/>
              <w:rPr>
                <w:b/>
              </w:rPr>
            </w:pPr>
            <w:r w:rsidRPr="00D55D81">
              <w:rPr>
                <w:b/>
              </w:rPr>
              <w:t>£000</w:t>
            </w:r>
          </w:p>
        </w:tc>
        <w:tc>
          <w:tcPr>
            <w:tcW w:w="1274" w:type="dxa"/>
            <w:gridSpan w:val="5"/>
            <w:shd w:val="clear" w:color="auto" w:fill="auto"/>
          </w:tcPr>
          <w:p w14:paraId="71BA0083" w14:textId="77777777" w:rsidR="00600E52" w:rsidRPr="00D55D81" w:rsidRDefault="00600E52" w:rsidP="00D55D81">
            <w:pPr>
              <w:jc w:val="center"/>
              <w:rPr>
                <w:b/>
              </w:rPr>
            </w:pPr>
            <w:r w:rsidRPr="00D55D81">
              <w:rPr>
                <w:b/>
              </w:rPr>
              <w:t>£000</w:t>
            </w:r>
          </w:p>
        </w:tc>
        <w:tc>
          <w:tcPr>
            <w:tcW w:w="1274" w:type="dxa"/>
            <w:shd w:val="clear" w:color="auto" w:fill="auto"/>
          </w:tcPr>
          <w:p w14:paraId="07B2A1DF" w14:textId="77777777" w:rsidR="00600E52" w:rsidRPr="00D55D81" w:rsidRDefault="00600E52" w:rsidP="00D55D81">
            <w:pPr>
              <w:jc w:val="center"/>
              <w:rPr>
                <w:b/>
              </w:rPr>
            </w:pPr>
            <w:r w:rsidRPr="00D55D81">
              <w:rPr>
                <w:b/>
              </w:rPr>
              <w:t>£000</w:t>
            </w:r>
          </w:p>
        </w:tc>
        <w:tc>
          <w:tcPr>
            <w:tcW w:w="1298" w:type="dxa"/>
            <w:shd w:val="clear" w:color="auto" w:fill="auto"/>
          </w:tcPr>
          <w:p w14:paraId="6AF89A49" w14:textId="77777777" w:rsidR="00600E52" w:rsidRPr="00D55D81" w:rsidRDefault="00600E52" w:rsidP="00D55D81">
            <w:pPr>
              <w:jc w:val="center"/>
              <w:rPr>
                <w:b/>
              </w:rPr>
            </w:pPr>
            <w:r w:rsidRPr="00D55D81">
              <w:rPr>
                <w:b/>
              </w:rPr>
              <w:t>£000</w:t>
            </w:r>
          </w:p>
        </w:tc>
        <w:tc>
          <w:tcPr>
            <w:tcW w:w="1417" w:type="dxa"/>
            <w:shd w:val="clear" w:color="auto" w:fill="auto"/>
          </w:tcPr>
          <w:p w14:paraId="5E43DE26" w14:textId="77777777" w:rsidR="00600E52" w:rsidRPr="00D55D81" w:rsidRDefault="00600E52" w:rsidP="00D55D81">
            <w:pPr>
              <w:jc w:val="center"/>
              <w:rPr>
                <w:b/>
              </w:rPr>
            </w:pPr>
            <w:r w:rsidRPr="00D55D81">
              <w:rPr>
                <w:b/>
              </w:rPr>
              <w:t>£000</w:t>
            </w:r>
          </w:p>
        </w:tc>
      </w:tr>
      <w:tr w:rsidR="00600E52" w:rsidRPr="00D55D81" w14:paraId="5479E8C6" w14:textId="77777777" w:rsidTr="00D55D81">
        <w:tc>
          <w:tcPr>
            <w:tcW w:w="11023" w:type="dxa"/>
            <w:gridSpan w:val="14"/>
            <w:shd w:val="clear" w:color="auto" w:fill="auto"/>
          </w:tcPr>
          <w:p w14:paraId="75C9A989" w14:textId="77777777" w:rsidR="00600E52" w:rsidRPr="00D55D81" w:rsidRDefault="00600E52" w:rsidP="00D55D81">
            <w:pPr>
              <w:jc w:val="both"/>
            </w:pPr>
            <w:r w:rsidRPr="00D55D81">
              <w:rPr>
                <w:b/>
              </w:rPr>
              <w:t>Adjustments primarily involving the capital adjustment account:</w:t>
            </w:r>
          </w:p>
        </w:tc>
      </w:tr>
      <w:tr w:rsidR="00600E52" w:rsidRPr="00D55D81" w14:paraId="38E6275F" w14:textId="77777777" w:rsidTr="00D55D81">
        <w:tc>
          <w:tcPr>
            <w:tcW w:w="11023" w:type="dxa"/>
            <w:gridSpan w:val="14"/>
            <w:shd w:val="clear" w:color="auto" w:fill="auto"/>
          </w:tcPr>
          <w:p w14:paraId="63E3E572" w14:textId="77777777" w:rsidR="00600E52" w:rsidRPr="00D55D81" w:rsidRDefault="00600E52" w:rsidP="00D55D81">
            <w:pPr>
              <w:jc w:val="both"/>
              <w:rPr>
                <w:u w:val="single"/>
              </w:rPr>
            </w:pPr>
            <w:r w:rsidRPr="00D55D81">
              <w:rPr>
                <w:u w:val="single"/>
              </w:rPr>
              <w:t>Reversal of items debited or credited to the CIES:</w:t>
            </w:r>
          </w:p>
        </w:tc>
      </w:tr>
      <w:tr w:rsidR="00600E52" w:rsidRPr="00D55D81" w14:paraId="6D160D6E" w14:textId="77777777" w:rsidTr="00D55D81">
        <w:tc>
          <w:tcPr>
            <w:tcW w:w="4483" w:type="dxa"/>
          </w:tcPr>
          <w:p w14:paraId="708142FF" w14:textId="77777777" w:rsidR="00600E52" w:rsidRPr="00D55D81" w:rsidRDefault="00600E52" w:rsidP="00D55D81">
            <w:r w:rsidRPr="00D55D81">
              <w:t>Charges for depreciation and impairment of non-current assets</w:t>
            </w:r>
          </w:p>
        </w:tc>
        <w:tc>
          <w:tcPr>
            <w:tcW w:w="1302" w:type="dxa"/>
            <w:gridSpan w:val="6"/>
            <w:shd w:val="clear" w:color="auto" w:fill="auto"/>
            <w:vAlign w:val="center"/>
          </w:tcPr>
          <w:p w14:paraId="29F42886" w14:textId="349B0B1B" w:rsidR="00600E52" w:rsidRPr="00D55D81" w:rsidRDefault="00AE4DED" w:rsidP="00D55D81">
            <w:pPr>
              <w:jc w:val="right"/>
            </w:pPr>
            <w:r w:rsidRPr="00D55D81">
              <w:t>2,379</w:t>
            </w:r>
          </w:p>
        </w:tc>
        <w:tc>
          <w:tcPr>
            <w:tcW w:w="1249" w:type="dxa"/>
            <w:gridSpan w:val="4"/>
            <w:shd w:val="clear" w:color="auto" w:fill="auto"/>
            <w:vAlign w:val="center"/>
          </w:tcPr>
          <w:p w14:paraId="16C36823" w14:textId="3B05C986" w:rsidR="00600E52" w:rsidRPr="00D55D81" w:rsidRDefault="00AE4DED" w:rsidP="00D55D81">
            <w:pPr>
              <w:jc w:val="right"/>
            </w:pPr>
            <w:r w:rsidRPr="00D55D81">
              <w:t>-</w:t>
            </w:r>
          </w:p>
        </w:tc>
        <w:tc>
          <w:tcPr>
            <w:tcW w:w="1274" w:type="dxa"/>
            <w:shd w:val="clear" w:color="auto" w:fill="auto"/>
            <w:vAlign w:val="center"/>
          </w:tcPr>
          <w:p w14:paraId="617EB6D1" w14:textId="6810F4CA" w:rsidR="00600E52" w:rsidRPr="00D55D81" w:rsidRDefault="00AE4DED" w:rsidP="00D55D81">
            <w:pPr>
              <w:jc w:val="right"/>
            </w:pPr>
            <w:r w:rsidRPr="00D55D81">
              <w:t>-</w:t>
            </w:r>
          </w:p>
        </w:tc>
        <w:tc>
          <w:tcPr>
            <w:tcW w:w="1298" w:type="dxa"/>
            <w:shd w:val="clear" w:color="auto" w:fill="auto"/>
            <w:vAlign w:val="center"/>
          </w:tcPr>
          <w:p w14:paraId="5538614B" w14:textId="6D8BE4CA" w:rsidR="00600E52" w:rsidRPr="00D55D81" w:rsidRDefault="00AE4DED" w:rsidP="00D55D81">
            <w:pPr>
              <w:jc w:val="right"/>
            </w:pPr>
            <w:r w:rsidRPr="00D55D81">
              <w:t>-</w:t>
            </w:r>
          </w:p>
        </w:tc>
        <w:tc>
          <w:tcPr>
            <w:tcW w:w="1417" w:type="dxa"/>
            <w:shd w:val="clear" w:color="auto" w:fill="auto"/>
            <w:vAlign w:val="center"/>
          </w:tcPr>
          <w:p w14:paraId="6EF94D44" w14:textId="2AD4F971" w:rsidR="00600E52" w:rsidRPr="00D55D81" w:rsidRDefault="00AE4DED" w:rsidP="00D55D81">
            <w:pPr>
              <w:jc w:val="right"/>
            </w:pPr>
            <w:r w:rsidRPr="00D55D81">
              <w:t>(2,379)</w:t>
            </w:r>
          </w:p>
        </w:tc>
      </w:tr>
      <w:tr w:rsidR="00600E52" w:rsidRPr="00D55D81" w14:paraId="0FB7082D" w14:textId="77777777" w:rsidTr="00D55D81">
        <w:tc>
          <w:tcPr>
            <w:tcW w:w="4483" w:type="dxa"/>
          </w:tcPr>
          <w:p w14:paraId="020E2C2D" w14:textId="46697C22" w:rsidR="00600E52" w:rsidRPr="00D55D81" w:rsidRDefault="00600E52" w:rsidP="00D55D81">
            <w:r w:rsidRPr="00D55D81">
              <w:t>Revaluation losses on Property Plant and Equipment</w:t>
            </w:r>
          </w:p>
        </w:tc>
        <w:tc>
          <w:tcPr>
            <w:tcW w:w="1302" w:type="dxa"/>
            <w:gridSpan w:val="6"/>
            <w:shd w:val="clear" w:color="auto" w:fill="auto"/>
            <w:vAlign w:val="center"/>
          </w:tcPr>
          <w:p w14:paraId="74C16D85" w14:textId="477238CB" w:rsidR="00600E52" w:rsidRPr="00D55D81" w:rsidRDefault="00AE4DED" w:rsidP="00D55D81">
            <w:pPr>
              <w:jc w:val="right"/>
            </w:pPr>
            <w:r w:rsidRPr="00D55D81">
              <w:t>(2)</w:t>
            </w:r>
          </w:p>
        </w:tc>
        <w:tc>
          <w:tcPr>
            <w:tcW w:w="1249" w:type="dxa"/>
            <w:gridSpan w:val="4"/>
            <w:shd w:val="clear" w:color="auto" w:fill="auto"/>
            <w:vAlign w:val="center"/>
          </w:tcPr>
          <w:p w14:paraId="3B9389D8" w14:textId="2160EB72" w:rsidR="00600E52" w:rsidRPr="00D55D81" w:rsidRDefault="00AE4DED" w:rsidP="00D55D81">
            <w:pPr>
              <w:jc w:val="right"/>
            </w:pPr>
            <w:r w:rsidRPr="00D55D81">
              <w:t>-</w:t>
            </w:r>
          </w:p>
        </w:tc>
        <w:tc>
          <w:tcPr>
            <w:tcW w:w="1274" w:type="dxa"/>
            <w:shd w:val="clear" w:color="auto" w:fill="auto"/>
            <w:vAlign w:val="center"/>
          </w:tcPr>
          <w:p w14:paraId="261BFE0F" w14:textId="7D3EAE56" w:rsidR="00600E52" w:rsidRPr="00D55D81" w:rsidRDefault="00AE4DED" w:rsidP="00D55D81">
            <w:pPr>
              <w:jc w:val="right"/>
            </w:pPr>
            <w:r w:rsidRPr="00D55D81">
              <w:t>-</w:t>
            </w:r>
          </w:p>
        </w:tc>
        <w:tc>
          <w:tcPr>
            <w:tcW w:w="1298" w:type="dxa"/>
            <w:shd w:val="clear" w:color="auto" w:fill="auto"/>
            <w:vAlign w:val="center"/>
          </w:tcPr>
          <w:p w14:paraId="1AEE5015" w14:textId="370F9CC0" w:rsidR="00600E52" w:rsidRPr="00D55D81" w:rsidRDefault="00AE4DED" w:rsidP="00D55D81">
            <w:pPr>
              <w:jc w:val="right"/>
            </w:pPr>
            <w:r w:rsidRPr="00D55D81">
              <w:t>-</w:t>
            </w:r>
          </w:p>
        </w:tc>
        <w:tc>
          <w:tcPr>
            <w:tcW w:w="1417" w:type="dxa"/>
            <w:shd w:val="clear" w:color="auto" w:fill="auto"/>
            <w:vAlign w:val="center"/>
          </w:tcPr>
          <w:p w14:paraId="4382E5CF" w14:textId="6CFD54CE" w:rsidR="00600E52" w:rsidRPr="00D55D81" w:rsidRDefault="00AE4DED" w:rsidP="00D55D81">
            <w:pPr>
              <w:jc w:val="right"/>
            </w:pPr>
            <w:r w:rsidRPr="00D55D81">
              <w:t>2</w:t>
            </w:r>
          </w:p>
        </w:tc>
      </w:tr>
      <w:tr w:rsidR="00600E52" w:rsidRPr="00D55D81" w14:paraId="54067B15" w14:textId="77777777" w:rsidTr="00D55D81">
        <w:tc>
          <w:tcPr>
            <w:tcW w:w="4483" w:type="dxa"/>
          </w:tcPr>
          <w:p w14:paraId="7BC14EE1" w14:textId="77777777" w:rsidR="00600E52" w:rsidRPr="00D55D81" w:rsidRDefault="00600E52" w:rsidP="00D55D81">
            <w:r w:rsidRPr="00D55D81">
              <w:t>Capital grants &amp; contributions applied</w:t>
            </w:r>
          </w:p>
        </w:tc>
        <w:tc>
          <w:tcPr>
            <w:tcW w:w="1302" w:type="dxa"/>
            <w:gridSpan w:val="6"/>
            <w:shd w:val="clear" w:color="auto" w:fill="auto"/>
            <w:vAlign w:val="center"/>
          </w:tcPr>
          <w:p w14:paraId="41FC1835" w14:textId="4DAB419F" w:rsidR="00600E52" w:rsidRPr="00D55D81" w:rsidRDefault="00AE4DED" w:rsidP="00D55D81">
            <w:pPr>
              <w:jc w:val="right"/>
            </w:pPr>
            <w:r w:rsidRPr="00D55D81">
              <w:t>(2,769)</w:t>
            </w:r>
          </w:p>
        </w:tc>
        <w:tc>
          <w:tcPr>
            <w:tcW w:w="1249" w:type="dxa"/>
            <w:gridSpan w:val="4"/>
            <w:shd w:val="clear" w:color="auto" w:fill="auto"/>
            <w:vAlign w:val="center"/>
          </w:tcPr>
          <w:p w14:paraId="7F397680" w14:textId="3E01420F" w:rsidR="00600E52" w:rsidRPr="00D55D81" w:rsidRDefault="00AE4DED" w:rsidP="00D55D81">
            <w:pPr>
              <w:jc w:val="right"/>
            </w:pPr>
            <w:r w:rsidRPr="00D55D81">
              <w:t>-</w:t>
            </w:r>
          </w:p>
        </w:tc>
        <w:tc>
          <w:tcPr>
            <w:tcW w:w="1274" w:type="dxa"/>
            <w:shd w:val="clear" w:color="auto" w:fill="auto"/>
            <w:vAlign w:val="center"/>
          </w:tcPr>
          <w:p w14:paraId="5A84171E" w14:textId="5150165C" w:rsidR="00600E52" w:rsidRPr="00D55D81" w:rsidRDefault="00AE4DED" w:rsidP="00D55D81">
            <w:pPr>
              <w:jc w:val="right"/>
            </w:pPr>
            <w:r w:rsidRPr="00D55D81">
              <w:t>(177)</w:t>
            </w:r>
          </w:p>
        </w:tc>
        <w:tc>
          <w:tcPr>
            <w:tcW w:w="1298" w:type="dxa"/>
            <w:shd w:val="clear" w:color="auto" w:fill="auto"/>
            <w:vAlign w:val="center"/>
          </w:tcPr>
          <w:p w14:paraId="1877B53D" w14:textId="0876AA42" w:rsidR="00600E52" w:rsidRPr="00D55D81" w:rsidRDefault="00AE4DED" w:rsidP="00D55D81">
            <w:pPr>
              <w:jc w:val="right"/>
            </w:pPr>
            <w:r w:rsidRPr="00D55D81">
              <w:t>(587)</w:t>
            </w:r>
          </w:p>
        </w:tc>
        <w:tc>
          <w:tcPr>
            <w:tcW w:w="1417" w:type="dxa"/>
            <w:shd w:val="clear" w:color="auto" w:fill="auto"/>
            <w:vAlign w:val="center"/>
          </w:tcPr>
          <w:p w14:paraId="4370A8BF" w14:textId="4B6E497E" w:rsidR="00600E52" w:rsidRPr="00D55D81" w:rsidRDefault="00AE4DED" w:rsidP="00D55D81">
            <w:pPr>
              <w:jc w:val="right"/>
            </w:pPr>
            <w:r w:rsidRPr="00D55D81">
              <w:t>3,533</w:t>
            </w:r>
          </w:p>
        </w:tc>
      </w:tr>
      <w:tr w:rsidR="003444FA" w:rsidRPr="00D55D81" w14:paraId="0C08BC32" w14:textId="77777777" w:rsidTr="00D55D81">
        <w:tc>
          <w:tcPr>
            <w:tcW w:w="4483" w:type="dxa"/>
          </w:tcPr>
          <w:p w14:paraId="763804C7" w14:textId="462880B6" w:rsidR="003444FA" w:rsidRPr="00D55D81" w:rsidRDefault="003444FA" w:rsidP="00D55D81">
            <w:r w:rsidRPr="00D55D81">
              <w:t>Capital Receipts Applied</w:t>
            </w:r>
          </w:p>
        </w:tc>
        <w:tc>
          <w:tcPr>
            <w:tcW w:w="1302" w:type="dxa"/>
            <w:gridSpan w:val="6"/>
            <w:shd w:val="clear" w:color="auto" w:fill="auto"/>
            <w:vAlign w:val="center"/>
          </w:tcPr>
          <w:p w14:paraId="5E1C466B" w14:textId="6106445B" w:rsidR="003444FA" w:rsidRPr="00D55D81" w:rsidRDefault="00AE4DED" w:rsidP="00D55D81">
            <w:pPr>
              <w:jc w:val="right"/>
            </w:pPr>
            <w:r w:rsidRPr="00D55D81">
              <w:t>(128)</w:t>
            </w:r>
          </w:p>
        </w:tc>
        <w:tc>
          <w:tcPr>
            <w:tcW w:w="1249" w:type="dxa"/>
            <w:gridSpan w:val="4"/>
            <w:shd w:val="clear" w:color="auto" w:fill="auto"/>
            <w:vAlign w:val="center"/>
          </w:tcPr>
          <w:p w14:paraId="7DC66816" w14:textId="4879523E" w:rsidR="003444FA" w:rsidRPr="00D55D81" w:rsidRDefault="00AE4DED" w:rsidP="00D55D81">
            <w:pPr>
              <w:jc w:val="right"/>
            </w:pPr>
            <w:r w:rsidRPr="00D55D81">
              <w:t>-</w:t>
            </w:r>
          </w:p>
        </w:tc>
        <w:tc>
          <w:tcPr>
            <w:tcW w:w="1274" w:type="dxa"/>
            <w:shd w:val="clear" w:color="auto" w:fill="auto"/>
            <w:vAlign w:val="center"/>
          </w:tcPr>
          <w:p w14:paraId="3F93FF71" w14:textId="7154DFAD" w:rsidR="003444FA" w:rsidRPr="00D55D81" w:rsidRDefault="00AE4DED" w:rsidP="00D55D81">
            <w:pPr>
              <w:jc w:val="right"/>
            </w:pPr>
            <w:r w:rsidRPr="00D55D81">
              <w:t>-</w:t>
            </w:r>
          </w:p>
        </w:tc>
        <w:tc>
          <w:tcPr>
            <w:tcW w:w="1298" w:type="dxa"/>
            <w:shd w:val="clear" w:color="auto" w:fill="auto"/>
            <w:vAlign w:val="center"/>
          </w:tcPr>
          <w:p w14:paraId="2BBB57D0" w14:textId="6015D0CE" w:rsidR="003444FA" w:rsidRPr="00D55D81" w:rsidRDefault="00AE4DED" w:rsidP="00D55D81">
            <w:pPr>
              <w:jc w:val="right"/>
            </w:pPr>
            <w:r w:rsidRPr="00D55D81">
              <w:t>-</w:t>
            </w:r>
          </w:p>
        </w:tc>
        <w:tc>
          <w:tcPr>
            <w:tcW w:w="1417" w:type="dxa"/>
            <w:shd w:val="clear" w:color="auto" w:fill="auto"/>
            <w:vAlign w:val="center"/>
          </w:tcPr>
          <w:p w14:paraId="4D247E29" w14:textId="3FF84A79" w:rsidR="003444FA" w:rsidRPr="00D55D81" w:rsidRDefault="00AE4DED" w:rsidP="00D55D81">
            <w:pPr>
              <w:jc w:val="right"/>
            </w:pPr>
            <w:r w:rsidRPr="00D55D81">
              <w:t>128</w:t>
            </w:r>
          </w:p>
        </w:tc>
      </w:tr>
      <w:tr w:rsidR="00600E52" w:rsidRPr="00D55D81" w14:paraId="1C544979" w14:textId="77777777" w:rsidTr="00D55D81">
        <w:tc>
          <w:tcPr>
            <w:tcW w:w="4483" w:type="dxa"/>
          </w:tcPr>
          <w:p w14:paraId="17ACAA5A" w14:textId="77777777" w:rsidR="00600E52" w:rsidRPr="00D55D81" w:rsidRDefault="00600E52" w:rsidP="00D55D81">
            <w:r w:rsidRPr="00D55D81">
              <w:t>Revenue expenditure funded from capital under statute</w:t>
            </w:r>
          </w:p>
        </w:tc>
        <w:tc>
          <w:tcPr>
            <w:tcW w:w="1302" w:type="dxa"/>
            <w:gridSpan w:val="6"/>
            <w:shd w:val="clear" w:color="auto" w:fill="auto"/>
            <w:vAlign w:val="center"/>
          </w:tcPr>
          <w:p w14:paraId="560FEA61" w14:textId="334DE36B" w:rsidR="00600E52" w:rsidRPr="00D55D81" w:rsidRDefault="00AE4DED" w:rsidP="00D55D81">
            <w:pPr>
              <w:jc w:val="right"/>
            </w:pPr>
            <w:r w:rsidRPr="00D55D81">
              <w:t>767</w:t>
            </w:r>
          </w:p>
        </w:tc>
        <w:tc>
          <w:tcPr>
            <w:tcW w:w="1249" w:type="dxa"/>
            <w:gridSpan w:val="4"/>
            <w:shd w:val="clear" w:color="auto" w:fill="auto"/>
            <w:vAlign w:val="center"/>
          </w:tcPr>
          <w:p w14:paraId="3B9F611B" w14:textId="4E1A4315" w:rsidR="00600E52" w:rsidRPr="00D55D81" w:rsidRDefault="00AE4DED" w:rsidP="00D55D81">
            <w:pPr>
              <w:jc w:val="right"/>
            </w:pPr>
            <w:r w:rsidRPr="00D55D81">
              <w:t>-</w:t>
            </w:r>
          </w:p>
        </w:tc>
        <w:tc>
          <w:tcPr>
            <w:tcW w:w="1274" w:type="dxa"/>
            <w:shd w:val="clear" w:color="auto" w:fill="auto"/>
            <w:vAlign w:val="center"/>
          </w:tcPr>
          <w:p w14:paraId="6C5D28CA" w14:textId="608C53D8" w:rsidR="00600E52" w:rsidRPr="00D55D81" w:rsidRDefault="00AE4DED" w:rsidP="00D55D81">
            <w:pPr>
              <w:jc w:val="right"/>
            </w:pPr>
            <w:r w:rsidRPr="00D55D81">
              <w:t>-</w:t>
            </w:r>
          </w:p>
        </w:tc>
        <w:tc>
          <w:tcPr>
            <w:tcW w:w="1298" w:type="dxa"/>
            <w:shd w:val="clear" w:color="auto" w:fill="auto"/>
            <w:vAlign w:val="center"/>
          </w:tcPr>
          <w:p w14:paraId="4CF2C15F" w14:textId="02796FCC" w:rsidR="00600E52" w:rsidRPr="00D55D81" w:rsidRDefault="00AE4DED" w:rsidP="00D55D81">
            <w:pPr>
              <w:jc w:val="right"/>
            </w:pPr>
            <w:r w:rsidRPr="00D55D81">
              <w:t>-</w:t>
            </w:r>
          </w:p>
        </w:tc>
        <w:tc>
          <w:tcPr>
            <w:tcW w:w="1417" w:type="dxa"/>
            <w:shd w:val="clear" w:color="auto" w:fill="auto"/>
            <w:vAlign w:val="center"/>
          </w:tcPr>
          <w:p w14:paraId="17F13A3F" w14:textId="07C28EEC" w:rsidR="00600E52" w:rsidRPr="00D55D81" w:rsidRDefault="00AE4DED" w:rsidP="00D55D81">
            <w:pPr>
              <w:jc w:val="right"/>
            </w:pPr>
            <w:r w:rsidRPr="00D55D81">
              <w:t>(767)</w:t>
            </w:r>
          </w:p>
        </w:tc>
      </w:tr>
      <w:tr w:rsidR="00600E52" w:rsidRPr="00D55D81" w14:paraId="050EA560" w14:textId="77777777" w:rsidTr="00D55D81">
        <w:tc>
          <w:tcPr>
            <w:tcW w:w="4483" w:type="dxa"/>
          </w:tcPr>
          <w:p w14:paraId="68935E7A" w14:textId="4CB3D3BF" w:rsidR="00600E52" w:rsidRPr="00D55D81" w:rsidRDefault="00600E52" w:rsidP="00D55D81">
            <w:r w:rsidRPr="00D55D81">
              <w:t xml:space="preserve">Amounts of non-current asset written off on </w:t>
            </w:r>
            <w:r w:rsidR="00AE4DED" w:rsidRPr="00D55D81">
              <w:t>derecognition</w:t>
            </w:r>
          </w:p>
        </w:tc>
        <w:tc>
          <w:tcPr>
            <w:tcW w:w="1302" w:type="dxa"/>
            <w:gridSpan w:val="6"/>
            <w:shd w:val="clear" w:color="auto" w:fill="auto"/>
            <w:vAlign w:val="center"/>
          </w:tcPr>
          <w:p w14:paraId="789C5F02" w14:textId="29CF18A9" w:rsidR="00600E52" w:rsidRPr="00D55D81" w:rsidRDefault="00AE4DED" w:rsidP="00D55D81">
            <w:pPr>
              <w:jc w:val="right"/>
            </w:pPr>
            <w:r w:rsidRPr="00D55D81">
              <w:t>390</w:t>
            </w:r>
          </w:p>
        </w:tc>
        <w:tc>
          <w:tcPr>
            <w:tcW w:w="1249" w:type="dxa"/>
            <w:gridSpan w:val="4"/>
            <w:shd w:val="clear" w:color="auto" w:fill="auto"/>
            <w:vAlign w:val="center"/>
          </w:tcPr>
          <w:p w14:paraId="21F5D720" w14:textId="08F1CFCF" w:rsidR="00600E52" w:rsidRPr="00D55D81" w:rsidRDefault="00AE4DED" w:rsidP="00D55D81">
            <w:pPr>
              <w:jc w:val="right"/>
            </w:pPr>
            <w:r w:rsidRPr="00D55D81">
              <w:t>-</w:t>
            </w:r>
          </w:p>
        </w:tc>
        <w:tc>
          <w:tcPr>
            <w:tcW w:w="1274" w:type="dxa"/>
            <w:shd w:val="clear" w:color="auto" w:fill="auto"/>
            <w:vAlign w:val="center"/>
          </w:tcPr>
          <w:p w14:paraId="6F4AA2CA" w14:textId="3FBDE575" w:rsidR="00600E52" w:rsidRPr="00D55D81" w:rsidRDefault="00AE4DED" w:rsidP="00D55D81">
            <w:pPr>
              <w:jc w:val="right"/>
            </w:pPr>
            <w:r w:rsidRPr="00D55D81">
              <w:t>-</w:t>
            </w:r>
          </w:p>
        </w:tc>
        <w:tc>
          <w:tcPr>
            <w:tcW w:w="1298" w:type="dxa"/>
            <w:shd w:val="clear" w:color="auto" w:fill="auto"/>
            <w:vAlign w:val="center"/>
          </w:tcPr>
          <w:p w14:paraId="1D541A1E" w14:textId="73188840" w:rsidR="00600E52" w:rsidRPr="00D55D81" w:rsidRDefault="00AE4DED" w:rsidP="00D55D81">
            <w:pPr>
              <w:jc w:val="right"/>
            </w:pPr>
            <w:r w:rsidRPr="00D55D81">
              <w:t>-</w:t>
            </w:r>
          </w:p>
        </w:tc>
        <w:tc>
          <w:tcPr>
            <w:tcW w:w="1417" w:type="dxa"/>
            <w:shd w:val="clear" w:color="auto" w:fill="auto"/>
            <w:vAlign w:val="center"/>
          </w:tcPr>
          <w:p w14:paraId="3E7AB8C1" w14:textId="0F2FFBC9" w:rsidR="00600E52" w:rsidRPr="00D55D81" w:rsidRDefault="00AE4DED" w:rsidP="00D55D81">
            <w:pPr>
              <w:jc w:val="right"/>
            </w:pPr>
            <w:r w:rsidRPr="00D55D81">
              <w:t>(390)</w:t>
            </w:r>
          </w:p>
        </w:tc>
      </w:tr>
      <w:tr w:rsidR="00600E52" w:rsidRPr="00D55D81" w14:paraId="1BF882EC" w14:textId="77777777" w:rsidTr="00D55D81">
        <w:tc>
          <w:tcPr>
            <w:tcW w:w="4483" w:type="dxa"/>
          </w:tcPr>
          <w:p w14:paraId="5342D8DD" w14:textId="77777777" w:rsidR="00600E52" w:rsidRPr="00D55D81" w:rsidRDefault="00600E52" w:rsidP="00D55D81">
            <w:r w:rsidRPr="00D55D81">
              <w:t>Statutory provision for the financing of capital investment</w:t>
            </w:r>
          </w:p>
        </w:tc>
        <w:tc>
          <w:tcPr>
            <w:tcW w:w="1302" w:type="dxa"/>
            <w:gridSpan w:val="6"/>
            <w:shd w:val="clear" w:color="auto" w:fill="auto"/>
            <w:vAlign w:val="center"/>
          </w:tcPr>
          <w:p w14:paraId="468667E2" w14:textId="3EDAFD4D" w:rsidR="00600E52" w:rsidRPr="00D55D81" w:rsidRDefault="00AE4DED" w:rsidP="00D55D81">
            <w:pPr>
              <w:jc w:val="right"/>
            </w:pPr>
            <w:r w:rsidRPr="00D55D81">
              <w:t>(719)</w:t>
            </w:r>
          </w:p>
        </w:tc>
        <w:tc>
          <w:tcPr>
            <w:tcW w:w="1249" w:type="dxa"/>
            <w:gridSpan w:val="4"/>
            <w:shd w:val="clear" w:color="auto" w:fill="auto"/>
            <w:vAlign w:val="center"/>
          </w:tcPr>
          <w:p w14:paraId="2D4C1B86" w14:textId="593D52B6" w:rsidR="00600E52" w:rsidRPr="00D55D81" w:rsidRDefault="00AE4DED" w:rsidP="00D55D81">
            <w:pPr>
              <w:jc w:val="right"/>
            </w:pPr>
            <w:r w:rsidRPr="00D55D81">
              <w:t>-</w:t>
            </w:r>
          </w:p>
        </w:tc>
        <w:tc>
          <w:tcPr>
            <w:tcW w:w="1274" w:type="dxa"/>
            <w:shd w:val="clear" w:color="auto" w:fill="auto"/>
            <w:vAlign w:val="center"/>
          </w:tcPr>
          <w:p w14:paraId="5BC8B606" w14:textId="209AEFCE" w:rsidR="00600E52" w:rsidRPr="00D55D81" w:rsidRDefault="00AE4DED" w:rsidP="00D55D81">
            <w:pPr>
              <w:jc w:val="right"/>
            </w:pPr>
            <w:r w:rsidRPr="00D55D81">
              <w:t>-</w:t>
            </w:r>
          </w:p>
        </w:tc>
        <w:tc>
          <w:tcPr>
            <w:tcW w:w="1298" w:type="dxa"/>
            <w:shd w:val="clear" w:color="auto" w:fill="auto"/>
            <w:vAlign w:val="center"/>
          </w:tcPr>
          <w:p w14:paraId="3DFBF5EC" w14:textId="72EE6396" w:rsidR="00600E52" w:rsidRPr="00D55D81" w:rsidRDefault="00AE4DED" w:rsidP="00D55D81">
            <w:pPr>
              <w:jc w:val="right"/>
            </w:pPr>
            <w:r w:rsidRPr="00D55D81">
              <w:t>-</w:t>
            </w:r>
          </w:p>
        </w:tc>
        <w:tc>
          <w:tcPr>
            <w:tcW w:w="1417" w:type="dxa"/>
            <w:shd w:val="clear" w:color="auto" w:fill="auto"/>
            <w:vAlign w:val="center"/>
          </w:tcPr>
          <w:p w14:paraId="06162E3D" w14:textId="72343E0C" w:rsidR="00600E52" w:rsidRPr="00D55D81" w:rsidRDefault="00AE4DED" w:rsidP="00D55D81">
            <w:pPr>
              <w:jc w:val="right"/>
            </w:pPr>
            <w:r w:rsidRPr="00D55D81">
              <w:t>719</w:t>
            </w:r>
          </w:p>
        </w:tc>
      </w:tr>
      <w:tr w:rsidR="00600E52" w:rsidRPr="00D55D81" w14:paraId="0AC1C8FF" w14:textId="77777777" w:rsidTr="00D55D81">
        <w:tc>
          <w:tcPr>
            <w:tcW w:w="4483" w:type="dxa"/>
          </w:tcPr>
          <w:p w14:paraId="1BA40E5A" w14:textId="77777777" w:rsidR="00600E52" w:rsidRPr="00D55D81" w:rsidRDefault="00600E52" w:rsidP="00D55D81">
            <w:r w:rsidRPr="00D55D81">
              <w:t>Capital expenditure charged against the general fund</w:t>
            </w:r>
          </w:p>
        </w:tc>
        <w:tc>
          <w:tcPr>
            <w:tcW w:w="1302" w:type="dxa"/>
            <w:gridSpan w:val="6"/>
            <w:shd w:val="clear" w:color="auto" w:fill="auto"/>
            <w:vAlign w:val="center"/>
          </w:tcPr>
          <w:p w14:paraId="7FC74964" w14:textId="3E6F62B6" w:rsidR="00600E52" w:rsidRPr="00D55D81" w:rsidRDefault="00AE4DED" w:rsidP="00D55D81">
            <w:pPr>
              <w:jc w:val="right"/>
            </w:pPr>
            <w:r w:rsidRPr="00D55D81">
              <w:t>(406)</w:t>
            </w:r>
          </w:p>
        </w:tc>
        <w:tc>
          <w:tcPr>
            <w:tcW w:w="1249" w:type="dxa"/>
            <w:gridSpan w:val="4"/>
            <w:shd w:val="clear" w:color="auto" w:fill="auto"/>
            <w:vAlign w:val="center"/>
          </w:tcPr>
          <w:p w14:paraId="1B577219" w14:textId="522AA546" w:rsidR="00600E52" w:rsidRPr="00D55D81" w:rsidRDefault="00AE4DED" w:rsidP="00D55D81">
            <w:pPr>
              <w:jc w:val="right"/>
            </w:pPr>
            <w:r w:rsidRPr="00D55D81">
              <w:t>-</w:t>
            </w:r>
          </w:p>
        </w:tc>
        <w:tc>
          <w:tcPr>
            <w:tcW w:w="1274" w:type="dxa"/>
            <w:shd w:val="clear" w:color="auto" w:fill="auto"/>
            <w:vAlign w:val="center"/>
          </w:tcPr>
          <w:p w14:paraId="04C0EACC" w14:textId="4913615F" w:rsidR="00600E52" w:rsidRPr="00D55D81" w:rsidRDefault="00AE4DED" w:rsidP="00D55D81">
            <w:pPr>
              <w:jc w:val="right"/>
            </w:pPr>
            <w:r w:rsidRPr="00D55D81">
              <w:t>-</w:t>
            </w:r>
          </w:p>
        </w:tc>
        <w:tc>
          <w:tcPr>
            <w:tcW w:w="1298" w:type="dxa"/>
            <w:shd w:val="clear" w:color="auto" w:fill="auto"/>
            <w:vAlign w:val="center"/>
          </w:tcPr>
          <w:p w14:paraId="77FC530C" w14:textId="078B456B" w:rsidR="00600E52" w:rsidRPr="00D55D81" w:rsidRDefault="00AE4DED" w:rsidP="00D55D81">
            <w:pPr>
              <w:jc w:val="right"/>
            </w:pPr>
            <w:r w:rsidRPr="00D55D81">
              <w:t>-</w:t>
            </w:r>
          </w:p>
        </w:tc>
        <w:tc>
          <w:tcPr>
            <w:tcW w:w="1417" w:type="dxa"/>
            <w:shd w:val="clear" w:color="auto" w:fill="auto"/>
            <w:vAlign w:val="center"/>
          </w:tcPr>
          <w:p w14:paraId="260AE361" w14:textId="04F2CD6D" w:rsidR="00600E52" w:rsidRPr="00D55D81" w:rsidRDefault="00AE4DED" w:rsidP="00D55D81">
            <w:pPr>
              <w:jc w:val="right"/>
            </w:pPr>
            <w:r w:rsidRPr="00D55D81">
              <w:t>406</w:t>
            </w:r>
          </w:p>
        </w:tc>
      </w:tr>
      <w:tr w:rsidR="00600E52" w:rsidRPr="00D55D81" w14:paraId="483F3B81" w14:textId="77777777" w:rsidTr="00D55D81">
        <w:tc>
          <w:tcPr>
            <w:tcW w:w="11023" w:type="dxa"/>
            <w:gridSpan w:val="14"/>
            <w:shd w:val="clear" w:color="auto" w:fill="auto"/>
          </w:tcPr>
          <w:p w14:paraId="4748A06C" w14:textId="77777777" w:rsidR="00600E52" w:rsidRPr="00D55D81" w:rsidRDefault="00600E52" w:rsidP="00D55D81">
            <w:pPr>
              <w:rPr>
                <w:b/>
                <w:sz w:val="6"/>
                <w:szCs w:val="6"/>
              </w:rPr>
            </w:pPr>
          </w:p>
        </w:tc>
      </w:tr>
      <w:tr w:rsidR="00600E52" w:rsidRPr="00D55D81" w14:paraId="2C9594E5" w14:textId="77777777" w:rsidTr="00D55D81">
        <w:tc>
          <w:tcPr>
            <w:tcW w:w="11023" w:type="dxa"/>
            <w:gridSpan w:val="14"/>
            <w:shd w:val="clear" w:color="auto" w:fill="auto"/>
          </w:tcPr>
          <w:p w14:paraId="3CDAAFC3" w14:textId="77777777" w:rsidR="00600E52" w:rsidRPr="00D55D81" w:rsidRDefault="00600E52" w:rsidP="00D55D81">
            <w:pPr>
              <w:rPr>
                <w:b/>
              </w:rPr>
            </w:pPr>
            <w:r w:rsidRPr="00D55D81">
              <w:rPr>
                <w:b/>
              </w:rPr>
              <w:t>Adjustment primarily involving the Capital Grants Unapplied Accounts</w:t>
            </w:r>
          </w:p>
        </w:tc>
      </w:tr>
      <w:tr w:rsidR="00600E52" w:rsidRPr="000127EF" w14:paraId="303C1714" w14:textId="77777777" w:rsidTr="00D55D81">
        <w:trPr>
          <w:trHeight w:val="406"/>
        </w:trPr>
        <w:tc>
          <w:tcPr>
            <w:tcW w:w="4483" w:type="dxa"/>
          </w:tcPr>
          <w:p w14:paraId="017DF2DB" w14:textId="77777777" w:rsidR="00600E52" w:rsidRPr="00D55D81" w:rsidRDefault="00600E52" w:rsidP="00D55D81">
            <w:r w:rsidRPr="00D55D81">
              <w:t>Capital grants &amp; contributions unapplied</w:t>
            </w:r>
          </w:p>
        </w:tc>
        <w:tc>
          <w:tcPr>
            <w:tcW w:w="1302" w:type="dxa"/>
            <w:gridSpan w:val="6"/>
            <w:shd w:val="clear" w:color="auto" w:fill="auto"/>
            <w:vAlign w:val="center"/>
          </w:tcPr>
          <w:p w14:paraId="57DA70FB" w14:textId="71BF80DF" w:rsidR="00600E52" w:rsidRPr="00D55D81" w:rsidRDefault="00AE4DED" w:rsidP="00D55D81">
            <w:pPr>
              <w:tabs>
                <w:tab w:val="left" w:pos="1088"/>
              </w:tabs>
              <w:jc w:val="right"/>
            </w:pPr>
            <w:r w:rsidRPr="00D55D81">
              <w:t>(422)</w:t>
            </w:r>
          </w:p>
        </w:tc>
        <w:tc>
          <w:tcPr>
            <w:tcW w:w="1249" w:type="dxa"/>
            <w:gridSpan w:val="4"/>
            <w:shd w:val="clear" w:color="auto" w:fill="auto"/>
            <w:vAlign w:val="center"/>
          </w:tcPr>
          <w:p w14:paraId="722D3A94" w14:textId="11628317" w:rsidR="00600E52" w:rsidRPr="00D55D81" w:rsidRDefault="00AE4DED" w:rsidP="00D55D81">
            <w:pPr>
              <w:ind w:right="3"/>
              <w:jc w:val="right"/>
            </w:pPr>
            <w:r w:rsidRPr="00D55D81">
              <w:t>-</w:t>
            </w:r>
          </w:p>
        </w:tc>
        <w:tc>
          <w:tcPr>
            <w:tcW w:w="1274" w:type="dxa"/>
            <w:shd w:val="clear" w:color="auto" w:fill="auto"/>
            <w:vAlign w:val="center"/>
          </w:tcPr>
          <w:p w14:paraId="4C2D2C90" w14:textId="11735A79" w:rsidR="00600E52" w:rsidRPr="00D55D81" w:rsidRDefault="00AE4DED" w:rsidP="00D55D81">
            <w:pPr>
              <w:ind w:right="1"/>
              <w:jc w:val="right"/>
            </w:pPr>
            <w:r w:rsidRPr="00D55D81">
              <w:t>-</w:t>
            </w:r>
          </w:p>
        </w:tc>
        <w:tc>
          <w:tcPr>
            <w:tcW w:w="1298" w:type="dxa"/>
            <w:shd w:val="clear" w:color="auto" w:fill="auto"/>
            <w:vAlign w:val="center"/>
          </w:tcPr>
          <w:p w14:paraId="7C136042" w14:textId="5ABFE6A4" w:rsidR="00600E52" w:rsidRPr="00D55D81" w:rsidRDefault="00AE4DED" w:rsidP="00D55D81">
            <w:pPr>
              <w:ind w:right="175"/>
              <w:jc w:val="right"/>
            </w:pPr>
            <w:r w:rsidRPr="00D55D81">
              <w:t>422</w:t>
            </w:r>
          </w:p>
        </w:tc>
        <w:tc>
          <w:tcPr>
            <w:tcW w:w="1417" w:type="dxa"/>
            <w:shd w:val="clear" w:color="auto" w:fill="auto"/>
            <w:vAlign w:val="center"/>
          </w:tcPr>
          <w:p w14:paraId="0E60BCEA" w14:textId="0F0016B2" w:rsidR="00600E52" w:rsidRPr="00D55D81" w:rsidRDefault="00AE4DED" w:rsidP="00D55D81">
            <w:pPr>
              <w:jc w:val="right"/>
            </w:pPr>
            <w:r w:rsidRPr="00D55D81">
              <w:t>-</w:t>
            </w:r>
          </w:p>
        </w:tc>
      </w:tr>
      <w:tr w:rsidR="00600E52" w:rsidRPr="000127EF" w14:paraId="2DE1709D" w14:textId="77777777" w:rsidTr="00D55D81">
        <w:tc>
          <w:tcPr>
            <w:tcW w:w="11023" w:type="dxa"/>
            <w:gridSpan w:val="14"/>
            <w:shd w:val="clear" w:color="auto" w:fill="auto"/>
          </w:tcPr>
          <w:p w14:paraId="0C4E2B57" w14:textId="77777777" w:rsidR="00600E52" w:rsidRPr="00D55D81" w:rsidRDefault="00600E52" w:rsidP="00D55D81">
            <w:pPr>
              <w:rPr>
                <w:b/>
                <w:sz w:val="6"/>
                <w:szCs w:val="6"/>
              </w:rPr>
            </w:pPr>
          </w:p>
        </w:tc>
      </w:tr>
      <w:tr w:rsidR="00600E52" w:rsidRPr="000127EF" w14:paraId="60C9B067" w14:textId="77777777" w:rsidTr="00D55D81">
        <w:tc>
          <w:tcPr>
            <w:tcW w:w="11023" w:type="dxa"/>
            <w:gridSpan w:val="14"/>
            <w:shd w:val="clear" w:color="auto" w:fill="auto"/>
          </w:tcPr>
          <w:p w14:paraId="3CA9FFDE" w14:textId="77777777" w:rsidR="00600E52" w:rsidRPr="00D55D81" w:rsidRDefault="00600E52" w:rsidP="00D55D81">
            <w:pPr>
              <w:rPr>
                <w:b/>
              </w:rPr>
            </w:pPr>
            <w:r w:rsidRPr="00D55D81">
              <w:rPr>
                <w:b/>
              </w:rPr>
              <w:t>Adjustments primarily involving the Capital Receipts Reserve</w:t>
            </w:r>
          </w:p>
        </w:tc>
      </w:tr>
      <w:tr w:rsidR="00600E52" w:rsidRPr="000127EF" w14:paraId="76BC9D30" w14:textId="77777777" w:rsidTr="00D55D81">
        <w:tc>
          <w:tcPr>
            <w:tcW w:w="4483" w:type="dxa"/>
          </w:tcPr>
          <w:p w14:paraId="34814792" w14:textId="77777777" w:rsidR="00600E52" w:rsidRPr="00D55D81" w:rsidRDefault="00600E52" w:rsidP="00D55D81">
            <w:r w:rsidRPr="00D55D81">
              <w:lastRenderedPageBreak/>
              <w:t>Transfer of cash sale proceeds credited as part of the gain or loss on disposal</w:t>
            </w:r>
          </w:p>
        </w:tc>
        <w:tc>
          <w:tcPr>
            <w:tcW w:w="1302" w:type="dxa"/>
            <w:gridSpan w:val="6"/>
            <w:shd w:val="clear" w:color="auto" w:fill="auto"/>
            <w:vAlign w:val="center"/>
          </w:tcPr>
          <w:p w14:paraId="5EA371F2" w14:textId="40E1584A" w:rsidR="00600E52" w:rsidRPr="00D55D81" w:rsidRDefault="00AE4DED" w:rsidP="00D55D81">
            <w:pPr>
              <w:tabs>
                <w:tab w:val="left" w:pos="1171"/>
              </w:tabs>
              <w:jc w:val="right"/>
            </w:pPr>
            <w:r w:rsidRPr="00D55D81">
              <w:t>(18)</w:t>
            </w:r>
          </w:p>
        </w:tc>
        <w:tc>
          <w:tcPr>
            <w:tcW w:w="1249" w:type="dxa"/>
            <w:gridSpan w:val="4"/>
            <w:shd w:val="clear" w:color="auto" w:fill="auto"/>
            <w:vAlign w:val="center"/>
          </w:tcPr>
          <w:p w14:paraId="3F573CD0" w14:textId="2004EF78" w:rsidR="00600E52" w:rsidRPr="00D55D81" w:rsidRDefault="00AE4DED" w:rsidP="00D55D81">
            <w:pPr>
              <w:tabs>
                <w:tab w:val="left" w:pos="1171"/>
              </w:tabs>
              <w:jc w:val="right"/>
            </w:pPr>
            <w:r w:rsidRPr="00D55D81">
              <w:t>18</w:t>
            </w:r>
          </w:p>
        </w:tc>
        <w:tc>
          <w:tcPr>
            <w:tcW w:w="1274" w:type="dxa"/>
            <w:shd w:val="clear" w:color="auto" w:fill="auto"/>
            <w:vAlign w:val="center"/>
          </w:tcPr>
          <w:p w14:paraId="10C4C09F" w14:textId="7863873D" w:rsidR="00600E52" w:rsidRPr="00D55D81" w:rsidRDefault="00AE4DED" w:rsidP="00D55D81">
            <w:pPr>
              <w:tabs>
                <w:tab w:val="left" w:pos="1171"/>
              </w:tabs>
              <w:jc w:val="right"/>
            </w:pPr>
            <w:r w:rsidRPr="00D55D81">
              <w:t>-</w:t>
            </w:r>
          </w:p>
        </w:tc>
        <w:tc>
          <w:tcPr>
            <w:tcW w:w="1298" w:type="dxa"/>
            <w:shd w:val="clear" w:color="auto" w:fill="auto"/>
            <w:vAlign w:val="center"/>
          </w:tcPr>
          <w:p w14:paraId="671E4B0F" w14:textId="1D48154A" w:rsidR="00600E52" w:rsidRPr="00D55D81" w:rsidRDefault="00AE4DED" w:rsidP="00D55D81">
            <w:pPr>
              <w:tabs>
                <w:tab w:val="left" w:pos="1171"/>
              </w:tabs>
              <w:jc w:val="right"/>
            </w:pPr>
            <w:r w:rsidRPr="00D55D81">
              <w:t>-</w:t>
            </w:r>
          </w:p>
        </w:tc>
        <w:tc>
          <w:tcPr>
            <w:tcW w:w="1417" w:type="dxa"/>
            <w:shd w:val="clear" w:color="auto" w:fill="auto"/>
            <w:vAlign w:val="center"/>
          </w:tcPr>
          <w:p w14:paraId="10325A3D" w14:textId="71658189" w:rsidR="00600E52" w:rsidRPr="00D55D81" w:rsidRDefault="00AE4DED" w:rsidP="00D55D81">
            <w:pPr>
              <w:tabs>
                <w:tab w:val="left" w:pos="1171"/>
              </w:tabs>
              <w:jc w:val="right"/>
            </w:pPr>
            <w:r w:rsidRPr="00D55D81">
              <w:t>-</w:t>
            </w:r>
          </w:p>
        </w:tc>
      </w:tr>
      <w:tr w:rsidR="00600E52" w:rsidRPr="000127EF" w14:paraId="01C2549F" w14:textId="77777777" w:rsidTr="00D55D81">
        <w:tc>
          <w:tcPr>
            <w:tcW w:w="4483" w:type="dxa"/>
          </w:tcPr>
          <w:p w14:paraId="3CE74222" w14:textId="77777777" w:rsidR="00600E52" w:rsidRPr="00D55D81" w:rsidRDefault="00600E52" w:rsidP="00D55D81">
            <w:r w:rsidRPr="00D55D81">
              <w:t>Transfer from Deferred Capital Receipts Reserve upon receipt of cash</w:t>
            </w:r>
          </w:p>
        </w:tc>
        <w:tc>
          <w:tcPr>
            <w:tcW w:w="1302" w:type="dxa"/>
            <w:gridSpan w:val="6"/>
            <w:shd w:val="clear" w:color="auto" w:fill="auto"/>
            <w:vAlign w:val="center"/>
          </w:tcPr>
          <w:p w14:paraId="0EE0EA65" w14:textId="5E2753D0" w:rsidR="00600E52" w:rsidRPr="00D55D81" w:rsidRDefault="00AE4DED" w:rsidP="00D55D81">
            <w:pPr>
              <w:tabs>
                <w:tab w:val="left" w:pos="1171"/>
              </w:tabs>
              <w:jc w:val="right"/>
            </w:pPr>
            <w:r w:rsidRPr="00D55D81">
              <w:t>-</w:t>
            </w:r>
          </w:p>
        </w:tc>
        <w:tc>
          <w:tcPr>
            <w:tcW w:w="1249" w:type="dxa"/>
            <w:gridSpan w:val="4"/>
            <w:shd w:val="clear" w:color="auto" w:fill="auto"/>
            <w:vAlign w:val="center"/>
          </w:tcPr>
          <w:p w14:paraId="658CE893" w14:textId="25C733E5" w:rsidR="00600E52" w:rsidRPr="00D55D81" w:rsidRDefault="00AE4DED" w:rsidP="00D55D81">
            <w:pPr>
              <w:tabs>
                <w:tab w:val="left" w:pos="1171"/>
              </w:tabs>
              <w:jc w:val="right"/>
            </w:pPr>
            <w:r w:rsidRPr="00D55D81">
              <w:t>10</w:t>
            </w:r>
          </w:p>
        </w:tc>
        <w:tc>
          <w:tcPr>
            <w:tcW w:w="1274" w:type="dxa"/>
            <w:shd w:val="clear" w:color="auto" w:fill="auto"/>
            <w:vAlign w:val="center"/>
          </w:tcPr>
          <w:p w14:paraId="69C33EF8" w14:textId="661EB028" w:rsidR="00600E52" w:rsidRPr="00D55D81" w:rsidRDefault="00AE4DED" w:rsidP="00D55D81">
            <w:pPr>
              <w:tabs>
                <w:tab w:val="left" w:pos="1171"/>
              </w:tabs>
              <w:jc w:val="right"/>
            </w:pPr>
            <w:r w:rsidRPr="00D55D81">
              <w:t>-</w:t>
            </w:r>
          </w:p>
        </w:tc>
        <w:tc>
          <w:tcPr>
            <w:tcW w:w="1298" w:type="dxa"/>
            <w:shd w:val="clear" w:color="auto" w:fill="auto"/>
            <w:vAlign w:val="center"/>
          </w:tcPr>
          <w:p w14:paraId="02539BB2" w14:textId="4258D1D0" w:rsidR="00600E52" w:rsidRPr="00D55D81" w:rsidRDefault="00AE4DED" w:rsidP="00D55D81">
            <w:pPr>
              <w:tabs>
                <w:tab w:val="left" w:pos="1171"/>
              </w:tabs>
              <w:jc w:val="right"/>
            </w:pPr>
            <w:r w:rsidRPr="00D55D81">
              <w:t>-</w:t>
            </w:r>
          </w:p>
        </w:tc>
        <w:tc>
          <w:tcPr>
            <w:tcW w:w="1417" w:type="dxa"/>
            <w:shd w:val="clear" w:color="auto" w:fill="auto"/>
            <w:vAlign w:val="center"/>
          </w:tcPr>
          <w:p w14:paraId="5C88A8D8" w14:textId="6475E5E3" w:rsidR="00600E52" w:rsidRPr="00D55D81" w:rsidRDefault="00AE4DED" w:rsidP="00D55D81">
            <w:pPr>
              <w:tabs>
                <w:tab w:val="left" w:pos="1171"/>
              </w:tabs>
              <w:jc w:val="right"/>
            </w:pPr>
            <w:r w:rsidRPr="00D55D81">
              <w:t>(10)</w:t>
            </w:r>
          </w:p>
        </w:tc>
      </w:tr>
      <w:tr w:rsidR="00FE6857" w:rsidRPr="000127EF" w14:paraId="42C0F4ED" w14:textId="77777777" w:rsidTr="00D55D81">
        <w:tc>
          <w:tcPr>
            <w:tcW w:w="4483" w:type="dxa"/>
          </w:tcPr>
          <w:p w14:paraId="16E04304" w14:textId="11A4A000" w:rsidR="00FE6857" w:rsidRPr="00D55D81" w:rsidRDefault="00FE6857" w:rsidP="00D55D81">
            <w:pPr>
              <w:rPr>
                <w:rFonts w:cs="Arial"/>
                <w:szCs w:val="22"/>
                <w:lang w:eastAsia="en-GB"/>
              </w:rPr>
            </w:pPr>
            <w:r w:rsidRPr="00D55D81">
              <w:rPr>
                <w:rFonts w:cs="Arial"/>
                <w:szCs w:val="22"/>
              </w:rPr>
              <w:t>Repayment of Capital Loan</w:t>
            </w:r>
          </w:p>
        </w:tc>
        <w:tc>
          <w:tcPr>
            <w:tcW w:w="1302" w:type="dxa"/>
            <w:gridSpan w:val="6"/>
            <w:shd w:val="clear" w:color="auto" w:fill="auto"/>
            <w:vAlign w:val="center"/>
          </w:tcPr>
          <w:p w14:paraId="3477BE9B" w14:textId="1A0120B1" w:rsidR="00FE6857" w:rsidRPr="00D55D81" w:rsidRDefault="00AE4DED" w:rsidP="00D55D81">
            <w:pPr>
              <w:tabs>
                <w:tab w:val="left" w:pos="1171"/>
              </w:tabs>
              <w:jc w:val="right"/>
            </w:pPr>
            <w:r w:rsidRPr="00D55D81">
              <w:t>-</w:t>
            </w:r>
          </w:p>
        </w:tc>
        <w:tc>
          <w:tcPr>
            <w:tcW w:w="1249" w:type="dxa"/>
            <w:gridSpan w:val="4"/>
            <w:shd w:val="clear" w:color="auto" w:fill="auto"/>
            <w:vAlign w:val="center"/>
          </w:tcPr>
          <w:p w14:paraId="70D80517" w14:textId="384FD701" w:rsidR="00FE6857" w:rsidRPr="00D55D81" w:rsidRDefault="00AE4DED" w:rsidP="00D55D81">
            <w:pPr>
              <w:tabs>
                <w:tab w:val="left" w:pos="1171"/>
              </w:tabs>
              <w:jc w:val="right"/>
            </w:pPr>
            <w:r w:rsidRPr="00D55D81">
              <w:t>48</w:t>
            </w:r>
          </w:p>
        </w:tc>
        <w:tc>
          <w:tcPr>
            <w:tcW w:w="1274" w:type="dxa"/>
            <w:shd w:val="clear" w:color="auto" w:fill="auto"/>
            <w:vAlign w:val="center"/>
          </w:tcPr>
          <w:p w14:paraId="2A4839D2" w14:textId="69F81DBF" w:rsidR="00FE6857" w:rsidRPr="00D55D81" w:rsidRDefault="00AE4DED" w:rsidP="00D55D81">
            <w:pPr>
              <w:tabs>
                <w:tab w:val="left" w:pos="1171"/>
              </w:tabs>
              <w:jc w:val="right"/>
            </w:pPr>
            <w:r w:rsidRPr="00D55D81">
              <w:t>-</w:t>
            </w:r>
          </w:p>
        </w:tc>
        <w:tc>
          <w:tcPr>
            <w:tcW w:w="1298" w:type="dxa"/>
            <w:shd w:val="clear" w:color="auto" w:fill="auto"/>
            <w:vAlign w:val="center"/>
          </w:tcPr>
          <w:p w14:paraId="2FDEE782" w14:textId="6E9A272A" w:rsidR="00FE6857" w:rsidRPr="00D55D81" w:rsidRDefault="00AE4DED" w:rsidP="00D55D81">
            <w:pPr>
              <w:tabs>
                <w:tab w:val="left" w:pos="1171"/>
              </w:tabs>
              <w:jc w:val="right"/>
            </w:pPr>
            <w:r w:rsidRPr="00D55D81">
              <w:t>-</w:t>
            </w:r>
          </w:p>
        </w:tc>
        <w:tc>
          <w:tcPr>
            <w:tcW w:w="1417" w:type="dxa"/>
            <w:shd w:val="clear" w:color="auto" w:fill="auto"/>
            <w:vAlign w:val="center"/>
          </w:tcPr>
          <w:p w14:paraId="1564453D" w14:textId="2ADD5CFC" w:rsidR="00FE6857" w:rsidRPr="00D55D81" w:rsidRDefault="00AE4DED" w:rsidP="00D55D81">
            <w:pPr>
              <w:tabs>
                <w:tab w:val="left" w:pos="1171"/>
              </w:tabs>
              <w:jc w:val="right"/>
            </w:pPr>
            <w:r w:rsidRPr="00D55D81">
              <w:t>(48)</w:t>
            </w:r>
          </w:p>
        </w:tc>
      </w:tr>
      <w:tr w:rsidR="00600E52" w:rsidRPr="000127EF" w14:paraId="419498BF" w14:textId="77777777" w:rsidTr="00D55D81">
        <w:tc>
          <w:tcPr>
            <w:tcW w:w="4483" w:type="dxa"/>
          </w:tcPr>
          <w:p w14:paraId="1734FC54" w14:textId="77777777" w:rsidR="00600E52" w:rsidRPr="00D55D81" w:rsidRDefault="00600E52" w:rsidP="00D55D81">
            <w:r w:rsidRPr="00D55D81">
              <w:t>Use of the Capital Receipts Reserve to finance new capital expenditure</w:t>
            </w:r>
          </w:p>
        </w:tc>
        <w:tc>
          <w:tcPr>
            <w:tcW w:w="1302" w:type="dxa"/>
            <w:gridSpan w:val="6"/>
            <w:shd w:val="clear" w:color="auto" w:fill="auto"/>
            <w:vAlign w:val="center"/>
          </w:tcPr>
          <w:p w14:paraId="66C0EE91" w14:textId="09450A97" w:rsidR="00600E52" w:rsidRPr="00D55D81" w:rsidRDefault="00AE4DED" w:rsidP="00D55D81">
            <w:pPr>
              <w:tabs>
                <w:tab w:val="left" w:pos="1171"/>
              </w:tabs>
              <w:jc w:val="right"/>
            </w:pPr>
            <w:r w:rsidRPr="00D55D81">
              <w:t>-</w:t>
            </w:r>
          </w:p>
        </w:tc>
        <w:tc>
          <w:tcPr>
            <w:tcW w:w="1249" w:type="dxa"/>
            <w:gridSpan w:val="4"/>
            <w:shd w:val="clear" w:color="auto" w:fill="auto"/>
            <w:vAlign w:val="center"/>
          </w:tcPr>
          <w:p w14:paraId="128D2F88" w14:textId="38B3EA91" w:rsidR="00600E52" w:rsidRPr="00D55D81" w:rsidRDefault="00AE4DED" w:rsidP="00D55D81">
            <w:pPr>
              <w:tabs>
                <w:tab w:val="left" w:pos="1171"/>
              </w:tabs>
              <w:jc w:val="right"/>
            </w:pPr>
            <w:r w:rsidRPr="00D55D81">
              <w:t>-</w:t>
            </w:r>
          </w:p>
        </w:tc>
        <w:tc>
          <w:tcPr>
            <w:tcW w:w="1274" w:type="dxa"/>
            <w:shd w:val="clear" w:color="auto" w:fill="auto"/>
            <w:vAlign w:val="center"/>
          </w:tcPr>
          <w:p w14:paraId="4D653BBD" w14:textId="693AA0DA" w:rsidR="00600E52" w:rsidRPr="00D55D81" w:rsidRDefault="00AE4DED" w:rsidP="00D55D81">
            <w:pPr>
              <w:tabs>
                <w:tab w:val="left" w:pos="1171"/>
              </w:tabs>
              <w:jc w:val="right"/>
            </w:pPr>
            <w:r w:rsidRPr="00D55D81">
              <w:t>-</w:t>
            </w:r>
          </w:p>
        </w:tc>
        <w:tc>
          <w:tcPr>
            <w:tcW w:w="1298" w:type="dxa"/>
            <w:shd w:val="clear" w:color="auto" w:fill="auto"/>
            <w:vAlign w:val="center"/>
          </w:tcPr>
          <w:p w14:paraId="3FB19881" w14:textId="0939C5C8" w:rsidR="00600E52" w:rsidRPr="00D55D81" w:rsidRDefault="00AE4DED" w:rsidP="00D55D81">
            <w:pPr>
              <w:tabs>
                <w:tab w:val="left" w:pos="1171"/>
              </w:tabs>
              <w:jc w:val="right"/>
            </w:pPr>
            <w:r w:rsidRPr="00D55D81">
              <w:t>-</w:t>
            </w:r>
          </w:p>
        </w:tc>
        <w:tc>
          <w:tcPr>
            <w:tcW w:w="1417" w:type="dxa"/>
            <w:shd w:val="clear" w:color="auto" w:fill="auto"/>
            <w:vAlign w:val="center"/>
          </w:tcPr>
          <w:p w14:paraId="1B345459" w14:textId="0865436E" w:rsidR="00600E52" w:rsidRPr="00D55D81" w:rsidRDefault="00AE4DED" w:rsidP="00D55D81">
            <w:pPr>
              <w:tabs>
                <w:tab w:val="left" w:pos="1171"/>
              </w:tabs>
              <w:jc w:val="right"/>
            </w:pPr>
            <w:r w:rsidRPr="00D55D81">
              <w:t>-</w:t>
            </w:r>
          </w:p>
        </w:tc>
      </w:tr>
      <w:tr w:rsidR="00600E52" w:rsidRPr="000127EF" w14:paraId="3CC31B70" w14:textId="77777777" w:rsidTr="00D55D81">
        <w:tc>
          <w:tcPr>
            <w:tcW w:w="11023" w:type="dxa"/>
            <w:gridSpan w:val="14"/>
            <w:shd w:val="clear" w:color="auto" w:fill="auto"/>
            <w:vAlign w:val="center"/>
          </w:tcPr>
          <w:p w14:paraId="7CB4BCFC" w14:textId="77777777" w:rsidR="00600E52" w:rsidRPr="00D55D81" w:rsidRDefault="00600E52" w:rsidP="00D55D81">
            <w:pPr>
              <w:rPr>
                <w:sz w:val="6"/>
                <w:szCs w:val="6"/>
              </w:rPr>
            </w:pPr>
          </w:p>
        </w:tc>
      </w:tr>
      <w:tr w:rsidR="00600E52" w:rsidRPr="000127EF" w14:paraId="40C81170" w14:textId="77777777" w:rsidTr="00D55D81">
        <w:tc>
          <w:tcPr>
            <w:tcW w:w="11023" w:type="dxa"/>
            <w:gridSpan w:val="14"/>
            <w:shd w:val="clear" w:color="auto" w:fill="auto"/>
          </w:tcPr>
          <w:p w14:paraId="24007653" w14:textId="77777777" w:rsidR="00600E52" w:rsidRPr="00D55D81" w:rsidRDefault="00600E52" w:rsidP="00D55D81">
            <w:pPr>
              <w:rPr>
                <w:b/>
              </w:rPr>
            </w:pPr>
            <w:r w:rsidRPr="00D55D81">
              <w:rPr>
                <w:b/>
              </w:rPr>
              <w:t>Adjustment primarily involving the Section 106 Reserve</w:t>
            </w:r>
          </w:p>
        </w:tc>
      </w:tr>
      <w:tr w:rsidR="00600E52" w:rsidRPr="000127EF" w14:paraId="36D1592B" w14:textId="77777777" w:rsidTr="00D55D81">
        <w:tc>
          <w:tcPr>
            <w:tcW w:w="4483" w:type="dxa"/>
          </w:tcPr>
          <w:p w14:paraId="5651D3DF" w14:textId="558F5004" w:rsidR="00600E52" w:rsidRPr="00D55D81" w:rsidRDefault="00604EB3" w:rsidP="00D55D81">
            <w:pPr>
              <w:rPr>
                <w:rFonts w:cs="Arial"/>
                <w:szCs w:val="22"/>
                <w:lang w:eastAsia="en-GB"/>
              </w:rPr>
            </w:pPr>
            <w:r w:rsidRPr="00D55D81">
              <w:rPr>
                <w:rFonts w:cs="Arial"/>
                <w:szCs w:val="22"/>
              </w:rPr>
              <w:t>Section 106 contributions unapplied transferred to reserves</w:t>
            </w:r>
          </w:p>
        </w:tc>
        <w:tc>
          <w:tcPr>
            <w:tcW w:w="1302" w:type="dxa"/>
            <w:gridSpan w:val="6"/>
            <w:shd w:val="clear" w:color="auto" w:fill="auto"/>
          </w:tcPr>
          <w:p w14:paraId="0ED7BC06" w14:textId="2FD88829" w:rsidR="00600E52" w:rsidRPr="00D55D81" w:rsidRDefault="00AE4DED" w:rsidP="00D55D81">
            <w:pPr>
              <w:tabs>
                <w:tab w:val="left" w:pos="660"/>
              </w:tabs>
              <w:jc w:val="right"/>
            </w:pPr>
            <w:r w:rsidRPr="00D55D81">
              <w:t>(895)</w:t>
            </w:r>
          </w:p>
        </w:tc>
        <w:tc>
          <w:tcPr>
            <w:tcW w:w="1249" w:type="dxa"/>
            <w:gridSpan w:val="4"/>
            <w:shd w:val="clear" w:color="auto" w:fill="auto"/>
          </w:tcPr>
          <w:p w14:paraId="23A0CE71" w14:textId="20EC6563" w:rsidR="00600E52" w:rsidRPr="00D55D81" w:rsidRDefault="00AE4DED" w:rsidP="00D55D81">
            <w:pPr>
              <w:jc w:val="right"/>
            </w:pPr>
            <w:r w:rsidRPr="00D55D81">
              <w:t>-</w:t>
            </w:r>
          </w:p>
        </w:tc>
        <w:tc>
          <w:tcPr>
            <w:tcW w:w="1274" w:type="dxa"/>
            <w:shd w:val="clear" w:color="auto" w:fill="auto"/>
          </w:tcPr>
          <w:p w14:paraId="6FF5AEB7" w14:textId="27FA4E4C" w:rsidR="00600E52" w:rsidRPr="00D55D81" w:rsidRDefault="00AE4DED" w:rsidP="00D55D81">
            <w:pPr>
              <w:jc w:val="right"/>
            </w:pPr>
            <w:r w:rsidRPr="00D55D81">
              <w:t>895</w:t>
            </w:r>
          </w:p>
        </w:tc>
        <w:tc>
          <w:tcPr>
            <w:tcW w:w="1298" w:type="dxa"/>
            <w:shd w:val="clear" w:color="auto" w:fill="auto"/>
          </w:tcPr>
          <w:p w14:paraId="27A0432A" w14:textId="489A9073" w:rsidR="00600E52" w:rsidRPr="00D55D81" w:rsidRDefault="00AE4DED" w:rsidP="00D55D81">
            <w:pPr>
              <w:jc w:val="right"/>
            </w:pPr>
            <w:r w:rsidRPr="00D55D81">
              <w:t>-</w:t>
            </w:r>
          </w:p>
        </w:tc>
        <w:tc>
          <w:tcPr>
            <w:tcW w:w="1417" w:type="dxa"/>
            <w:shd w:val="clear" w:color="auto" w:fill="auto"/>
          </w:tcPr>
          <w:p w14:paraId="38C9B7E6" w14:textId="6CA4799F" w:rsidR="00600E52" w:rsidRPr="00D55D81" w:rsidRDefault="00AE4DED" w:rsidP="00D55D81">
            <w:pPr>
              <w:jc w:val="right"/>
            </w:pPr>
            <w:r w:rsidRPr="00D55D81">
              <w:t>-</w:t>
            </w:r>
          </w:p>
        </w:tc>
      </w:tr>
      <w:tr w:rsidR="00604EB3" w:rsidRPr="000127EF" w14:paraId="2C2EE26A" w14:textId="77777777" w:rsidTr="00D55D81">
        <w:tc>
          <w:tcPr>
            <w:tcW w:w="4483" w:type="dxa"/>
          </w:tcPr>
          <w:p w14:paraId="33437147" w14:textId="1DB0C09F" w:rsidR="00604EB3" w:rsidRPr="00D55D81" w:rsidRDefault="00604EB3" w:rsidP="00D55D81">
            <w:pPr>
              <w:rPr>
                <w:rFonts w:cs="Arial"/>
                <w:szCs w:val="22"/>
              </w:rPr>
            </w:pPr>
            <w:r w:rsidRPr="00D55D81">
              <w:rPr>
                <w:rFonts w:cs="Arial"/>
                <w:szCs w:val="22"/>
              </w:rPr>
              <w:t>Use of the Section 106 reserves to finance revenue expenditure</w:t>
            </w:r>
          </w:p>
        </w:tc>
        <w:tc>
          <w:tcPr>
            <w:tcW w:w="1302" w:type="dxa"/>
            <w:gridSpan w:val="6"/>
            <w:shd w:val="clear" w:color="auto" w:fill="auto"/>
            <w:vAlign w:val="bottom"/>
          </w:tcPr>
          <w:p w14:paraId="3D5D7D5F" w14:textId="25BB7435" w:rsidR="00604EB3" w:rsidRPr="00D55D81" w:rsidRDefault="00AE4DED" w:rsidP="00D55D81">
            <w:pPr>
              <w:jc w:val="right"/>
              <w:rPr>
                <w:rFonts w:cs="Arial"/>
                <w:szCs w:val="22"/>
              </w:rPr>
            </w:pPr>
            <w:r w:rsidRPr="00D55D81">
              <w:rPr>
                <w:rFonts w:cs="Arial"/>
                <w:szCs w:val="22"/>
              </w:rPr>
              <w:t>49</w:t>
            </w:r>
          </w:p>
        </w:tc>
        <w:tc>
          <w:tcPr>
            <w:tcW w:w="1249" w:type="dxa"/>
            <w:gridSpan w:val="4"/>
            <w:shd w:val="clear" w:color="auto" w:fill="auto"/>
            <w:vAlign w:val="bottom"/>
          </w:tcPr>
          <w:p w14:paraId="469F716A" w14:textId="64622F3F" w:rsidR="00604EB3" w:rsidRPr="00D55D81" w:rsidRDefault="00AE4DED" w:rsidP="00D55D81">
            <w:pPr>
              <w:jc w:val="right"/>
              <w:rPr>
                <w:rFonts w:cs="Arial"/>
                <w:szCs w:val="22"/>
              </w:rPr>
            </w:pPr>
            <w:r w:rsidRPr="00D55D81">
              <w:rPr>
                <w:rFonts w:cs="Arial"/>
                <w:szCs w:val="22"/>
              </w:rPr>
              <w:t>-</w:t>
            </w:r>
          </w:p>
        </w:tc>
        <w:tc>
          <w:tcPr>
            <w:tcW w:w="1274" w:type="dxa"/>
            <w:shd w:val="clear" w:color="auto" w:fill="auto"/>
            <w:vAlign w:val="bottom"/>
          </w:tcPr>
          <w:p w14:paraId="6DCEC96B" w14:textId="4FCF7256" w:rsidR="00604EB3" w:rsidRPr="00D55D81" w:rsidRDefault="00AE4DED" w:rsidP="00D55D81">
            <w:pPr>
              <w:jc w:val="right"/>
              <w:rPr>
                <w:rFonts w:cs="Arial"/>
                <w:szCs w:val="22"/>
              </w:rPr>
            </w:pPr>
            <w:r w:rsidRPr="00D55D81">
              <w:rPr>
                <w:rFonts w:cs="Arial"/>
                <w:szCs w:val="22"/>
              </w:rPr>
              <w:t>(49)</w:t>
            </w:r>
          </w:p>
        </w:tc>
        <w:tc>
          <w:tcPr>
            <w:tcW w:w="1298" w:type="dxa"/>
            <w:shd w:val="clear" w:color="auto" w:fill="auto"/>
            <w:vAlign w:val="bottom"/>
          </w:tcPr>
          <w:p w14:paraId="31120CE0" w14:textId="2237C00D" w:rsidR="00604EB3" w:rsidRPr="00D55D81" w:rsidRDefault="00AE4DED" w:rsidP="00D55D81">
            <w:pPr>
              <w:jc w:val="right"/>
              <w:rPr>
                <w:rFonts w:cs="Arial"/>
                <w:szCs w:val="22"/>
              </w:rPr>
            </w:pPr>
            <w:r w:rsidRPr="00D55D81">
              <w:rPr>
                <w:rFonts w:cs="Arial"/>
                <w:szCs w:val="22"/>
              </w:rPr>
              <w:t>-</w:t>
            </w:r>
          </w:p>
        </w:tc>
        <w:tc>
          <w:tcPr>
            <w:tcW w:w="1417" w:type="dxa"/>
            <w:shd w:val="clear" w:color="auto" w:fill="auto"/>
            <w:vAlign w:val="bottom"/>
          </w:tcPr>
          <w:p w14:paraId="1C84C2B9" w14:textId="7E9B2DC4" w:rsidR="00604EB3" w:rsidRPr="00D55D81" w:rsidRDefault="00AE4DED" w:rsidP="00D55D81">
            <w:pPr>
              <w:jc w:val="right"/>
              <w:rPr>
                <w:rFonts w:cs="Arial"/>
                <w:szCs w:val="22"/>
              </w:rPr>
            </w:pPr>
            <w:r w:rsidRPr="00D55D81">
              <w:rPr>
                <w:rFonts w:cs="Arial"/>
                <w:szCs w:val="22"/>
              </w:rPr>
              <w:t>-</w:t>
            </w:r>
          </w:p>
        </w:tc>
      </w:tr>
      <w:tr w:rsidR="00600E52" w:rsidRPr="000127EF" w14:paraId="2473F986" w14:textId="77777777" w:rsidTr="00D55D81">
        <w:tc>
          <w:tcPr>
            <w:tcW w:w="11023" w:type="dxa"/>
            <w:gridSpan w:val="14"/>
            <w:shd w:val="clear" w:color="auto" w:fill="auto"/>
          </w:tcPr>
          <w:p w14:paraId="0F32A1C0" w14:textId="77777777" w:rsidR="00600E52" w:rsidRPr="00D55D81" w:rsidRDefault="00600E52" w:rsidP="00D55D81">
            <w:pPr>
              <w:rPr>
                <w:b/>
                <w:sz w:val="6"/>
                <w:szCs w:val="6"/>
              </w:rPr>
            </w:pPr>
          </w:p>
        </w:tc>
      </w:tr>
      <w:tr w:rsidR="00600E52" w:rsidRPr="000127EF" w14:paraId="5D09E59A" w14:textId="77777777" w:rsidTr="00D55D81">
        <w:tc>
          <w:tcPr>
            <w:tcW w:w="11023" w:type="dxa"/>
            <w:gridSpan w:val="14"/>
            <w:shd w:val="clear" w:color="auto" w:fill="auto"/>
          </w:tcPr>
          <w:p w14:paraId="10385B0E" w14:textId="77777777" w:rsidR="00600E52" w:rsidRPr="00D55D81" w:rsidRDefault="00600E52" w:rsidP="00D55D81">
            <w:pPr>
              <w:rPr>
                <w:b/>
              </w:rPr>
            </w:pPr>
            <w:r w:rsidRPr="00D55D81">
              <w:rPr>
                <w:b/>
              </w:rPr>
              <w:t>Adjustment primarily involving the Deferred Capital Receipt Reserve</w:t>
            </w:r>
          </w:p>
        </w:tc>
      </w:tr>
      <w:tr w:rsidR="00600E52" w:rsidRPr="000127EF" w14:paraId="6726207F" w14:textId="77777777" w:rsidTr="00D55D81">
        <w:tc>
          <w:tcPr>
            <w:tcW w:w="4483" w:type="dxa"/>
          </w:tcPr>
          <w:p w14:paraId="5FBA23A7" w14:textId="77777777" w:rsidR="00600E52" w:rsidRPr="00D55D81" w:rsidRDefault="00600E52" w:rsidP="00D55D81">
            <w:r w:rsidRPr="00D55D81">
              <w:t>Transfer of deferred sale proceeds credited as part of the gain/loss on disposal to the Comprehensive Income &amp; Expenditure Account</w:t>
            </w:r>
          </w:p>
        </w:tc>
        <w:tc>
          <w:tcPr>
            <w:tcW w:w="1302" w:type="dxa"/>
            <w:gridSpan w:val="6"/>
            <w:shd w:val="clear" w:color="auto" w:fill="auto"/>
            <w:vAlign w:val="center"/>
          </w:tcPr>
          <w:p w14:paraId="02F6AE4A" w14:textId="2365D372" w:rsidR="00600E52" w:rsidRPr="00D55D81" w:rsidRDefault="00AE4DED" w:rsidP="00D55D81">
            <w:pPr>
              <w:jc w:val="right"/>
            </w:pPr>
            <w:r w:rsidRPr="00D55D81">
              <w:t>-</w:t>
            </w:r>
          </w:p>
        </w:tc>
        <w:tc>
          <w:tcPr>
            <w:tcW w:w="1249" w:type="dxa"/>
            <w:gridSpan w:val="4"/>
            <w:shd w:val="clear" w:color="auto" w:fill="auto"/>
            <w:vAlign w:val="center"/>
          </w:tcPr>
          <w:p w14:paraId="4C890095" w14:textId="146D8D1D" w:rsidR="00600E52" w:rsidRPr="00D55D81" w:rsidRDefault="00AE4DED" w:rsidP="00D55D81">
            <w:pPr>
              <w:jc w:val="right"/>
            </w:pPr>
            <w:r w:rsidRPr="00D55D81">
              <w:t>-</w:t>
            </w:r>
          </w:p>
        </w:tc>
        <w:tc>
          <w:tcPr>
            <w:tcW w:w="1274" w:type="dxa"/>
            <w:shd w:val="clear" w:color="auto" w:fill="auto"/>
            <w:vAlign w:val="center"/>
          </w:tcPr>
          <w:p w14:paraId="3EE83AB5" w14:textId="49CB5D10" w:rsidR="00600E52" w:rsidRPr="00D55D81" w:rsidRDefault="00AE4DED" w:rsidP="00D55D81">
            <w:pPr>
              <w:jc w:val="right"/>
            </w:pPr>
            <w:r w:rsidRPr="00D55D81">
              <w:t>-</w:t>
            </w:r>
          </w:p>
        </w:tc>
        <w:tc>
          <w:tcPr>
            <w:tcW w:w="1298" w:type="dxa"/>
            <w:shd w:val="clear" w:color="auto" w:fill="auto"/>
            <w:vAlign w:val="center"/>
          </w:tcPr>
          <w:p w14:paraId="6E2115C8" w14:textId="19BE0C40" w:rsidR="00600E52" w:rsidRPr="00D55D81" w:rsidRDefault="00AE4DED" w:rsidP="00D55D81">
            <w:pPr>
              <w:jc w:val="right"/>
            </w:pPr>
            <w:r w:rsidRPr="00D55D81">
              <w:t>-</w:t>
            </w:r>
          </w:p>
        </w:tc>
        <w:tc>
          <w:tcPr>
            <w:tcW w:w="1417" w:type="dxa"/>
            <w:shd w:val="clear" w:color="auto" w:fill="auto"/>
            <w:vAlign w:val="center"/>
          </w:tcPr>
          <w:p w14:paraId="064D864E" w14:textId="69B348DE" w:rsidR="00600E52" w:rsidRPr="00D55D81" w:rsidRDefault="00D55D81" w:rsidP="00D55D81">
            <w:pPr>
              <w:jc w:val="right"/>
            </w:pPr>
            <w:r w:rsidRPr="00D55D81">
              <w:t>-</w:t>
            </w:r>
          </w:p>
        </w:tc>
      </w:tr>
      <w:tr w:rsidR="00600E52" w:rsidRPr="000127EF" w14:paraId="35F82BC2" w14:textId="77777777" w:rsidTr="00D55D81">
        <w:tc>
          <w:tcPr>
            <w:tcW w:w="11023" w:type="dxa"/>
            <w:gridSpan w:val="14"/>
            <w:shd w:val="clear" w:color="auto" w:fill="auto"/>
          </w:tcPr>
          <w:p w14:paraId="3CB990E3" w14:textId="77777777" w:rsidR="00600E52" w:rsidRPr="00D55D81" w:rsidRDefault="00600E52" w:rsidP="00D55D81">
            <w:pPr>
              <w:rPr>
                <w:b/>
                <w:sz w:val="6"/>
                <w:szCs w:val="6"/>
              </w:rPr>
            </w:pPr>
          </w:p>
        </w:tc>
      </w:tr>
      <w:tr w:rsidR="00600E52" w:rsidRPr="000127EF" w14:paraId="5CB86DD5" w14:textId="77777777" w:rsidTr="00D55D81">
        <w:tc>
          <w:tcPr>
            <w:tcW w:w="11023" w:type="dxa"/>
            <w:gridSpan w:val="14"/>
            <w:shd w:val="clear" w:color="auto" w:fill="auto"/>
          </w:tcPr>
          <w:p w14:paraId="0CB37C69" w14:textId="77777777" w:rsidR="00600E52" w:rsidRPr="00D55D81" w:rsidRDefault="00600E52" w:rsidP="00D55D81">
            <w:pPr>
              <w:rPr>
                <w:b/>
              </w:rPr>
            </w:pPr>
            <w:r w:rsidRPr="00D55D81">
              <w:rPr>
                <w:b/>
              </w:rPr>
              <w:t>Adjustments primarily involving the Oakham North Reserve</w:t>
            </w:r>
          </w:p>
        </w:tc>
      </w:tr>
      <w:tr w:rsidR="00600E52" w:rsidRPr="000127EF" w14:paraId="3679D857" w14:textId="77777777" w:rsidTr="00D55D81">
        <w:tc>
          <w:tcPr>
            <w:tcW w:w="4491" w:type="dxa"/>
            <w:gridSpan w:val="2"/>
            <w:shd w:val="clear" w:color="auto" w:fill="auto"/>
          </w:tcPr>
          <w:p w14:paraId="2A5A6C3B" w14:textId="77777777" w:rsidR="00600E52" w:rsidRPr="00D55D81" w:rsidRDefault="00600E52" w:rsidP="00D55D81">
            <w:r w:rsidRPr="00D55D81">
              <w:t>Oakham North contributions unapplied</w:t>
            </w:r>
          </w:p>
        </w:tc>
        <w:tc>
          <w:tcPr>
            <w:tcW w:w="1306" w:type="dxa"/>
            <w:gridSpan w:val="6"/>
            <w:shd w:val="clear" w:color="auto" w:fill="auto"/>
          </w:tcPr>
          <w:p w14:paraId="69F6E3D4" w14:textId="2AE8BA22" w:rsidR="00600E52" w:rsidRPr="00D55D81" w:rsidRDefault="00AE4DED" w:rsidP="00D55D81">
            <w:pPr>
              <w:jc w:val="right"/>
            </w:pPr>
            <w:r w:rsidRPr="00D55D81">
              <w:t>(551)</w:t>
            </w:r>
          </w:p>
        </w:tc>
        <w:tc>
          <w:tcPr>
            <w:tcW w:w="1237" w:type="dxa"/>
            <w:gridSpan w:val="3"/>
            <w:shd w:val="clear" w:color="auto" w:fill="auto"/>
          </w:tcPr>
          <w:p w14:paraId="3F8F3866" w14:textId="3D397DBF" w:rsidR="00600E52" w:rsidRPr="00D55D81" w:rsidRDefault="00AE4DED" w:rsidP="00D55D81">
            <w:pPr>
              <w:jc w:val="right"/>
            </w:pPr>
            <w:r w:rsidRPr="00D55D81">
              <w:t>-</w:t>
            </w:r>
          </w:p>
        </w:tc>
        <w:tc>
          <w:tcPr>
            <w:tcW w:w="1274" w:type="dxa"/>
            <w:shd w:val="clear" w:color="auto" w:fill="auto"/>
          </w:tcPr>
          <w:p w14:paraId="7473689C" w14:textId="6C83764A" w:rsidR="00600E52" w:rsidRPr="00D55D81" w:rsidRDefault="00D55D81" w:rsidP="00D55D81">
            <w:pPr>
              <w:jc w:val="right"/>
            </w:pPr>
            <w:r w:rsidRPr="00D55D81">
              <w:t>551</w:t>
            </w:r>
          </w:p>
        </w:tc>
        <w:tc>
          <w:tcPr>
            <w:tcW w:w="1298" w:type="dxa"/>
            <w:shd w:val="clear" w:color="auto" w:fill="auto"/>
          </w:tcPr>
          <w:p w14:paraId="0A81146C" w14:textId="0A5DE4AE" w:rsidR="00600E52" w:rsidRPr="00D55D81" w:rsidRDefault="00D55D81" w:rsidP="00D55D81">
            <w:pPr>
              <w:jc w:val="right"/>
            </w:pPr>
            <w:r w:rsidRPr="00D55D81">
              <w:t>-</w:t>
            </w:r>
          </w:p>
        </w:tc>
        <w:tc>
          <w:tcPr>
            <w:tcW w:w="1417" w:type="dxa"/>
            <w:shd w:val="clear" w:color="auto" w:fill="auto"/>
          </w:tcPr>
          <w:p w14:paraId="14F92E81" w14:textId="4F1A9AFC" w:rsidR="00600E52" w:rsidRPr="00D55D81" w:rsidRDefault="00D55D81" w:rsidP="00D55D81">
            <w:pPr>
              <w:jc w:val="right"/>
            </w:pPr>
            <w:r w:rsidRPr="00D55D81">
              <w:t>-</w:t>
            </w:r>
          </w:p>
        </w:tc>
      </w:tr>
      <w:tr w:rsidR="00600E52" w:rsidRPr="000127EF" w14:paraId="2C4BC23E" w14:textId="77777777" w:rsidTr="00D55D81">
        <w:tc>
          <w:tcPr>
            <w:tcW w:w="11023" w:type="dxa"/>
            <w:gridSpan w:val="14"/>
            <w:shd w:val="clear" w:color="auto" w:fill="auto"/>
          </w:tcPr>
          <w:p w14:paraId="7B6D5466" w14:textId="77777777" w:rsidR="00600E52" w:rsidRPr="00501FBE" w:rsidRDefault="00600E52" w:rsidP="00D55D81">
            <w:pPr>
              <w:rPr>
                <w:b/>
                <w:sz w:val="6"/>
                <w:szCs w:val="6"/>
                <w:highlight w:val="yellow"/>
              </w:rPr>
            </w:pPr>
          </w:p>
        </w:tc>
      </w:tr>
      <w:tr w:rsidR="00600E52" w:rsidRPr="000127EF" w14:paraId="2FB1A1C5" w14:textId="77777777" w:rsidTr="00D55D81">
        <w:tc>
          <w:tcPr>
            <w:tcW w:w="11023" w:type="dxa"/>
            <w:gridSpan w:val="14"/>
            <w:shd w:val="clear" w:color="auto" w:fill="auto"/>
          </w:tcPr>
          <w:p w14:paraId="7167A1A8" w14:textId="77777777" w:rsidR="00600E52" w:rsidRPr="00D55D81" w:rsidRDefault="00600E52" w:rsidP="00D55D81">
            <w:pPr>
              <w:rPr>
                <w:b/>
              </w:rPr>
            </w:pPr>
            <w:r w:rsidRPr="00D55D81">
              <w:rPr>
                <w:b/>
              </w:rPr>
              <w:t>Adjustments primarily involving the Financial Instruments Account</w:t>
            </w:r>
          </w:p>
        </w:tc>
      </w:tr>
      <w:tr w:rsidR="00600E52" w:rsidRPr="000127EF" w14:paraId="28962488" w14:textId="77777777" w:rsidTr="00D55D81">
        <w:tc>
          <w:tcPr>
            <w:tcW w:w="4497" w:type="dxa"/>
            <w:gridSpan w:val="3"/>
            <w:shd w:val="clear" w:color="auto" w:fill="auto"/>
          </w:tcPr>
          <w:p w14:paraId="4C97C03B" w14:textId="77777777" w:rsidR="00600E52" w:rsidRPr="00D55D81" w:rsidRDefault="00600E52" w:rsidP="00D55D81">
            <w:r w:rsidRPr="00D55D81">
              <w:t>Amount by which finance costs charged to the CIES are different from finance costs in accordance with statutory requirements</w:t>
            </w:r>
          </w:p>
        </w:tc>
        <w:tc>
          <w:tcPr>
            <w:tcW w:w="1300" w:type="dxa"/>
            <w:gridSpan w:val="5"/>
            <w:shd w:val="clear" w:color="auto" w:fill="auto"/>
            <w:vAlign w:val="center"/>
          </w:tcPr>
          <w:p w14:paraId="74B68414" w14:textId="38A5C2AD" w:rsidR="00600E52" w:rsidRPr="00D55D81" w:rsidRDefault="00D55D81" w:rsidP="00D55D81">
            <w:pPr>
              <w:jc w:val="right"/>
            </w:pPr>
            <w:r w:rsidRPr="00D55D81">
              <w:t>16</w:t>
            </w:r>
          </w:p>
        </w:tc>
        <w:tc>
          <w:tcPr>
            <w:tcW w:w="1237" w:type="dxa"/>
            <w:gridSpan w:val="3"/>
            <w:shd w:val="clear" w:color="auto" w:fill="auto"/>
            <w:vAlign w:val="center"/>
          </w:tcPr>
          <w:p w14:paraId="18F5DBA5" w14:textId="4A2A3898" w:rsidR="00600E52" w:rsidRPr="00D55D81" w:rsidRDefault="00D55D81" w:rsidP="00D55D81">
            <w:pPr>
              <w:jc w:val="right"/>
            </w:pPr>
            <w:r w:rsidRPr="00D55D81">
              <w:t>-</w:t>
            </w:r>
          </w:p>
        </w:tc>
        <w:tc>
          <w:tcPr>
            <w:tcW w:w="1274" w:type="dxa"/>
            <w:shd w:val="clear" w:color="auto" w:fill="auto"/>
            <w:vAlign w:val="center"/>
          </w:tcPr>
          <w:p w14:paraId="2AF7FD78" w14:textId="50C9FF93" w:rsidR="00600E52" w:rsidRPr="00D55D81" w:rsidRDefault="00D55D81" w:rsidP="00D55D81">
            <w:pPr>
              <w:jc w:val="right"/>
            </w:pPr>
            <w:r w:rsidRPr="00D55D81">
              <w:t>-</w:t>
            </w:r>
          </w:p>
        </w:tc>
        <w:tc>
          <w:tcPr>
            <w:tcW w:w="1298" w:type="dxa"/>
            <w:shd w:val="clear" w:color="auto" w:fill="auto"/>
            <w:vAlign w:val="center"/>
          </w:tcPr>
          <w:p w14:paraId="06C3A4BC" w14:textId="705E9ADE" w:rsidR="00600E52" w:rsidRPr="00D55D81" w:rsidRDefault="00D55D81" w:rsidP="00D55D81">
            <w:pPr>
              <w:jc w:val="right"/>
            </w:pPr>
            <w:r w:rsidRPr="00D55D81">
              <w:t>-</w:t>
            </w:r>
          </w:p>
        </w:tc>
        <w:tc>
          <w:tcPr>
            <w:tcW w:w="1417" w:type="dxa"/>
            <w:shd w:val="clear" w:color="auto" w:fill="auto"/>
            <w:vAlign w:val="center"/>
          </w:tcPr>
          <w:p w14:paraId="1A93865C" w14:textId="78682923" w:rsidR="00600E52" w:rsidRPr="00D55D81" w:rsidRDefault="00D55D81" w:rsidP="00D55D81">
            <w:pPr>
              <w:jc w:val="right"/>
            </w:pPr>
            <w:r w:rsidRPr="00D55D81">
              <w:t>(16)</w:t>
            </w:r>
          </w:p>
        </w:tc>
      </w:tr>
      <w:tr w:rsidR="00600E52" w:rsidRPr="000127EF" w14:paraId="73A0E0C0" w14:textId="77777777" w:rsidTr="00D55D81">
        <w:tc>
          <w:tcPr>
            <w:tcW w:w="11023" w:type="dxa"/>
            <w:gridSpan w:val="14"/>
            <w:shd w:val="clear" w:color="auto" w:fill="auto"/>
            <w:vAlign w:val="bottom"/>
          </w:tcPr>
          <w:p w14:paraId="23043639" w14:textId="77777777" w:rsidR="00600E52" w:rsidRPr="00D55D81" w:rsidRDefault="00600E52" w:rsidP="00D55D81">
            <w:pPr>
              <w:rPr>
                <w:sz w:val="6"/>
                <w:szCs w:val="6"/>
              </w:rPr>
            </w:pPr>
          </w:p>
        </w:tc>
      </w:tr>
      <w:tr w:rsidR="00600E52" w:rsidRPr="000127EF" w14:paraId="5A885C2E" w14:textId="77777777" w:rsidTr="00D55D81">
        <w:tc>
          <w:tcPr>
            <w:tcW w:w="11023" w:type="dxa"/>
            <w:gridSpan w:val="14"/>
            <w:shd w:val="clear" w:color="auto" w:fill="auto"/>
          </w:tcPr>
          <w:p w14:paraId="7DDB20DB" w14:textId="77777777" w:rsidR="00600E52" w:rsidRPr="00D55D81" w:rsidRDefault="00600E52" w:rsidP="00D55D81">
            <w:pPr>
              <w:rPr>
                <w:b/>
              </w:rPr>
            </w:pPr>
            <w:r w:rsidRPr="00D55D81">
              <w:rPr>
                <w:b/>
              </w:rPr>
              <w:t>Adjustment primarily involving the Pension Reserve</w:t>
            </w:r>
          </w:p>
        </w:tc>
      </w:tr>
      <w:tr w:rsidR="00600E52" w:rsidRPr="000127EF" w14:paraId="082EE5B5" w14:textId="77777777" w:rsidTr="00D55D81">
        <w:tc>
          <w:tcPr>
            <w:tcW w:w="4506" w:type="dxa"/>
            <w:gridSpan w:val="4"/>
            <w:shd w:val="clear" w:color="auto" w:fill="auto"/>
          </w:tcPr>
          <w:p w14:paraId="3C453CD5" w14:textId="77777777" w:rsidR="00600E52" w:rsidRPr="00D55D81" w:rsidRDefault="00600E52" w:rsidP="00D55D81">
            <w:r w:rsidRPr="00D55D81">
              <w:t>Reversal of items relating to retirement benefits debited or credited to the CIES</w:t>
            </w:r>
          </w:p>
        </w:tc>
        <w:tc>
          <w:tcPr>
            <w:tcW w:w="1301" w:type="dxa"/>
            <w:gridSpan w:val="5"/>
            <w:shd w:val="clear" w:color="auto" w:fill="auto"/>
            <w:vAlign w:val="center"/>
          </w:tcPr>
          <w:p w14:paraId="473B9557" w14:textId="4EFF1289" w:rsidR="00600E52" w:rsidRPr="00D55D81" w:rsidRDefault="00D55D81" w:rsidP="00D55D81">
            <w:pPr>
              <w:jc w:val="right"/>
            </w:pPr>
            <w:r w:rsidRPr="00D55D81">
              <w:t>(2,817)</w:t>
            </w:r>
          </w:p>
        </w:tc>
        <w:tc>
          <w:tcPr>
            <w:tcW w:w="1227" w:type="dxa"/>
            <w:gridSpan w:val="2"/>
            <w:shd w:val="clear" w:color="auto" w:fill="auto"/>
            <w:vAlign w:val="center"/>
          </w:tcPr>
          <w:p w14:paraId="53DCFBE7" w14:textId="2A76DE20" w:rsidR="00600E52" w:rsidRPr="00D55D81" w:rsidRDefault="00D55D81" w:rsidP="00D55D81">
            <w:pPr>
              <w:jc w:val="right"/>
            </w:pPr>
            <w:r w:rsidRPr="00D55D81">
              <w:t>-</w:t>
            </w:r>
          </w:p>
        </w:tc>
        <w:tc>
          <w:tcPr>
            <w:tcW w:w="1274" w:type="dxa"/>
            <w:shd w:val="clear" w:color="auto" w:fill="auto"/>
            <w:vAlign w:val="center"/>
          </w:tcPr>
          <w:p w14:paraId="5FB8A9D4" w14:textId="2D3428A0" w:rsidR="00600E52" w:rsidRPr="00D55D81" w:rsidRDefault="00D55D81" w:rsidP="00D55D81">
            <w:pPr>
              <w:jc w:val="right"/>
            </w:pPr>
            <w:r w:rsidRPr="00D55D81">
              <w:t>-</w:t>
            </w:r>
          </w:p>
        </w:tc>
        <w:tc>
          <w:tcPr>
            <w:tcW w:w="1298" w:type="dxa"/>
            <w:shd w:val="clear" w:color="auto" w:fill="auto"/>
            <w:vAlign w:val="center"/>
          </w:tcPr>
          <w:p w14:paraId="4A580CD9" w14:textId="4507420A" w:rsidR="00600E52" w:rsidRPr="00D55D81" w:rsidRDefault="00D55D81" w:rsidP="00D55D81">
            <w:pPr>
              <w:jc w:val="right"/>
            </w:pPr>
            <w:r w:rsidRPr="00D55D81">
              <w:t>-</w:t>
            </w:r>
          </w:p>
        </w:tc>
        <w:tc>
          <w:tcPr>
            <w:tcW w:w="1417" w:type="dxa"/>
            <w:shd w:val="clear" w:color="auto" w:fill="auto"/>
            <w:vAlign w:val="center"/>
          </w:tcPr>
          <w:p w14:paraId="2EF1AAB6" w14:textId="427D5126" w:rsidR="00600E52" w:rsidRPr="00D55D81" w:rsidRDefault="00D55D81" w:rsidP="00D55D81">
            <w:pPr>
              <w:jc w:val="right"/>
            </w:pPr>
            <w:r w:rsidRPr="00D55D81">
              <w:t>2,817</w:t>
            </w:r>
          </w:p>
        </w:tc>
      </w:tr>
      <w:tr w:rsidR="00600E52" w:rsidRPr="000127EF" w14:paraId="4C59818D" w14:textId="77777777" w:rsidTr="00D55D81">
        <w:tc>
          <w:tcPr>
            <w:tcW w:w="4506" w:type="dxa"/>
            <w:gridSpan w:val="4"/>
            <w:shd w:val="clear" w:color="auto" w:fill="auto"/>
          </w:tcPr>
          <w:p w14:paraId="0A2EFF37" w14:textId="77777777" w:rsidR="00600E52" w:rsidRPr="00D55D81" w:rsidRDefault="00600E52" w:rsidP="00D55D81">
            <w:r w:rsidRPr="00D55D81">
              <w:t>Employer’s pension contributions and direct payments to pensioners payable in the year</w:t>
            </w:r>
          </w:p>
        </w:tc>
        <w:tc>
          <w:tcPr>
            <w:tcW w:w="1301" w:type="dxa"/>
            <w:gridSpan w:val="5"/>
            <w:shd w:val="clear" w:color="auto" w:fill="auto"/>
            <w:vAlign w:val="center"/>
          </w:tcPr>
          <w:p w14:paraId="480185C5" w14:textId="5C9EFEA3" w:rsidR="00600E52" w:rsidRPr="00D55D81" w:rsidRDefault="00D55D81" w:rsidP="00D55D81">
            <w:pPr>
              <w:jc w:val="right"/>
            </w:pPr>
            <w:r w:rsidRPr="00D55D81">
              <w:t>5,911</w:t>
            </w:r>
          </w:p>
        </w:tc>
        <w:tc>
          <w:tcPr>
            <w:tcW w:w="1227" w:type="dxa"/>
            <w:gridSpan w:val="2"/>
            <w:shd w:val="clear" w:color="auto" w:fill="auto"/>
            <w:vAlign w:val="center"/>
          </w:tcPr>
          <w:p w14:paraId="7D75B785" w14:textId="5A9B9944" w:rsidR="00600E52" w:rsidRPr="00D55D81" w:rsidRDefault="00D55D81" w:rsidP="00D55D81">
            <w:pPr>
              <w:jc w:val="right"/>
            </w:pPr>
            <w:r w:rsidRPr="00D55D81">
              <w:t>-</w:t>
            </w:r>
          </w:p>
        </w:tc>
        <w:tc>
          <w:tcPr>
            <w:tcW w:w="1274" w:type="dxa"/>
            <w:shd w:val="clear" w:color="auto" w:fill="auto"/>
            <w:vAlign w:val="center"/>
          </w:tcPr>
          <w:p w14:paraId="280E6B2B" w14:textId="1E53AEAE" w:rsidR="00600E52" w:rsidRPr="00D55D81" w:rsidRDefault="00D55D81" w:rsidP="00D55D81">
            <w:pPr>
              <w:jc w:val="right"/>
            </w:pPr>
            <w:r w:rsidRPr="00D55D81">
              <w:t>-</w:t>
            </w:r>
          </w:p>
        </w:tc>
        <w:tc>
          <w:tcPr>
            <w:tcW w:w="1298" w:type="dxa"/>
            <w:shd w:val="clear" w:color="auto" w:fill="auto"/>
            <w:vAlign w:val="center"/>
          </w:tcPr>
          <w:p w14:paraId="4C322238" w14:textId="0B610F0C" w:rsidR="00600E52" w:rsidRPr="00D55D81" w:rsidRDefault="00D55D81" w:rsidP="00D55D81">
            <w:pPr>
              <w:jc w:val="right"/>
            </w:pPr>
            <w:r w:rsidRPr="00D55D81">
              <w:t>-</w:t>
            </w:r>
          </w:p>
        </w:tc>
        <w:tc>
          <w:tcPr>
            <w:tcW w:w="1417" w:type="dxa"/>
            <w:shd w:val="clear" w:color="auto" w:fill="auto"/>
            <w:vAlign w:val="center"/>
          </w:tcPr>
          <w:p w14:paraId="3A5790C4" w14:textId="258AFDED" w:rsidR="00600E52" w:rsidRPr="00D55D81" w:rsidRDefault="00D55D81" w:rsidP="00D55D81">
            <w:pPr>
              <w:jc w:val="right"/>
            </w:pPr>
            <w:r w:rsidRPr="00D55D81">
              <w:t>(5,911)</w:t>
            </w:r>
          </w:p>
        </w:tc>
      </w:tr>
      <w:tr w:rsidR="00600E52" w:rsidRPr="000127EF" w14:paraId="4501E872" w14:textId="77777777" w:rsidTr="00D55D81">
        <w:tc>
          <w:tcPr>
            <w:tcW w:w="11023" w:type="dxa"/>
            <w:gridSpan w:val="14"/>
            <w:shd w:val="clear" w:color="auto" w:fill="auto"/>
            <w:vAlign w:val="center"/>
          </w:tcPr>
          <w:p w14:paraId="20CBC99A" w14:textId="77777777" w:rsidR="00600E52" w:rsidRPr="00D55D81" w:rsidRDefault="00600E52" w:rsidP="00D55D81">
            <w:pPr>
              <w:rPr>
                <w:sz w:val="12"/>
                <w:szCs w:val="12"/>
              </w:rPr>
            </w:pPr>
          </w:p>
        </w:tc>
      </w:tr>
      <w:tr w:rsidR="00600E52" w:rsidRPr="000127EF" w14:paraId="139C7CC8" w14:textId="77777777" w:rsidTr="00D55D81">
        <w:tc>
          <w:tcPr>
            <w:tcW w:w="11023" w:type="dxa"/>
            <w:gridSpan w:val="14"/>
            <w:shd w:val="clear" w:color="auto" w:fill="auto"/>
          </w:tcPr>
          <w:p w14:paraId="753F2C89" w14:textId="77777777" w:rsidR="00600E52" w:rsidRPr="00D55D81" w:rsidRDefault="00600E52" w:rsidP="00D55D81">
            <w:pPr>
              <w:rPr>
                <w:b/>
              </w:rPr>
            </w:pPr>
            <w:r w:rsidRPr="00D55D81">
              <w:rPr>
                <w:b/>
              </w:rPr>
              <w:t>Adjustments primarily involving the Collection Fund Adjustment Account</w:t>
            </w:r>
          </w:p>
        </w:tc>
      </w:tr>
      <w:tr w:rsidR="00600E52" w:rsidRPr="000127EF" w14:paraId="02794DFB" w14:textId="77777777" w:rsidTr="00D55D81">
        <w:tc>
          <w:tcPr>
            <w:tcW w:w="4506" w:type="dxa"/>
            <w:gridSpan w:val="4"/>
            <w:shd w:val="clear" w:color="auto" w:fill="auto"/>
          </w:tcPr>
          <w:p w14:paraId="756BC59E" w14:textId="77777777" w:rsidR="00600E52" w:rsidRPr="00D55D81" w:rsidRDefault="00600E52" w:rsidP="00D55D81">
            <w:r w:rsidRPr="00D55D81">
              <w:t>Amount by which council tax income is different from income calculated in accordance with statutory requirements</w:t>
            </w:r>
          </w:p>
        </w:tc>
        <w:tc>
          <w:tcPr>
            <w:tcW w:w="1301" w:type="dxa"/>
            <w:gridSpan w:val="5"/>
            <w:shd w:val="clear" w:color="auto" w:fill="auto"/>
            <w:vAlign w:val="center"/>
          </w:tcPr>
          <w:p w14:paraId="42892ABF" w14:textId="603C3A46" w:rsidR="00600E52" w:rsidRPr="00D55D81" w:rsidRDefault="00D55D81" w:rsidP="00D55D81">
            <w:pPr>
              <w:jc w:val="right"/>
            </w:pPr>
            <w:r w:rsidRPr="00D55D81">
              <w:t>44</w:t>
            </w:r>
          </w:p>
        </w:tc>
        <w:tc>
          <w:tcPr>
            <w:tcW w:w="1227" w:type="dxa"/>
            <w:gridSpan w:val="2"/>
            <w:shd w:val="clear" w:color="auto" w:fill="auto"/>
            <w:vAlign w:val="center"/>
          </w:tcPr>
          <w:p w14:paraId="2339AE0A" w14:textId="2C08D61D" w:rsidR="00600E52" w:rsidRPr="00D55D81" w:rsidRDefault="00D55D81" w:rsidP="00D55D81">
            <w:pPr>
              <w:jc w:val="right"/>
            </w:pPr>
            <w:r w:rsidRPr="00D55D81">
              <w:t>-</w:t>
            </w:r>
          </w:p>
        </w:tc>
        <w:tc>
          <w:tcPr>
            <w:tcW w:w="1274" w:type="dxa"/>
            <w:shd w:val="clear" w:color="auto" w:fill="auto"/>
            <w:vAlign w:val="center"/>
          </w:tcPr>
          <w:p w14:paraId="76D68880" w14:textId="6A0AE4FC" w:rsidR="00600E52" w:rsidRPr="00D55D81" w:rsidRDefault="00D55D81" w:rsidP="00D55D81">
            <w:pPr>
              <w:jc w:val="right"/>
            </w:pPr>
            <w:r w:rsidRPr="00D55D81">
              <w:t>-</w:t>
            </w:r>
          </w:p>
        </w:tc>
        <w:tc>
          <w:tcPr>
            <w:tcW w:w="1298" w:type="dxa"/>
            <w:shd w:val="clear" w:color="auto" w:fill="auto"/>
            <w:vAlign w:val="center"/>
          </w:tcPr>
          <w:p w14:paraId="1F3F92A9" w14:textId="3EFF7834" w:rsidR="00600E52" w:rsidRPr="00D55D81" w:rsidRDefault="00D55D81" w:rsidP="00D55D81">
            <w:pPr>
              <w:jc w:val="right"/>
            </w:pPr>
            <w:r w:rsidRPr="00D55D81">
              <w:t>-</w:t>
            </w:r>
          </w:p>
        </w:tc>
        <w:tc>
          <w:tcPr>
            <w:tcW w:w="1417" w:type="dxa"/>
            <w:shd w:val="clear" w:color="auto" w:fill="auto"/>
            <w:vAlign w:val="center"/>
          </w:tcPr>
          <w:p w14:paraId="64EA101E" w14:textId="01946CB8" w:rsidR="00600E52" w:rsidRPr="00D55D81" w:rsidRDefault="00D55D81" w:rsidP="00D55D81">
            <w:pPr>
              <w:jc w:val="right"/>
            </w:pPr>
            <w:r w:rsidRPr="00D55D81">
              <w:t>(44)</w:t>
            </w:r>
          </w:p>
        </w:tc>
      </w:tr>
      <w:tr w:rsidR="00600E52" w:rsidRPr="000127EF" w14:paraId="66BFA5EE" w14:textId="77777777" w:rsidTr="00D55D81">
        <w:tc>
          <w:tcPr>
            <w:tcW w:w="11023" w:type="dxa"/>
            <w:gridSpan w:val="14"/>
            <w:shd w:val="clear" w:color="auto" w:fill="auto"/>
            <w:vAlign w:val="center"/>
          </w:tcPr>
          <w:p w14:paraId="02B14C10" w14:textId="77777777" w:rsidR="00600E52" w:rsidRPr="00D55D81" w:rsidRDefault="00600E52" w:rsidP="00D55D81">
            <w:pPr>
              <w:rPr>
                <w:sz w:val="12"/>
                <w:szCs w:val="12"/>
              </w:rPr>
            </w:pPr>
          </w:p>
        </w:tc>
      </w:tr>
      <w:tr w:rsidR="00600E52" w:rsidRPr="000127EF" w14:paraId="747704AD" w14:textId="77777777" w:rsidTr="00D55D81">
        <w:tc>
          <w:tcPr>
            <w:tcW w:w="11023" w:type="dxa"/>
            <w:gridSpan w:val="14"/>
            <w:shd w:val="clear" w:color="auto" w:fill="auto"/>
          </w:tcPr>
          <w:p w14:paraId="614D7B10" w14:textId="77777777" w:rsidR="00600E52" w:rsidRPr="00D55D81" w:rsidRDefault="00600E52" w:rsidP="00D55D81">
            <w:pPr>
              <w:rPr>
                <w:b/>
              </w:rPr>
            </w:pPr>
            <w:r w:rsidRPr="00D55D81">
              <w:rPr>
                <w:b/>
              </w:rPr>
              <w:t>Adjustments primarily involving the Accumulated Absences Account</w:t>
            </w:r>
          </w:p>
        </w:tc>
      </w:tr>
      <w:tr w:rsidR="00600E52" w:rsidRPr="000127EF" w14:paraId="61D7E17F" w14:textId="77777777" w:rsidTr="00D55D81">
        <w:tc>
          <w:tcPr>
            <w:tcW w:w="4513" w:type="dxa"/>
            <w:gridSpan w:val="5"/>
            <w:shd w:val="clear" w:color="auto" w:fill="auto"/>
          </w:tcPr>
          <w:p w14:paraId="14FB6852" w14:textId="77777777" w:rsidR="00600E52" w:rsidRPr="00D55D81" w:rsidRDefault="00600E52" w:rsidP="00D55D81">
            <w:r w:rsidRPr="00D55D81">
              <w:t>Amount by which remuneration charged to the CIES on an accruals basis is different from remuneration chargeable in the year in accordance with statutory requirements</w:t>
            </w:r>
          </w:p>
        </w:tc>
        <w:tc>
          <w:tcPr>
            <w:tcW w:w="1301" w:type="dxa"/>
            <w:gridSpan w:val="5"/>
            <w:shd w:val="clear" w:color="auto" w:fill="auto"/>
            <w:vAlign w:val="center"/>
          </w:tcPr>
          <w:p w14:paraId="0BDDD4DA" w14:textId="361B87CA" w:rsidR="00600E52" w:rsidRPr="00D55D81" w:rsidRDefault="00D55D81" w:rsidP="00D55D81">
            <w:pPr>
              <w:tabs>
                <w:tab w:val="left" w:pos="1088"/>
              </w:tabs>
              <w:jc w:val="right"/>
            </w:pPr>
            <w:r w:rsidRPr="00D55D81">
              <w:t>36</w:t>
            </w:r>
          </w:p>
        </w:tc>
        <w:tc>
          <w:tcPr>
            <w:tcW w:w="1220" w:type="dxa"/>
            <w:shd w:val="clear" w:color="auto" w:fill="auto"/>
            <w:vAlign w:val="center"/>
          </w:tcPr>
          <w:p w14:paraId="583B7879" w14:textId="4D6B64DA" w:rsidR="00600E52" w:rsidRPr="00D55D81" w:rsidRDefault="00D55D81" w:rsidP="00D55D81">
            <w:pPr>
              <w:tabs>
                <w:tab w:val="left" w:pos="1088"/>
              </w:tabs>
              <w:ind w:right="3"/>
              <w:jc w:val="right"/>
            </w:pPr>
            <w:r w:rsidRPr="00D55D81">
              <w:t>-</w:t>
            </w:r>
          </w:p>
        </w:tc>
        <w:tc>
          <w:tcPr>
            <w:tcW w:w="1274" w:type="dxa"/>
            <w:shd w:val="clear" w:color="auto" w:fill="auto"/>
            <w:vAlign w:val="center"/>
          </w:tcPr>
          <w:p w14:paraId="7C89AC85" w14:textId="16978238" w:rsidR="00600E52" w:rsidRPr="00D55D81" w:rsidRDefault="00D55D81" w:rsidP="00D55D81">
            <w:pPr>
              <w:tabs>
                <w:tab w:val="left" w:pos="1088"/>
              </w:tabs>
              <w:ind w:right="3"/>
              <w:jc w:val="right"/>
            </w:pPr>
            <w:r w:rsidRPr="00D55D81">
              <w:t>-</w:t>
            </w:r>
          </w:p>
        </w:tc>
        <w:tc>
          <w:tcPr>
            <w:tcW w:w="1298" w:type="dxa"/>
            <w:shd w:val="clear" w:color="auto" w:fill="auto"/>
            <w:vAlign w:val="center"/>
          </w:tcPr>
          <w:p w14:paraId="48AC601A" w14:textId="67E6A6BD" w:rsidR="00600E52" w:rsidRPr="00D55D81" w:rsidRDefault="00D55D81" w:rsidP="00D55D81">
            <w:pPr>
              <w:tabs>
                <w:tab w:val="left" w:pos="1088"/>
              </w:tabs>
              <w:ind w:right="3"/>
              <w:jc w:val="right"/>
            </w:pPr>
            <w:r w:rsidRPr="00D55D81">
              <w:t>-</w:t>
            </w:r>
          </w:p>
        </w:tc>
        <w:tc>
          <w:tcPr>
            <w:tcW w:w="1417" w:type="dxa"/>
            <w:shd w:val="clear" w:color="auto" w:fill="auto"/>
            <w:vAlign w:val="center"/>
          </w:tcPr>
          <w:p w14:paraId="17EFB3F8" w14:textId="59352C05" w:rsidR="00600E52" w:rsidRPr="00D55D81" w:rsidRDefault="00D55D81" w:rsidP="00D55D81">
            <w:pPr>
              <w:tabs>
                <w:tab w:val="left" w:pos="1088"/>
              </w:tabs>
              <w:jc w:val="right"/>
            </w:pPr>
            <w:r w:rsidRPr="00D55D81">
              <w:t>(36)</w:t>
            </w:r>
          </w:p>
        </w:tc>
      </w:tr>
      <w:tr w:rsidR="00600E52" w:rsidRPr="000127EF" w14:paraId="45BDD7FD" w14:textId="77777777" w:rsidTr="00D55D81">
        <w:tc>
          <w:tcPr>
            <w:tcW w:w="11023" w:type="dxa"/>
            <w:gridSpan w:val="14"/>
            <w:shd w:val="clear" w:color="auto" w:fill="auto"/>
            <w:vAlign w:val="center"/>
          </w:tcPr>
          <w:p w14:paraId="31F2AC04" w14:textId="77777777" w:rsidR="00600E52" w:rsidRPr="00D55D81" w:rsidRDefault="00600E52" w:rsidP="00D55D81">
            <w:pPr>
              <w:rPr>
                <w:sz w:val="12"/>
                <w:szCs w:val="12"/>
              </w:rPr>
            </w:pPr>
          </w:p>
        </w:tc>
      </w:tr>
      <w:tr w:rsidR="00600E52" w:rsidRPr="000127EF" w14:paraId="27D1E07A" w14:textId="77777777" w:rsidTr="00D55D81">
        <w:tc>
          <w:tcPr>
            <w:tcW w:w="4513" w:type="dxa"/>
            <w:gridSpan w:val="5"/>
            <w:shd w:val="clear" w:color="auto" w:fill="auto"/>
          </w:tcPr>
          <w:p w14:paraId="1F13EA24" w14:textId="77777777" w:rsidR="00600E52" w:rsidRPr="00D55D81" w:rsidRDefault="00600E52" w:rsidP="00D55D81">
            <w:pPr>
              <w:rPr>
                <w:b/>
              </w:rPr>
            </w:pPr>
            <w:r w:rsidRPr="00D55D81">
              <w:rPr>
                <w:b/>
              </w:rPr>
              <w:t>Total Adjustments</w:t>
            </w:r>
          </w:p>
        </w:tc>
        <w:tc>
          <w:tcPr>
            <w:tcW w:w="1301" w:type="dxa"/>
            <w:gridSpan w:val="5"/>
            <w:shd w:val="clear" w:color="auto" w:fill="auto"/>
            <w:vAlign w:val="center"/>
          </w:tcPr>
          <w:p w14:paraId="5A0A29C3" w14:textId="62B52FC8" w:rsidR="00600E52" w:rsidRPr="00D55D81" w:rsidRDefault="00D55D81" w:rsidP="00D55D81">
            <w:pPr>
              <w:jc w:val="right"/>
              <w:rPr>
                <w:b/>
              </w:rPr>
            </w:pPr>
            <w:r w:rsidRPr="00D55D81">
              <w:rPr>
                <w:b/>
              </w:rPr>
              <w:t>865</w:t>
            </w:r>
          </w:p>
        </w:tc>
        <w:tc>
          <w:tcPr>
            <w:tcW w:w="1220" w:type="dxa"/>
            <w:shd w:val="clear" w:color="auto" w:fill="auto"/>
            <w:vAlign w:val="center"/>
          </w:tcPr>
          <w:p w14:paraId="52F11101" w14:textId="5BF6FCDF" w:rsidR="00600E52" w:rsidRPr="00D55D81" w:rsidRDefault="00D55D81" w:rsidP="00D55D81">
            <w:pPr>
              <w:jc w:val="right"/>
              <w:rPr>
                <w:b/>
              </w:rPr>
            </w:pPr>
            <w:r w:rsidRPr="00D55D81">
              <w:rPr>
                <w:b/>
              </w:rPr>
              <w:t>76</w:t>
            </w:r>
          </w:p>
        </w:tc>
        <w:tc>
          <w:tcPr>
            <w:tcW w:w="1274" w:type="dxa"/>
            <w:shd w:val="clear" w:color="auto" w:fill="auto"/>
            <w:vAlign w:val="center"/>
          </w:tcPr>
          <w:p w14:paraId="0526342D" w14:textId="25F9AE58" w:rsidR="00600E52" w:rsidRPr="00D55D81" w:rsidRDefault="00D55D81" w:rsidP="00D55D81">
            <w:pPr>
              <w:jc w:val="right"/>
              <w:rPr>
                <w:b/>
              </w:rPr>
            </w:pPr>
            <w:r w:rsidRPr="00D55D81">
              <w:rPr>
                <w:b/>
              </w:rPr>
              <w:t>1,220</w:t>
            </w:r>
          </w:p>
        </w:tc>
        <w:tc>
          <w:tcPr>
            <w:tcW w:w="1298" w:type="dxa"/>
            <w:shd w:val="clear" w:color="auto" w:fill="auto"/>
            <w:vAlign w:val="center"/>
          </w:tcPr>
          <w:p w14:paraId="25AC4989" w14:textId="76A23F81" w:rsidR="00600E52" w:rsidRPr="00D55D81" w:rsidRDefault="00D55D81" w:rsidP="00D55D81">
            <w:pPr>
              <w:jc w:val="right"/>
              <w:rPr>
                <w:b/>
              </w:rPr>
            </w:pPr>
            <w:r w:rsidRPr="00D55D81">
              <w:rPr>
                <w:b/>
              </w:rPr>
              <w:t>(165)</w:t>
            </w:r>
          </w:p>
        </w:tc>
        <w:tc>
          <w:tcPr>
            <w:tcW w:w="1417" w:type="dxa"/>
            <w:shd w:val="clear" w:color="auto" w:fill="auto"/>
            <w:vAlign w:val="center"/>
          </w:tcPr>
          <w:p w14:paraId="5D8DE688" w14:textId="496B3A63" w:rsidR="00600E52" w:rsidRPr="00D55D81" w:rsidRDefault="00D55D81" w:rsidP="00D55D81">
            <w:pPr>
              <w:jc w:val="right"/>
              <w:rPr>
                <w:b/>
              </w:rPr>
            </w:pPr>
            <w:r w:rsidRPr="00D55D81">
              <w:rPr>
                <w:b/>
              </w:rPr>
              <w:t>(1,996)</w:t>
            </w:r>
          </w:p>
        </w:tc>
      </w:tr>
      <w:tr w:rsidR="00600E52" w:rsidRPr="000127EF" w14:paraId="3E048D53" w14:textId="77777777" w:rsidTr="003F3221">
        <w:trPr>
          <w:trHeight w:hRule="exact" w:val="142"/>
        </w:trPr>
        <w:tc>
          <w:tcPr>
            <w:tcW w:w="11023" w:type="dxa"/>
            <w:gridSpan w:val="14"/>
          </w:tcPr>
          <w:p w14:paraId="399D5F78" w14:textId="77777777" w:rsidR="00600E52" w:rsidRPr="000127EF" w:rsidRDefault="00600E52" w:rsidP="003F3221">
            <w:pPr>
              <w:rPr>
                <w:sz w:val="12"/>
                <w:szCs w:val="12"/>
              </w:rPr>
            </w:pPr>
          </w:p>
          <w:p w14:paraId="65644C71" w14:textId="77777777" w:rsidR="00600E52" w:rsidRPr="000127EF" w:rsidRDefault="00600E52" w:rsidP="003F3221">
            <w:pPr>
              <w:rPr>
                <w:sz w:val="12"/>
                <w:szCs w:val="12"/>
              </w:rPr>
            </w:pPr>
          </w:p>
          <w:p w14:paraId="53D580B0" w14:textId="77777777" w:rsidR="00600E52" w:rsidRPr="000127EF" w:rsidRDefault="00600E52" w:rsidP="003F3221">
            <w:pPr>
              <w:rPr>
                <w:sz w:val="12"/>
                <w:szCs w:val="12"/>
              </w:rPr>
            </w:pPr>
          </w:p>
          <w:p w14:paraId="40B6C085" w14:textId="77777777" w:rsidR="00600E52" w:rsidRPr="000127EF" w:rsidRDefault="00600E52" w:rsidP="003F3221">
            <w:pPr>
              <w:jc w:val="right"/>
              <w:rPr>
                <w:sz w:val="12"/>
                <w:szCs w:val="12"/>
              </w:rPr>
            </w:pPr>
          </w:p>
        </w:tc>
      </w:tr>
    </w:tbl>
    <w:p w14:paraId="459989AD" w14:textId="77777777" w:rsidR="000E723D" w:rsidRPr="000127EF" w:rsidRDefault="000E723D">
      <w:pPr>
        <w:sectPr w:rsidR="000E723D" w:rsidRPr="000127EF" w:rsidSect="008C78E8">
          <w:pgSz w:w="11907" w:h="16840" w:code="9"/>
          <w:pgMar w:top="1135" w:right="992" w:bottom="1440" w:left="709" w:header="567" w:footer="851" w:gutter="0"/>
          <w:paperSrc w:first="7" w:other="7"/>
          <w:cols w:space="720"/>
          <w:docGrid w:linePitch="299"/>
        </w:sectPr>
      </w:pPr>
    </w:p>
    <w:p w14:paraId="11BC6708" w14:textId="77777777" w:rsidR="00AC5A17" w:rsidRPr="000127EF" w:rsidRDefault="00AC5A17"/>
    <w:tbl>
      <w:tblPr>
        <w:tblStyle w:val="TableGrid"/>
        <w:tblW w:w="11023"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dotted" w:sz="8" w:space="0" w:color="A8D08D" w:themeColor="accent6" w:themeTint="99"/>
          <w:insideV w:val="dotted" w:sz="8" w:space="0" w:color="A8D08D" w:themeColor="accent6" w:themeTint="99"/>
        </w:tblBorders>
        <w:tblLayout w:type="fixed"/>
        <w:tblLook w:val="04A0" w:firstRow="1" w:lastRow="0" w:firstColumn="1" w:lastColumn="0" w:noHBand="0" w:noVBand="1"/>
      </w:tblPr>
      <w:tblGrid>
        <w:gridCol w:w="4483"/>
        <w:gridCol w:w="8"/>
        <w:gridCol w:w="6"/>
        <w:gridCol w:w="9"/>
        <w:gridCol w:w="7"/>
        <w:gridCol w:w="1247"/>
        <w:gridCol w:w="25"/>
        <w:gridCol w:w="12"/>
        <w:gridCol w:w="10"/>
        <w:gridCol w:w="7"/>
        <w:gridCol w:w="1220"/>
        <w:gridCol w:w="1274"/>
        <w:gridCol w:w="1298"/>
        <w:gridCol w:w="1417"/>
      </w:tblGrid>
      <w:tr w:rsidR="00FE6857" w:rsidRPr="000127EF" w14:paraId="5720F1A4" w14:textId="77777777" w:rsidTr="004053F1">
        <w:trPr>
          <w:tblHeader/>
        </w:trPr>
        <w:tc>
          <w:tcPr>
            <w:tcW w:w="4483" w:type="dxa"/>
          </w:tcPr>
          <w:p w14:paraId="0AD210E4" w14:textId="77777777" w:rsidR="00FE6857" w:rsidRPr="000127EF" w:rsidRDefault="00FE6857" w:rsidP="004053F1">
            <w:pPr>
              <w:rPr>
                <w:b/>
              </w:rPr>
            </w:pPr>
          </w:p>
        </w:tc>
        <w:tc>
          <w:tcPr>
            <w:tcW w:w="5123" w:type="dxa"/>
            <w:gridSpan w:val="12"/>
          </w:tcPr>
          <w:p w14:paraId="37DEB86C" w14:textId="77777777" w:rsidR="00FE6857" w:rsidRPr="000127EF" w:rsidRDefault="00FE6857" w:rsidP="004053F1">
            <w:pPr>
              <w:jc w:val="center"/>
              <w:rPr>
                <w:b/>
              </w:rPr>
            </w:pPr>
            <w:r w:rsidRPr="000127EF">
              <w:rPr>
                <w:b/>
              </w:rPr>
              <w:t>Usable Reserves</w:t>
            </w:r>
          </w:p>
        </w:tc>
        <w:tc>
          <w:tcPr>
            <w:tcW w:w="1417" w:type="dxa"/>
            <w:vAlign w:val="bottom"/>
          </w:tcPr>
          <w:p w14:paraId="7655DD8A" w14:textId="77777777" w:rsidR="00FE6857" w:rsidRPr="000127EF" w:rsidRDefault="00FE6857" w:rsidP="004053F1">
            <w:pPr>
              <w:jc w:val="both"/>
              <w:rPr>
                <w:b/>
              </w:rPr>
            </w:pPr>
          </w:p>
        </w:tc>
      </w:tr>
      <w:tr w:rsidR="00FE6857" w:rsidRPr="000127EF" w14:paraId="4F656B75" w14:textId="77777777" w:rsidTr="004053F1">
        <w:trPr>
          <w:tblHeader/>
        </w:trPr>
        <w:tc>
          <w:tcPr>
            <w:tcW w:w="4483" w:type="dxa"/>
          </w:tcPr>
          <w:p w14:paraId="25E2F9D2" w14:textId="47633171" w:rsidR="00FE6857" w:rsidRPr="000127EF" w:rsidRDefault="00FE6857" w:rsidP="004053F1">
            <w:pPr>
              <w:rPr>
                <w:b/>
                <w:i/>
              </w:rPr>
            </w:pPr>
            <w:r w:rsidRPr="000127EF">
              <w:rPr>
                <w:b/>
                <w:i/>
              </w:rPr>
              <w:t>Adjustments between Accounting Basis &amp; Funding Basis Under Regulations 201</w:t>
            </w:r>
            <w:r w:rsidR="00905D6D">
              <w:rPr>
                <w:b/>
                <w:i/>
              </w:rPr>
              <w:t>8/19</w:t>
            </w:r>
          </w:p>
        </w:tc>
        <w:tc>
          <w:tcPr>
            <w:tcW w:w="1277" w:type="dxa"/>
            <w:gridSpan w:val="5"/>
            <w:vAlign w:val="center"/>
          </w:tcPr>
          <w:p w14:paraId="0F96AD95" w14:textId="77777777" w:rsidR="00FE6857" w:rsidRPr="000127EF" w:rsidRDefault="00FE6857" w:rsidP="004053F1">
            <w:pPr>
              <w:jc w:val="center"/>
              <w:rPr>
                <w:b/>
                <w:i/>
              </w:rPr>
            </w:pPr>
            <w:r w:rsidRPr="000127EF">
              <w:rPr>
                <w:b/>
                <w:i/>
              </w:rPr>
              <w:t>General Fund Balance</w:t>
            </w:r>
          </w:p>
        </w:tc>
        <w:tc>
          <w:tcPr>
            <w:tcW w:w="1274" w:type="dxa"/>
            <w:gridSpan w:val="5"/>
            <w:vAlign w:val="center"/>
          </w:tcPr>
          <w:p w14:paraId="228DDAC3" w14:textId="77777777" w:rsidR="00FE6857" w:rsidRPr="000127EF" w:rsidRDefault="00FE6857" w:rsidP="004053F1">
            <w:pPr>
              <w:jc w:val="center"/>
              <w:rPr>
                <w:b/>
                <w:i/>
              </w:rPr>
            </w:pPr>
            <w:r w:rsidRPr="000127EF">
              <w:rPr>
                <w:b/>
                <w:i/>
              </w:rPr>
              <w:t>Capital Receipts Reserve</w:t>
            </w:r>
          </w:p>
        </w:tc>
        <w:tc>
          <w:tcPr>
            <w:tcW w:w="1274" w:type="dxa"/>
            <w:vAlign w:val="center"/>
          </w:tcPr>
          <w:p w14:paraId="370E3612" w14:textId="77777777" w:rsidR="00FE6857" w:rsidRPr="000127EF" w:rsidRDefault="00FE6857" w:rsidP="004053F1">
            <w:pPr>
              <w:jc w:val="center"/>
              <w:rPr>
                <w:b/>
                <w:i/>
              </w:rPr>
            </w:pPr>
            <w:r w:rsidRPr="000127EF">
              <w:rPr>
                <w:b/>
                <w:i/>
              </w:rPr>
              <w:t>S106/ Oakham North Reserve</w:t>
            </w:r>
          </w:p>
        </w:tc>
        <w:tc>
          <w:tcPr>
            <w:tcW w:w="1298" w:type="dxa"/>
            <w:vAlign w:val="center"/>
          </w:tcPr>
          <w:p w14:paraId="373D121A" w14:textId="77777777" w:rsidR="00FE6857" w:rsidRPr="000127EF" w:rsidRDefault="00FE6857" w:rsidP="004053F1">
            <w:pPr>
              <w:jc w:val="center"/>
              <w:rPr>
                <w:b/>
                <w:i/>
              </w:rPr>
            </w:pPr>
            <w:r w:rsidRPr="000127EF">
              <w:rPr>
                <w:b/>
                <w:i/>
              </w:rPr>
              <w:t>Capital Grants Unapplied</w:t>
            </w:r>
          </w:p>
        </w:tc>
        <w:tc>
          <w:tcPr>
            <w:tcW w:w="1417" w:type="dxa"/>
            <w:vAlign w:val="center"/>
          </w:tcPr>
          <w:p w14:paraId="3CEC46D0" w14:textId="77777777" w:rsidR="00FE6857" w:rsidRPr="000127EF" w:rsidRDefault="00FE6857" w:rsidP="004053F1">
            <w:pPr>
              <w:jc w:val="center"/>
              <w:rPr>
                <w:b/>
                <w:i/>
              </w:rPr>
            </w:pPr>
            <w:r w:rsidRPr="000127EF">
              <w:rPr>
                <w:b/>
                <w:i/>
              </w:rPr>
              <w:t>Movement in Unusable Reserves</w:t>
            </w:r>
          </w:p>
        </w:tc>
      </w:tr>
      <w:tr w:rsidR="00FE6857" w:rsidRPr="000127EF" w14:paraId="3E652749" w14:textId="77777777" w:rsidTr="004053F1">
        <w:trPr>
          <w:tblHeader/>
        </w:trPr>
        <w:tc>
          <w:tcPr>
            <w:tcW w:w="4483" w:type="dxa"/>
          </w:tcPr>
          <w:p w14:paraId="00D855CD" w14:textId="77777777" w:rsidR="00FE6857" w:rsidRPr="000127EF" w:rsidRDefault="00FE6857" w:rsidP="004053F1">
            <w:pPr>
              <w:jc w:val="both"/>
              <w:rPr>
                <w:i/>
              </w:rPr>
            </w:pPr>
          </w:p>
        </w:tc>
        <w:tc>
          <w:tcPr>
            <w:tcW w:w="1277" w:type="dxa"/>
            <w:gridSpan w:val="5"/>
          </w:tcPr>
          <w:p w14:paraId="06605B57" w14:textId="77777777" w:rsidR="00FE6857" w:rsidRPr="000127EF" w:rsidRDefault="00FE6857" w:rsidP="004053F1">
            <w:pPr>
              <w:jc w:val="center"/>
              <w:rPr>
                <w:b/>
                <w:i/>
              </w:rPr>
            </w:pPr>
            <w:r w:rsidRPr="000127EF">
              <w:rPr>
                <w:b/>
                <w:i/>
              </w:rPr>
              <w:t>£000</w:t>
            </w:r>
          </w:p>
        </w:tc>
        <w:tc>
          <w:tcPr>
            <w:tcW w:w="1274" w:type="dxa"/>
            <w:gridSpan w:val="5"/>
          </w:tcPr>
          <w:p w14:paraId="399CBF1F" w14:textId="77777777" w:rsidR="00FE6857" w:rsidRPr="000127EF" w:rsidRDefault="00FE6857" w:rsidP="004053F1">
            <w:pPr>
              <w:jc w:val="center"/>
              <w:rPr>
                <w:b/>
                <w:i/>
              </w:rPr>
            </w:pPr>
            <w:r w:rsidRPr="000127EF">
              <w:rPr>
                <w:b/>
                <w:i/>
              </w:rPr>
              <w:t>£000</w:t>
            </w:r>
          </w:p>
        </w:tc>
        <w:tc>
          <w:tcPr>
            <w:tcW w:w="1274" w:type="dxa"/>
          </w:tcPr>
          <w:p w14:paraId="4D5CD52C" w14:textId="77777777" w:rsidR="00FE6857" w:rsidRPr="000127EF" w:rsidRDefault="00FE6857" w:rsidP="004053F1">
            <w:pPr>
              <w:jc w:val="center"/>
              <w:rPr>
                <w:b/>
                <w:i/>
              </w:rPr>
            </w:pPr>
            <w:r w:rsidRPr="000127EF">
              <w:rPr>
                <w:b/>
                <w:i/>
              </w:rPr>
              <w:t>£000</w:t>
            </w:r>
          </w:p>
        </w:tc>
        <w:tc>
          <w:tcPr>
            <w:tcW w:w="1298" w:type="dxa"/>
          </w:tcPr>
          <w:p w14:paraId="7D6AC974" w14:textId="77777777" w:rsidR="00FE6857" w:rsidRPr="000127EF" w:rsidRDefault="00FE6857" w:rsidP="004053F1">
            <w:pPr>
              <w:jc w:val="center"/>
              <w:rPr>
                <w:b/>
                <w:i/>
              </w:rPr>
            </w:pPr>
            <w:r w:rsidRPr="000127EF">
              <w:rPr>
                <w:b/>
                <w:i/>
              </w:rPr>
              <w:t>£000</w:t>
            </w:r>
          </w:p>
        </w:tc>
        <w:tc>
          <w:tcPr>
            <w:tcW w:w="1417" w:type="dxa"/>
          </w:tcPr>
          <w:p w14:paraId="04BF6A7E" w14:textId="77777777" w:rsidR="00FE6857" w:rsidRPr="000127EF" w:rsidRDefault="00FE6857" w:rsidP="004053F1">
            <w:pPr>
              <w:jc w:val="center"/>
              <w:rPr>
                <w:b/>
                <w:i/>
              </w:rPr>
            </w:pPr>
            <w:r w:rsidRPr="000127EF">
              <w:rPr>
                <w:b/>
                <w:i/>
              </w:rPr>
              <w:t>£000</w:t>
            </w:r>
          </w:p>
        </w:tc>
      </w:tr>
      <w:tr w:rsidR="00FE6857" w:rsidRPr="000127EF" w14:paraId="3CFA92BA" w14:textId="77777777" w:rsidTr="004053F1">
        <w:tc>
          <w:tcPr>
            <w:tcW w:w="11023" w:type="dxa"/>
            <w:gridSpan w:val="14"/>
          </w:tcPr>
          <w:p w14:paraId="49A0E83F" w14:textId="77777777" w:rsidR="00FE6857" w:rsidRPr="000127EF" w:rsidRDefault="00FE6857" w:rsidP="004053F1">
            <w:pPr>
              <w:jc w:val="both"/>
              <w:rPr>
                <w:i/>
              </w:rPr>
            </w:pPr>
            <w:r w:rsidRPr="000127EF">
              <w:rPr>
                <w:b/>
                <w:i/>
              </w:rPr>
              <w:t>Adjustments primarily involving the capital adjustment account:</w:t>
            </w:r>
          </w:p>
        </w:tc>
      </w:tr>
      <w:tr w:rsidR="00FE6857" w:rsidRPr="000127EF" w14:paraId="4FAB12EA" w14:textId="77777777" w:rsidTr="004053F1">
        <w:tc>
          <w:tcPr>
            <w:tcW w:w="11023" w:type="dxa"/>
            <w:gridSpan w:val="14"/>
          </w:tcPr>
          <w:p w14:paraId="73DBBB3D" w14:textId="77777777" w:rsidR="00FE6857" w:rsidRPr="000127EF" w:rsidRDefault="00FE6857" w:rsidP="004053F1">
            <w:pPr>
              <w:jc w:val="both"/>
              <w:rPr>
                <w:i/>
                <w:u w:val="single"/>
              </w:rPr>
            </w:pPr>
            <w:r w:rsidRPr="000127EF">
              <w:rPr>
                <w:i/>
                <w:u w:val="single"/>
              </w:rPr>
              <w:t>Reversal of items debited or credited to the CIES:</w:t>
            </w:r>
          </w:p>
        </w:tc>
      </w:tr>
      <w:tr w:rsidR="00905D6D" w:rsidRPr="000127EF" w14:paraId="7A2929A6" w14:textId="77777777" w:rsidTr="004053F1">
        <w:tc>
          <w:tcPr>
            <w:tcW w:w="4483" w:type="dxa"/>
          </w:tcPr>
          <w:p w14:paraId="7101694E" w14:textId="77777777" w:rsidR="00905D6D" w:rsidRPr="000127EF" w:rsidRDefault="00905D6D" w:rsidP="00905D6D">
            <w:pPr>
              <w:rPr>
                <w:i/>
              </w:rPr>
            </w:pPr>
            <w:r w:rsidRPr="000127EF">
              <w:rPr>
                <w:i/>
              </w:rPr>
              <w:t>Charges for depreciation and impairment of non-current assets</w:t>
            </w:r>
          </w:p>
        </w:tc>
        <w:tc>
          <w:tcPr>
            <w:tcW w:w="1302" w:type="dxa"/>
            <w:gridSpan w:val="6"/>
            <w:vAlign w:val="center"/>
          </w:tcPr>
          <w:p w14:paraId="5E31CE6B" w14:textId="050E09BD" w:rsidR="00905D6D" w:rsidRPr="00905D6D" w:rsidRDefault="00905D6D" w:rsidP="00905D6D">
            <w:pPr>
              <w:jc w:val="right"/>
              <w:rPr>
                <w:i/>
                <w:iCs/>
              </w:rPr>
            </w:pPr>
            <w:r w:rsidRPr="00905D6D">
              <w:rPr>
                <w:i/>
                <w:iCs/>
              </w:rPr>
              <w:t>1,218</w:t>
            </w:r>
          </w:p>
        </w:tc>
        <w:tc>
          <w:tcPr>
            <w:tcW w:w="1249" w:type="dxa"/>
            <w:gridSpan w:val="4"/>
            <w:vAlign w:val="center"/>
          </w:tcPr>
          <w:p w14:paraId="37C8CD17" w14:textId="1E3090BD" w:rsidR="00905D6D" w:rsidRPr="00905D6D" w:rsidRDefault="00905D6D" w:rsidP="00905D6D">
            <w:pPr>
              <w:jc w:val="right"/>
              <w:rPr>
                <w:i/>
                <w:iCs/>
              </w:rPr>
            </w:pPr>
            <w:r w:rsidRPr="00905D6D">
              <w:rPr>
                <w:i/>
                <w:iCs/>
              </w:rPr>
              <w:t>-</w:t>
            </w:r>
          </w:p>
        </w:tc>
        <w:tc>
          <w:tcPr>
            <w:tcW w:w="1274" w:type="dxa"/>
            <w:vAlign w:val="center"/>
          </w:tcPr>
          <w:p w14:paraId="2D70CC9D" w14:textId="11594B58" w:rsidR="00905D6D" w:rsidRPr="00905D6D" w:rsidRDefault="00905D6D" w:rsidP="00905D6D">
            <w:pPr>
              <w:jc w:val="right"/>
              <w:rPr>
                <w:i/>
                <w:iCs/>
              </w:rPr>
            </w:pPr>
            <w:r w:rsidRPr="00905D6D">
              <w:rPr>
                <w:i/>
                <w:iCs/>
              </w:rPr>
              <w:t>-</w:t>
            </w:r>
          </w:p>
        </w:tc>
        <w:tc>
          <w:tcPr>
            <w:tcW w:w="1298" w:type="dxa"/>
            <w:vAlign w:val="center"/>
          </w:tcPr>
          <w:p w14:paraId="5B667408" w14:textId="4AFD293C" w:rsidR="00905D6D" w:rsidRPr="00905D6D" w:rsidRDefault="00905D6D" w:rsidP="00905D6D">
            <w:pPr>
              <w:jc w:val="right"/>
              <w:rPr>
                <w:i/>
                <w:iCs/>
              </w:rPr>
            </w:pPr>
            <w:r w:rsidRPr="00905D6D">
              <w:rPr>
                <w:i/>
                <w:iCs/>
              </w:rPr>
              <w:t>-</w:t>
            </w:r>
          </w:p>
        </w:tc>
        <w:tc>
          <w:tcPr>
            <w:tcW w:w="1417" w:type="dxa"/>
            <w:vAlign w:val="center"/>
          </w:tcPr>
          <w:p w14:paraId="047E3E50" w14:textId="0DA13B0E" w:rsidR="00905D6D" w:rsidRPr="00905D6D" w:rsidRDefault="00905D6D" w:rsidP="00905D6D">
            <w:pPr>
              <w:jc w:val="right"/>
              <w:rPr>
                <w:i/>
                <w:iCs/>
              </w:rPr>
            </w:pPr>
            <w:r w:rsidRPr="00905D6D">
              <w:rPr>
                <w:i/>
                <w:iCs/>
              </w:rPr>
              <w:t>(1,218)</w:t>
            </w:r>
          </w:p>
        </w:tc>
      </w:tr>
      <w:tr w:rsidR="00905D6D" w:rsidRPr="000127EF" w14:paraId="1F03342C" w14:textId="77777777" w:rsidTr="004053F1">
        <w:tc>
          <w:tcPr>
            <w:tcW w:w="4483" w:type="dxa"/>
          </w:tcPr>
          <w:p w14:paraId="182FB40D" w14:textId="77777777" w:rsidR="00905D6D" w:rsidRPr="000127EF" w:rsidRDefault="00905D6D" w:rsidP="00905D6D">
            <w:pPr>
              <w:rPr>
                <w:i/>
              </w:rPr>
            </w:pPr>
            <w:r w:rsidRPr="000127EF">
              <w:rPr>
                <w:i/>
              </w:rPr>
              <w:t>Revaluation losses on Property Plant and Equipment</w:t>
            </w:r>
          </w:p>
        </w:tc>
        <w:tc>
          <w:tcPr>
            <w:tcW w:w="1302" w:type="dxa"/>
            <w:gridSpan w:val="6"/>
            <w:vAlign w:val="center"/>
          </w:tcPr>
          <w:p w14:paraId="791B1C2E" w14:textId="6557F94F" w:rsidR="00905D6D" w:rsidRPr="00905D6D" w:rsidRDefault="00905D6D" w:rsidP="00905D6D">
            <w:pPr>
              <w:jc w:val="right"/>
              <w:rPr>
                <w:i/>
                <w:iCs/>
              </w:rPr>
            </w:pPr>
            <w:r w:rsidRPr="00905D6D">
              <w:rPr>
                <w:i/>
                <w:iCs/>
              </w:rPr>
              <w:t>541</w:t>
            </w:r>
          </w:p>
        </w:tc>
        <w:tc>
          <w:tcPr>
            <w:tcW w:w="1249" w:type="dxa"/>
            <w:gridSpan w:val="4"/>
            <w:vAlign w:val="center"/>
          </w:tcPr>
          <w:p w14:paraId="2014F92A" w14:textId="6920F0CD" w:rsidR="00905D6D" w:rsidRPr="00905D6D" w:rsidRDefault="00905D6D" w:rsidP="00905D6D">
            <w:pPr>
              <w:jc w:val="right"/>
              <w:rPr>
                <w:i/>
                <w:iCs/>
              </w:rPr>
            </w:pPr>
            <w:r w:rsidRPr="00905D6D">
              <w:rPr>
                <w:i/>
                <w:iCs/>
              </w:rPr>
              <w:t>-</w:t>
            </w:r>
          </w:p>
        </w:tc>
        <w:tc>
          <w:tcPr>
            <w:tcW w:w="1274" w:type="dxa"/>
            <w:vAlign w:val="center"/>
          </w:tcPr>
          <w:p w14:paraId="5FA77BD3" w14:textId="63598709" w:rsidR="00905D6D" w:rsidRPr="00905D6D" w:rsidRDefault="00905D6D" w:rsidP="00905D6D">
            <w:pPr>
              <w:jc w:val="right"/>
              <w:rPr>
                <w:i/>
                <w:iCs/>
              </w:rPr>
            </w:pPr>
            <w:r w:rsidRPr="00905D6D">
              <w:rPr>
                <w:i/>
                <w:iCs/>
              </w:rPr>
              <w:t>-</w:t>
            </w:r>
          </w:p>
        </w:tc>
        <w:tc>
          <w:tcPr>
            <w:tcW w:w="1298" w:type="dxa"/>
            <w:vAlign w:val="center"/>
          </w:tcPr>
          <w:p w14:paraId="37463701" w14:textId="6028AE2B" w:rsidR="00905D6D" w:rsidRPr="00905D6D" w:rsidRDefault="00905D6D" w:rsidP="00905D6D">
            <w:pPr>
              <w:jc w:val="right"/>
              <w:rPr>
                <w:i/>
                <w:iCs/>
              </w:rPr>
            </w:pPr>
            <w:r w:rsidRPr="00905D6D">
              <w:rPr>
                <w:i/>
                <w:iCs/>
              </w:rPr>
              <w:t>-</w:t>
            </w:r>
          </w:p>
        </w:tc>
        <w:tc>
          <w:tcPr>
            <w:tcW w:w="1417" w:type="dxa"/>
            <w:vAlign w:val="center"/>
          </w:tcPr>
          <w:p w14:paraId="1BB8E3AD" w14:textId="28A95D8A" w:rsidR="00905D6D" w:rsidRPr="00905D6D" w:rsidRDefault="00905D6D" w:rsidP="00905D6D">
            <w:pPr>
              <w:jc w:val="right"/>
              <w:rPr>
                <w:i/>
                <w:iCs/>
              </w:rPr>
            </w:pPr>
            <w:r w:rsidRPr="00905D6D">
              <w:rPr>
                <w:i/>
                <w:iCs/>
              </w:rPr>
              <w:t>(541)</w:t>
            </w:r>
          </w:p>
        </w:tc>
      </w:tr>
      <w:tr w:rsidR="00905D6D" w:rsidRPr="000127EF" w14:paraId="3076C39C" w14:textId="77777777" w:rsidTr="004053F1">
        <w:tc>
          <w:tcPr>
            <w:tcW w:w="4483" w:type="dxa"/>
          </w:tcPr>
          <w:p w14:paraId="58F54B08" w14:textId="77777777" w:rsidR="00905D6D" w:rsidRPr="000127EF" w:rsidRDefault="00905D6D" w:rsidP="00905D6D">
            <w:pPr>
              <w:rPr>
                <w:i/>
              </w:rPr>
            </w:pPr>
            <w:r w:rsidRPr="000127EF">
              <w:rPr>
                <w:i/>
              </w:rPr>
              <w:t>Capital grants &amp; contributions applied</w:t>
            </w:r>
          </w:p>
        </w:tc>
        <w:tc>
          <w:tcPr>
            <w:tcW w:w="1302" w:type="dxa"/>
            <w:gridSpan w:val="6"/>
            <w:vAlign w:val="center"/>
          </w:tcPr>
          <w:p w14:paraId="554C63F2" w14:textId="49FBF2E8" w:rsidR="00905D6D" w:rsidRPr="00905D6D" w:rsidRDefault="00905D6D" w:rsidP="00905D6D">
            <w:pPr>
              <w:jc w:val="right"/>
              <w:rPr>
                <w:i/>
                <w:iCs/>
              </w:rPr>
            </w:pPr>
            <w:r w:rsidRPr="00905D6D">
              <w:rPr>
                <w:i/>
                <w:iCs/>
              </w:rPr>
              <w:t>(3,781)</w:t>
            </w:r>
          </w:p>
        </w:tc>
        <w:tc>
          <w:tcPr>
            <w:tcW w:w="1249" w:type="dxa"/>
            <w:gridSpan w:val="4"/>
            <w:vAlign w:val="center"/>
          </w:tcPr>
          <w:p w14:paraId="6EA32649" w14:textId="31307740" w:rsidR="00905D6D" w:rsidRPr="00905D6D" w:rsidRDefault="00905D6D" w:rsidP="00905D6D">
            <w:pPr>
              <w:jc w:val="right"/>
              <w:rPr>
                <w:i/>
                <w:iCs/>
              </w:rPr>
            </w:pPr>
            <w:r w:rsidRPr="00905D6D">
              <w:rPr>
                <w:i/>
                <w:iCs/>
              </w:rPr>
              <w:t>-</w:t>
            </w:r>
          </w:p>
        </w:tc>
        <w:tc>
          <w:tcPr>
            <w:tcW w:w="1274" w:type="dxa"/>
            <w:vAlign w:val="center"/>
          </w:tcPr>
          <w:p w14:paraId="0400A387" w14:textId="72343615" w:rsidR="00905D6D" w:rsidRPr="00905D6D" w:rsidRDefault="00905D6D" w:rsidP="00905D6D">
            <w:pPr>
              <w:jc w:val="right"/>
              <w:rPr>
                <w:i/>
                <w:iCs/>
              </w:rPr>
            </w:pPr>
            <w:r w:rsidRPr="00905D6D">
              <w:rPr>
                <w:i/>
                <w:iCs/>
              </w:rPr>
              <w:t>(56)</w:t>
            </w:r>
          </w:p>
        </w:tc>
        <w:tc>
          <w:tcPr>
            <w:tcW w:w="1298" w:type="dxa"/>
            <w:vAlign w:val="center"/>
          </w:tcPr>
          <w:p w14:paraId="278E1FD3" w14:textId="55C39B5E" w:rsidR="00905D6D" w:rsidRPr="00905D6D" w:rsidRDefault="00905D6D" w:rsidP="00905D6D">
            <w:pPr>
              <w:jc w:val="right"/>
              <w:rPr>
                <w:i/>
                <w:iCs/>
              </w:rPr>
            </w:pPr>
            <w:r w:rsidRPr="00905D6D">
              <w:rPr>
                <w:i/>
                <w:iCs/>
              </w:rPr>
              <w:t>(330)</w:t>
            </w:r>
          </w:p>
        </w:tc>
        <w:tc>
          <w:tcPr>
            <w:tcW w:w="1417" w:type="dxa"/>
            <w:vAlign w:val="center"/>
          </w:tcPr>
          <w:p w14:paraId="1267BAD2" w14:textId="598A554B" w:rsidR="00905D6D" w:rsidRPr="00905D6D" w:rsidRDefault="00905D6D" w:rsidP="00905D6D">
            <w:pPr>
              <w:jc w:val="right"/>
              <w:rPr>
                <w:i/>
                <w:iCs/>
              </w:rPr>
            </w:pPr>
            <w:r w:rsidRPr="00905D6D">
              <w:rPr>
                <w:i/>
                <w:iCs/>
              </w:rPr>
              <w:t>4,167</w:t>
            </w:r>
          </w:p>
        </w:tc>
      </w:tr>
      <w:tr w:rsidR="00905D6D" w:rsidRPr="000127EF" w14:paraId="1D03EA7D" w14:textId="77777777" w:rsidTr="004053F1">
        <w:tc>
          <w:tcPr>
            <w:tcW w:w="4483" w:type="dxa"/>
          </w:tcPr>
          <w:p w14:paraId="573B0FC9" w14:textId="77777777" w:rsidR="00905D6D" w:rsidRPr="000127EF" w:rsidRDefault="00905D6D" w:rsidP="00905D6D">
            <w:pPr>
              <w:rPr>
                <w:i/>
              </w:rPr>
            </w:pPr>
            <w:r w:rsidRPr="000127EF">
              <w:rPr>
                <w:i/>
              </w:rPr>
              <w:t>Capital Receipts Applied</w:t>
            </w:r>
          </w:p>
        </w:tc>
        <w:tc>
          <w:tcPr>
            <w:tcW w:w="1302" w:type="dxa"/>
            <w:gridSpan w:val="6"/>
            <w:vAlign w:val="center"/>
          </w:tcPr>
          <w:p w14:paraId="0FD9833D" w14:textId="6418E1CD" w:rsidR="00905D6D" w:rsidRPr="00905D6D" w:rsidRDefault="00905D6D" w:rsidP="00905D6D">
            <w:pPr>
              <w:jc w:val="right"/>
              <w:rPr>
                <w:i/>
                <w:iCs/>
              </w:rPr>
            </w:pPr>
            <w:r w:rsidRPr="00905D6D">
              <w:rPr>
                <w:i/>
                <w:iCs/>
              </w:rPr>
              <w:t>(119)</w:t>
            </w:r>
          </w:p>
        </w:tc>
        <w:tc>
          <w:tcPr>
            <w:tcW w:w="1249" w:type="dxa"/>
            <w:gridSpan w:val="4"/>
            <w:vAlign w:val="center"/>
          </w:tcPr>
          <w:p w14:paraId="268C803F" w14:textId="4B7CE557" w:rsidR="00905D6D" w:rsidRPr="00905D6D" w:rsidRDefault="00905D6D" w:rsidP="00905D6D">
            <w:pPr>
              <w:jc w:val="right"/>
              <w:rPr>
                <w:i/>
                <w:iCs/>
              </w:rPr>
            </w:pPr>
            <w:r w:rsidRPr="00905D6D">
              <w:rPr>
                <w:i/>
                <w:iCs/>
              </w:rPr>
              <w:t>-</w:t>
            </w:r>
          </w:p>
        </w:tc>
        <w:tc>
          <w:tcPr>
            <w:tcW w:w="1274" w:type="dxa"/>
            <w:vAlign w:val="center"/>
          </w:tcPr>
          <w:p w14:paraId="7720B67E" w14:textId="1F5296DB" w:rsidR="00905D6D" w:rsidRPr="00905D6D" w:rsidRDefault="00905D6D" w:rsidP="00905D6D">
            <w:pPr>
              <w:jc w:val="right"/>
              <w:rPr>
                <w:i/>
                <w:iCs/>
              </w:rPr>
            </w:pPr>
            <w:r w:rsidRPr="00905D6D">
              <w:rPr>
                <w:i/>
                <w:iCs/>
              </w:rPr>
              <w:t>-</w:t>
            </w:r>
          </w:p>
        </w:tc>
        <w:tc>
          <w:tcPr>
            <w:tcW w:w="1298" w:type="dxa"/>
            <w:vAlign w:val="center"/>
          </w:tcPr>
          <w:p w14:paraId="3D05F629" w14:textId="3B4F2F60" w:rsidR="00905D6D" w:rsidRPr="00905D6D" w:rsidRDefault="00905D6D" w:rsidP="00905D6D">
            <w:pPr>
              <w:jc w:val="right"/>
              <w:rPr>
                <w:i/>
                <w:iCs/>
              </w:rPr>
            </w:pPr>
            <w:r w:rsidRPr="00905D6D">
              <w:rPr>
                <w:i/>
                <w:iCs/>
              </w:rPr>
              <w:t>-</w:t>
            </w:r>
          </w:p>
        </w:tc>
        <w:tc>
          <w:tcPr>
            <w:tcW w:w="1417" w:type="dxa"/>
            <w:vAlign w:val="center"/>
          </w:tcPr>
          <w:p w14:paraId="28C15C70" w14:textId="16BFD20F" w:rsidR="00905D6D" w:rsidRPr="00905D6D" w:rsidRDefault="00905D6D" w:rsidP="00905D6D">
            <w:pPr>
              <w:jc w:val="right"/>
              <w:rPr>
                <w:i/>
                <w:iCs/>
              </w:rPr>
            </w:pPr>
            <w:r w:rsidRPr="00905D6D">
              <w:rPr>
                <w:i/>
                <w:iCs/>
              </w:rPr>
              <w:t>119</w:t>
            </w:r>
          </w:p>
        </w:tc>
      </w:tr>
      <w:tr w:rsidR="00905D6D" w:rsidRPr="000127EF" w14:paraId="55CD1F77" w14:textId="77777777" w:rsidTr="004053F1">
        <w:tc>
          <w:tcPr>
            <w:tcW w:w="4483" w:type="dxa"/>
          </w:tcPr>
          <w:p w14:paraId="3A4780EC" w14:textId="77777777" w:rsidR="00905D6D" w:rsidRPr="000127EF" w:rsidRDefault="00905D6D" w:rsidP="00905D6D">
            <w:pPr>
              <w:rPr>
                <w:i/>
              </w:rPr>
            </w:pPr>
            <w:r w:rsidRPr="000127EF">
              <w:rPr>
                <w:i/>
              </w:rPr>
              <w:t>Revenue expenditure funded from capital under statute</w:t>
            </w:r>
          </w:p>
        </w:tc>
        <w:tc>
          <w:tcPr>
            <w:tcW w:w="1302" w:type="dxa"/>
            <w:gridSpan w:val="6"/>
            <w:vAlign w:val="center"/>
          </w:tcPr>
          <w:p w14:paraId="6429AA76" w14:textId="547190C1" w:rsidR="00905D6D" w:rsidRPr="00905D6D" w:rsidRDefault="00905D6D" w:rsidP="00905D6D">
            <w:pPr>
              <w:jc w:val="right"/>
              <w:rPr>
                <w:i/>
                <w:iCs/>
              </w:rPr>
            </w:pPr>
            <w:r w:rsidRPr="00905D6D">
              <w:rPr>
                <w:i/>
                <w:iCs/>
              </w:rPr>
              <w:t>1,193</w:t>
            </w:r>
          </w:p>
        </w:tc>
        <w:tc>
          <w:tcPr>
            <w:tcW w:w="1249" w:type="dxa"/>
            <w:gridSpan w:val="4"/>
            <w:vAlign w:val="center"/>
          </w:tcPr>
          <w:p w14:paraId="2D7D4AB5" w14:textId="42AB5114" w:rsidR="00905D6D" w:rsidRPr="00905D6D" w:rsidRDefault="00905D6D" w:rsidP="00905D6D">
            <w:pPr>
              <w:jc w:val="right"/>
              <w:rPr>
                <w:i/>
                <w:iCs/>
              </w:rPr>
            </w:pPr>
            <w:r w:rsidRPr="00905D6D">
              <w:rPr>
                <w:i/>
                <w:iCs/>
              </w:rPr>
              <w:t>-</w:t>
            </w:r>
          </w:p>
        </w:tc>
        <w:tc>
          <w:tcPr>
            <w:tcW w:w="1274" w:type="dxa"/>
            <w:vAlign w:val="center"/>
          </w:tcPr>
          <w:p w14:paraId="3AA7D36D" w14:textId="0B6F75F6" w:rsidR="00905D6D" w:rsidRPr="00905D6D" w:rsidRDefault="00905D6D" w:rsidP="00905D6D">
            <w:pPr>
              <w:jc w:val="right"/>
              <w:rPr>
                <w:i/>
                <w:iCs/>
              </w:rPr>
            </w:pPr>
            <w:r w:rsidRPr="00905D6D">
              <w:rPr>
                <w:i/>
                <w:iCs/>
              </w:rPr>
              <w:t>-</w:t>
            </w:r>
          </w:p>
        </w:tc>
        <w:tc>
          <w:tcPr>
            <w:tcW w:w="1298" w:type="dxa"/>
            <w:vAlign w:val="center"/>
          </w:tcPr>
          <w:p w14:paraId="5366D5FC" w14:textId="64A951B4" w:rsidR="00905D6D" w:rsidRPr="00905D6D" w:rsidRDefault="00905D6D" w:rsidP="00905D6D">
            <w:pPr>
              <w:jc w:val="right"/>
              <w:rPr>
                <w:i/>
                <w:iCs/>
              </w:rPr>
            </w:pPr>
            <w:r w:rsidRPr="00905D6D">
              <w:rPr>
                <w:i/>
                <w:iCs/>
              </w:rPr>
              <w:t>-</w:t>
            </w:r>
          </w:p>
        </w:tc>
        <w:tc>
          <w:tcPr>
            <w:tcW w:w="1417" w:type="dxa"/>
            <w:vAlign w:val="center"/>
          </w:tcPr>
          <w:p w14:paraId="2B2C1923" w14:textId="5B018494" w:rsidR="00905D6D" w:rsidRPr="00905D6D" w:rsidRDefault="00905D6D" w:rsidP="00905D6D">
            <w:pPr>
              <w:jc w:val="right"/>
              <w:rPr>
                <w:i/>
                <w:iCs/>
              </w:rPr>
            </w:pPr>
            <w:r w:rsidRPr="00905D6D">
              <w:rPr>
                <w:i/>
                <w:iCs/>
              </w:rPr>
              <w:t>(1,193)</w:t>
            </w:r>
          </w:p>
        </w:tc>
      </w:tr>
      <w:tr w:rsidR="00905D6D" w:rsidRPr="000127EF" w14:paraId="1A50BE83" w14:textId="77777777" w:rsidTr="004053F1">
        <w:tc>
          <w:tcPr>
            <w:tcW w:w="4483" w:type="dxa"/>
          </w:tcPr>
          <w:p w14:paraId="393D0A92" w14:textId="77777777" w:rsidR="00905D6D" w:rsidRPr="000127EF" w:rsidRDefault="00905D6D" w:rsidP="00905D6D">
            <w:pPr>
              <w:rPr>
                <w:i/>
              </w:rPr>
            </w:pPr>
            <w:r w:rsidRPr="000127EF">
              <w:rPr>
                <w:i/>
              </w:rPr>
              <w:t>Amounts of non-current asset written off on disposal of sale</w:t>
            </w:r>
          </w:p>
        </w:tc>
        <w:tc>
          <w:tcPr>
            <w:tcW w:w="1302" w:type="dxa"/>
            <w:gridSpan w:val="6"/>
            <w:vAlign w:val="center"/>
          </w:tcPr>
          <w:p w14:paraId="75CB63EB" w14:textId="39DC8BDA" w:rsidR="00905D6D" w:rsidRPr="00905D6D" w:rsidRDefault="00905D6D" w:rsidP="00905D6D">
            <w:pPr>
              <w:jc w:val="right"/>
              <w:rPr>
                <w:i/>
                <w:iCs/>
              </w:rPr>
            </w:pPr>
            <w:r w:rsidRPr="00905D6D">
              <w:rPr>
                <w:i/>
                <w:iCs/>
              </w:rPr>
              <w:t>5,156</w:t>
            </w:r>
          </w:p>
        </w:tc>
        <w:tc>
          <w:tcPr>
            <w:tcW w:w="1249" w:type="dxa"/>
            <w:gridSpan w:val="4"/>
            <w:vAlign w:val="center"/>
          </w:tcPr>
          <w:p w14:paraId="16C52942" w14:textId="2EC7E55A" w:rsidR="00905D6D" w:rsidRPr="00905D6D" w:rsidRDefault="00905D6D" w:rsidP="00905D6D">
            <w:pPr>
              <w:jc w:val="right"/>
              <w:rPr>
                <w:i/>
                <w:iCs/>
              </w:rPr>
            </w:pPr>
            <w:r w:rsidRPr="00905D6D">
              <w:rPr>
                <w:i/>
                <w:iCs/>
              </w:rPr>
              <w:t>-</w:t>
            </w:r>
          </w:p>
        </w:tc>
        <w:tc>
          <w:tcPr>
            <w:tcW w:w="1274" w:type="dxa"/>
            <w:vAlign w:val="center"/>
          </w:tcPr>
          <w:p w14:paraId="24CC7842" w14:textId="05DC4B8F" w:rsidR="00905D6D" w:rsidRPr="00905D6D" w:rsidRDefault="00905D6D" w:rsidP="00905D6D">
            <w:pPr>
              <w:jc w:val="right"/>
              <w:rPr>
                <w:i/>
                <w:iCs/>
              </w:rPr>
            </w:pPr>
            <w:r w:rsidRPr="00905D6D">
              <w:rPr>
                <w:i/>
                <w:iCs/>
              </w:rPr>
              <w:t>-</w:t>
            </w:r>
          </w:p>
        </w:tc>
        <w:tc>
          <w:tcPr>
            <w:tcW w:w="1298" w:type="dxa"/>
            <w:vAlign w:val="center"/>
          </w:tcPr>
          <w:p w14:paraId="532E470E" w14:textId="3926AE20" w:rsidR="00905D6D" w:rsidRPr="00905D6D" w:rsidRDefault="00905D6D" w:rsidP="00905D6D">
            <w:pPr>
              <w:jc w:val="right"/>
              <w:rPr>
                <w:i/>
                <w:iCs/>
              </w:rPr>
            </w:pPr>
            <w:r w:rsidRPr="00905D6D">
              <w:rPr>
                <w:i/>
                <w:iCs/>
              </w:rPr>
              <w:t>-</w:t>
            </w:r>
          </w:p>
        </w:tc>
        <w:tc>
          <w:tcPr>
            <w:tcW w:w="1417" w:type="dxa"/>
            <w:vAlign w:val="center"/>
          </w:tcPr>
          <w:p w14:paraId="3168BE13" w14:textId="4D088ADA" w:rsidR="00905D6D" w:rsidRPr="00905D6D" w:rsidRDefault="00905D6D" w:rsidP="00905D6D">
            <w:pPr>
              <w:jc w:val="right"/>
              <w:rPr>
                <w:i/>
                <w:iCs/>
              </w:rPr>
            </w:pPr>
            <w:r w:rsidRPr="00905D6D">
              <w:rPr>
                <w:i/>
                <w:iCs/>
              </w:rPr>
              <w:t>(5,156)</w:t>
            </w:r>
          </w:p>
        </w:tc>
      </w:tr>
      <w:tr w:rsidR="00905D6D" w:rsidRPr="000127EF" w14:paraId="4C48FA12" w14:textId="77777777" w:rsidTr="004053F1">
        <w:tc>
          <w:tcPr>
            <w:tcW w:w="4483" w:type="dxa"/>
          </w:tcPr>
          <w:p w14:paraId="26A978BD" w14:textId="77777777" w:rsidR="00905D6D" w:rsidRPr="000127EF" w:rsidRDefault="00905D6D" w:rsidP="00905D6D">
            <w:pPr>
              <w:rPr>
                <w:i/>
              </w:rPr>
            </w:pPr>
            <w:r w:rsidRPr="000127EF">
              <w:rPr>
                <w:i/>
              </w:rPr>
              <w:t>Statutory provision for the financing of capital investment</w:t>
            </w:r>
          </w:p>
        </w:tc>
        <w:tc>
          <w:tcPr>
            <w:tcW w:w="1302" w:type="dxa"/>
            <w:gridSpan w:val="6"/>
            <w:vAlign w:val="center"/>
          </w:tcPr>
          <w:p w14:paraId="4E89B9A2" w14:textId="7E2ABC13" w:rsidR="00905D6D" w:rsidRPr="00905D6D" w:rsidRDefault="00905D6D" w:rsidP="00905D6D">
            <w:pPr>
              <w:jc w:val="right"/>
              <w:rPr>
                <w:i/>
                <w:iCs/>
              </w:rPr>
            </w:pPr>
            <w:r w:rsidRPr="00905D6D">
              <w:rPr>
                <w:i/>
                <w:iCs/>
              </w:rPr>
              <w:t>(719)</w:t>
            </w:r>
          </w:p>
        </w:tc>
        <w:tc>
          <w:tcPr>
            <w:tcW w:w="1249" w:type="dxa"/>
            <w:gridSpan w:val="4"/>
            <w:vAlign w:val="center"/>
          </w:tcPr>
          <w:p w14:paraId="14A366ED" w14:textId="27882F68" w:rsidR="00905D6D" w:rsidRPr="00905D6D" w:rsidRDefault="00905D6D" w:rsidP="00905D6D">
            <w:pPr>
              <w:jc w:val="right"/>
              <w:rPr>
                <w:i/>
                <w:iCs/>
              </w:rPr>
            </w:pPr>
            <w:r w:rsidRPr="00905D6D">
              <w:rPr>
                <w:i/>
                <w:iCs/>
              </w:rPr>
              <w:t>-</w:t>
            </w:r>
          </w:p>
        </w:tc>
        <w:tc>
          <w:tcPr>
            <w:tcW w:w="1274" w:type="dxa"/>
            <w:vAlign w:val="center"/>
          </w:tcPr>
          <w:p w14:paraId="5BB05B3A" w14:textId="4F70E384" w:rsidR="00905D6D" w:rsidRPr="00905D6D" w:rsidRDefault="00905D6D" w:rsidP="00905D6D">
            <w:pPr>
              <w:jc w:val="right"/>
              <w:rPr>
                <w:i/>
                <w:iCs/>
              </w:rPr>
            </w:pPr>
            <w:r w:rsidRPr="00905D6D">
              <w:rPr>
                <w:i/>
                <w:iCs/>
              </w:rPr>
              <w:t>-</w:t>
            </w:r>
          </w:p>
        </w:tc>
        <w:tc>
          <w:tcPr>
            <w:tcW w:w="1298" w:type="dxa"/>
            <w:vAlign w:val="center"/>
          </w:tcPr>
          <w:p w14:paraId="17A8A4B4" w14:textId="61E89822" w:rsidR="00905D6D" w:rsidRPr="00905D6D" w:rsidRDefault="00905D6D" w:rsidP="00905D6D">
            <w:pPr>
              <w:jc w:val="right"/>
              <w:rPr>
                <w:i/>
                <w:iCs/>
              </w:rPr>
            </w:pPr>
            <w:r w:rsidRPr="00905D6D">
              <w:rPr>
                <w:i/>
                <w:iCs/>
              </w:rPr>
              <w:t>-</w:t>
            </w:r>
          </w:p>
        </w:tc>
        <w:tc>
          <w:tcPr>
            <w:tcW w:w="1417" w:type="dxa"/>
            <w:vAlign w:val="center"/>
          </w:tcPr>
          <w:p w14:paraId="3BC33EB2" w14:textId="1BC3BB4F" w:rsidR="00905D6D" w:rsidRPr="00905D6D" w:rsidRDefault="00905D6D" w:rsidP="00905D6D">
            <w:pPr>
              <w:jc w:val="right"/>
              <w:rPr>
                <w:i/>
                <w:iCs/>
              </w:rPr>
            </w:pPr>
            <w:r w:rsidRPr="00905D6D">
              <w:rPr>
                <w:i/>
                <w:iCs/>
              </w:rPr>
              <w:t>719</w:t>
            </w:r>
          </w:p>
        </w:tc>
      </w:tr>
      <w:tr w:rsidR="00905D6D" w:rsidRPr="000127EF" w14:paraId="6F39D7E7" w14:textId="77777777" w:rsidTr="004053F1">
        <w:tc>
          <w:tcPr>
            <w:tcW w:w="4483" w:type="dxa"/>
          </w:tcPr>
          <w:p w14:paraId="26AE625A" w14:textId="77777777" w:rsidR="00905D6D" w:rsidRPr="000127EF" w:rsidRDefault="00905D6D" w:rsidP="00905D6D">
            <w:pPr>
              <w:rPr>
                <w:i/>
              </w:rPr>
            </w:pPr>
            <w:r w:rsidRPr="000127EF">
              <w:rPr>
                <w:i/>
              </w:rPr>
              <w:t>Capital expenditure charged against the general fund</w:t>
            </w:r>
          </w:p>
        </w:tc>
        <w:tc>
          <w:tcPr>
            <w:tcW w:w="1302" w:type="dxa"/>
            <w:gridSpan w:val="6"/>
            <w:vAlign w:val="center"/>
          </w:tcPr>
          <w:p w14:paraId="0AFFDA0F" w14:textId="6D6F7FE7" w:rsidR="00905D6D" w:rsidRPr="00905D6D" w:rsidRDefault="00905D6D" w:rsidP="00905D6D">
            <w:pPr>
              <w:jc w:val="right"/>
              <w:rPr>
                <w:i/>
                <w:iCs/>
              </w:rPr>
            </w:pPr>
            <w:r w:rsidRPr="00905D6D">
              <w:rPr>
                <w:i/>
                <w:iCs/>
              </w:rPr>
              <w:t>(154)</w:t>
            </w:r>
          </w:p>
        </w:tc>
        <w:tc>
          <w:tcPr>
            <w:tcW w:w="1249" w:type="dxa"/>
            <w:gridSpan w:val="4"/>
            <w:vAlign w:val="center"/>
          </w:tcPr>
          <w:p w14:paraId="145D303E" w14:textId="0648ABAD" w:rsidR="00905D6D" w:rsidRPr="00905D6D" w:rsidRDefault="00905D6D" w:rsidP="00905D6D">
            <w:pPr>
              <w:jc w:val="right"/>
              <w:rPr>
                <w:i/>
                <w:iCs/>
              </w:rPr>
            </w:pPr>
            <w:r w:rsidRPr="00905D6D">
              <w:rPr>
                <w:i/>
                <w:iCs/>
              </w:rPr>
              <w:t>-</w:t>
            </w:r>
          </w:p>
        </w:tc>
        <w:tc>
          <w:tcPr>
            <w:tcW w:w="1274" w:type="dxa"/>
            <w:vAlign w:val="center"/>
          </w:tcPr>
          <w:p w14:paraId="5610763E" w14:textId="5FD531D0" w:rsidR="00905D6D" w:rsidRPr="00905D6D" w:rsidRDefault="00905D6D" w:rsidP="00905D6D">
            <w:pPr>
              <w:jc w:val="right"/>
              <w:rPr>
                <w:i/>
                <w:iCs/>
              </w:rPr>
            </w:pPr>
            <w:r w:rsidRPr="00905D6D">
              <w:rPr>
                <w:i/>
                <w:iCs/>
              </w:rPr>
              <w:t>-</w:t>
            </w:r>
          </w:p>
        </w:tc>
        <w:tc>
          <w:tcPr>
            <w:tcW w:w="1298" w:type="dxa"/>
            <w:vAlign w:val="center"/>
          </w:tcPr>
          <w:p w14:paraId="5094F972" w14:textId="368ADE07" w:rsidR="00905D6D" w:rsidRPr="00905D6D" w:rsidRDefault="00905D6D" w:rsidP="00905D6D">
            <w:pPr>
              <w:jc w:val="right"/>
              <w:rPr>
                <w:i/>
                <w:iCs/>
              </w:rPr>
            </w:pPr>
            <w:r w:rsidRPr="00905D6D">
              <w:rPr>
                <w:i/>
                <w:iCs/>
              </w:rPr>
              <w:t>-</w:t>
            </w:r>
          </w:p>
        </w:tc>
        <w:tc>
          <w:tcPr>
            <w:tcW w:w="1417" w:type="dxa"/>
            <w:vAlign w:val="center"/>
          </w:tcPr>
          <w:p w14:paraId="7E326AD8" w14:textId="7B067417" w:rsidR="00905D6D" w:rsidRPr="00905D6D" w:rsidRDefault="00905D6D" w:rsidP="00905D6D">
            <w:pPr>
              <w:jc w:val="right"/>
              <w:rPr>
                <w:i/>
                <w:iCs/>
              </w:rPr>
            </w:pPr>
            <w:r w:rsidRPr="00905D6D">
              <w:rPr>
                <w:i/>
                <w:iCs/>
              </w:rPr>
              <w:t>154</w:t>
            </w:r>
          </w:p>
        </w:tc>
      </w:tr>
      <w:tr w:rsidR="00FE6857" w:rsidRPr="000127EF" w14:paraId="7B504A87" w14:textId="77777777" w:rsidTr="004053F1">
        <w:tc>
          <w:tcPr>
            <w:tcW w:w="11023" w:type="dxa"/>
            <w:gridSpan w:val="14"/>
          </w:tcPr>
          <w:p w14:paraId="191CA771" w14:textId="77777777" w:rsidR="00FE6857" w:rsidRPr="000127EF" w:rsidRDefault="00FE6857" w:rsidP="004053F1">
            <w:pPr>
              <w:rPr>
                <w:b/>
                <w:i/>
                <w:sz w:val="6"/>
                <w:szCs w:val="6"/>
              </w:rPr>
            </w:pPr>
          </w:p>
        </w:tc>
      </w:tr>
      <w:tr w:rsidR="00FE6857" w:rsidRPr="000127EF" w14:paraId="30D68B65" w14:textId="77777777" w:rsidTr="004053F1">
        <w:tc>
          <w:tcPr>
            <w:tcW w:w="11023" w:type="dxa"/>
            <w:gridSpan w:val="14"/>
          </w:tcPr>
          <w:p w14:paraId="52480AE3" w14:textId="77777777" w:rsidR="00FE6857" w:rsidRPr="000127EF" w:rsidRDefault="00FE6857" w:rsidP="004053F1">
            <w:pPr>
              <w:rPr>
                <w:b/>
                <w:i/>
              </w:rPr>
            </w:pPr>
            <w:r w:rsidRPr="000127EF">
              <w:rPr>
                <w:b/>
                <w:i/>
              </w:rPr>
              <w:t>Adjustment primarily involving the Capital Grants Unapplied Accounts</w:t>
            </w:r>
          </w:p>
        </w:tc>
      </w:tr>
      <w:tr w:rsidR="00905D6D" w:rsidRPr="000127EF" w14:paraId="1730BE80" w14:textId="77777777" w:rsidTr="004053F1">
        <w:trPr>
          <w:trHeight w:val="406"/>
        </w:trPr>
        <w:tc>
          <w:tcPr>
            <w:tcW w:w="4483" w:type="dxa"/>
          </w:tcPr>
          <w:p w14:paraId="31AE6EDE" w14:textId="77777777" w:rsidR="00905D6D" w:rsidRPr="000127EF" w:rsidRDefault="00905D6D" w:rsidP="00905D6D">
            <w:pPr>
              <w:rPr>
                <w:i/>
              </w:rPr>
            </w:pPr>
            <w:r w:rsidRPr="000127EF">
              <w:rPr>
                <w:i/>
              </w:rPr>
              <w:t>Capital grants &amp; contributions unapplied</w:t>
            </w:r>
          </w:p>
        </w:tc>
        <w:tc>
          <w:tcPr>
            <w:tcW w:w="1302" w:type="dxa"/>
            <w:gridSpan w:val="6"/>
            <w:vAlign w:val="center"/>
          </w:tcPr>
          <w:p w14:paraId="0BE017F0" w14:textId="3CF99BCD" w:rsidR="00905D6D" w:rsidRPr="00905D6D" w:rsidRDefault="00905D6D" w:rsidP="00905D6D">
            <w:pPr>
              <w:tabs>
                <w:tab w:val="left" w:pos="1088"/>
              </w:tabs>
              <w:jc w:val="right"/>
              <w:rPr>
                <w:i/>
                <w:iCs/>
              </w:rPr>
            </w:pPr>
            <w:r w:rsidRPr="00905D6D">
              <w:rPr>
                <w:i/>
                <w:iCs/>
              </w:rPr>
              <w:t>(651)</w:t>
            </w:r>
          </w:p>
        </w:tc>
        <w:tc>
          <w:tcPr>
            <w:tcW w:w="1249" w:type="dxa"/>
            <w:gridSpan w:val="4"/>
            <w:vAlign w:val="center"/>
          </w:tcPr>
          <w:p w14:paraId="2F030B22" w14:textId="3C47DFA7" w:rsidR="00905D6D" w:rsidRPr="00905D6D" w:rsidRDefault="00905D6D" w:rsidP="00905D6D">
            <w:pPr>
              <w:ind w:right="215"/>
              <w:jc w:val="right"/>
              <w:rPr>
                <w:i/>
                <w:iCs/>
              </w:rPr>
            </w:pPr>
            <w:r w:rsidRPr="00905D6D">
              <w:rPr>
                <w:i/>
                <w:iCs/>
              </w:rPr>
              <w:t>-</w:t>
            </w:r>
          </w:p>
        </w:tc>
        <w:tc>
          <w:tcPr>
            <w:tcW w:w="1274" w:type="dxa"/>
            <w:vAlign w:val="center"/>
          </w:tcPr>
          <w:p w14:paraId="22CEF2FE" w14:textId="5981E2EF" w:rsidR="00905D6D" w:rsidRPr="00905D6D" w:rsidRDefault="00905D6D" w:rsidP="00905D6D">
            <w:pPr>
              <w:ind w:right="175"/>
              <w:jc w:val="right"/>
              <w:rPr>
                <w:i/>
                <w:iCs/>
              </w:rPr>
            </w:pPr>
            <w:r w:rsidRPr="00905D6D">
              <w:rPr>
                <w:i/>
                <w:iCs/>
              </w:rPr>
              <w:t>-</w:t>
            </w:r>
          </w:p>
        </w:tc>
        <w:tc>
          <w:tcPr>
            <w:tcW w:w="1298" w:type="dxa"/>
            <w:vAlign w:val="center"/>
          </w:tcPr>
          <w:p w14:paraId="784CB35E" w14:textId="02510C7B" w:rsidR="00905D6D" w:rsidRPr="00905D6D" w:rsidRDefault="00905D6D" w:rsidP="00905D6D">
            <w:pPr>
              <w:ind w:right="175"/>
              <w:jc w:val="right"/>
              <w:rPr>
                <w:i/>
                <w:iCs/>
              </w:rPr>
            </w:pPr>
            <w:r w:rsidRPr="00905D6D">
              <w:rPr>
                <w:i/>
                <w:iCs/>
              </w:rPr>
              <w:t>651</w:t>
            </w:r>
          </w:p>
        </w:tc>
        <w:tc>
          <w:tcPr>
            <w:tcW w:w="1417" w:type="dxa"/>
            <w:vAlign w:val="center"/>
          </w:tcPr>
          <w:p w14:paraId="318A06B9" w14:textId="2DFE52D0" w:rsidR="00905D6D" w:rsidRPr="00905D6D" w:rsidRDefault="00905D6D" w:rsidP="00905D6D">
            <w:pPr>
              <w:jc w:val="right"/>
              <w:rPr>
                <w:i/>
                <w:iCs/>
              </w:rPr>
            </w:pPr>
            <w:r w:rsidRPr="00905D6D">
              <w:rPr>
                <w:i/>
                <w:iCs/>
              </w:rPr>
              <w:t>-</w:t>
            </w:r>
          </w:p>
        </w:tc>
      </w:tr>
      <w:tr w:rsidR="00FE6857" w:rsidRPr="000127EF" w14:paraId="283BEB04" w14:textId="77777777" w:rsidTr="004053F1">
        <w:tc>
          <w:tcPr>
            <w:tcW w:w="11023" w:type="dxa"/>
            <w:gridSpan w:val="14"/>
          </w:tcPr>
          <w:p w14:paraId="4408FF6E" w14:textId="77777777" w:rsidR="00FE6857" w:rsidRPr="000127EF" w:rsidRDefault="00FE6857" w:rsidP="004053F1">
            <w:pPr>
              <w:rPr>
                <w:b/>
                <w:i/>
                <w:sz w:val="6"/>
                <w:szCs w:val="6"/>
              </w:rPr>
            </w:pPr>
          </w:p>
        </w:tc>
      </w:tr>
      <w:tr w:rsidR="00FE6857" w:rsidRPr="000127EF" w14:paraId="12F122F4" w14:textId="77777777" w:rsidTr="004053F1">
        <w:tc>
          <w:tcPr>
            <w:tcW w:w="11023" w:type="dxa"/>
            <w:gridSpan w:val="14"/>
          </w:tcPr>
          <w:p w14:paraId="1DB3B9F1" w14:textId="77777777" w:rsidR="00FE6857" w:rsidRPr="000127EF" w:rsidRDefault="00FE6857" w:rsidP="004053F1">
            <w:pPr>
              <w:rPr>
                <w:b/>
                <w:i/>
              </w:rPr>
            </w:pPr>
            <w:r w:rsidRPr="000127EF">
              <w:rPr>
                <w:b/>
                <w:i/>
              </w:rPr>
              <w:t>Adjustments primarily involving the Capital Receipts Reserve</w:t>
            </w:r>
          </w:p>
        </w:tc>
      </w:tr>
      <w:tr w:rsidR="00905D6D" w:rsidRPr="000127EF" w14:paraId="18B49160" w14:textId="77777777" w:rsidTr="004053F1">
        <w:tc>
          <w:tcPr>
            <w:tcW w:w="4483" w:type="dxa"/>
          </w:tcPr>
          <w:p w14:paraId="47D69A4B" w14:textId="77777777" w:rsidR="00905D6D" w:rsidRPr="000127EF" w:rsidRDefault="00905D6D" w:rsidP="00905D6D">
            <w:pPr>
              <w:rPr>
                <w:i/>
              </w:rPr>
            </w:pPr>
            <w:r w:rsidRPr="000127EF">
              <w:rPr>
                <w:i/>
              </w:rPr>
              <w:t>Transfer of cash sale proceeds credited as part of the gain or loss on disposal</w:t>
            </w:r>
          </w:p>
        </w:tc>
        <w:tc>
          <w:tcPr>
            <w:tcW w:w="1302" w:type="dxa"/>
            <w:gridSpan w:val="6"/>
            <w:vAlign w:val="center"/>
          </w:tcPr>
          <w:p w14:paraId="0EEA1D2B" w14:textId="00C037A3" w:rsidR="00905D6D" w:rsidRPr="00905D6D" w:rsidRDefault="00905D6D" w:rsidP="00905D6D">
            <w:pPr>
              <w:tabs>
                <w:tab w:val="left" w:pos="1171"/>
              </w:tabs>
              <w:jc w:val="right"/>
              <w:rPr>
                <w:i/>
                <w:iCs/>
              </w:rPr>
            </w:pPr>
            <w:r w:rsidRPr="00905D6D">
              <w:rPr>
                <w:i/>
                <w:iCs/>
              </w:rPr>
              <w:t>-</w:t>
            </w:r>
          </w:p>
        </w:tc>
        <w:tc>
          <w:tcPr>
            <w:tcW w:w="1249" w:type="dxa"/>
            <w:gridSpan w:val="4"/>
            <w:vAlign w:val="center"/>
          </w:tcPr>
          <w:p w14:paraId="466DC001" w14:textId="00E4BE42" w:rsidR="00905D6D" w:rsidRPr="00905D6D" w:rsidRDefault="00905D6D" w:rsidP="00905D6D">
            <w:pPr>
              <w:tabs>
                <w:tab w:val="left" w:pos="1171"/>
              </w:tabs>
              <w:jc w:val="right"/>
              <w:rPr>
                <w:i/>
                <w:iCs/>
              </w:rPr>
            </w:pPr>
            <w:r w:rsidRPr="00905D6D">
              <w:rPr>
                <w:i/>
                <w:iCs/>
              </w:rPr>
              <w:t>-</w:t>
            </w:r>
          </w:p>
        </w:tc>
        <w:tc>
          <w:tcPr>
            <w:tcW w:w="1274" w:type="dxa"/>
            <w:vAlign w:val="center"/>
          </w:tcPr>
          <w:p w14:paraId="7B6BC7D7" w14:textId="207175C7" w:rsidR="00905D6D" w:rsidRPr="00905D6D" w:rsidRDefault="00905D6D" w:rsidP="00905D6D">
            <w:pPr>
              <w:tabs>
                <w:tab w:val="left" w:pos="1171"/>
              </w:tabs>
              <w:jc w:val="right"/>
              <w:rPr>
                <w:i/>
                <w:iCs/>
              </w:rPr>
            </w:pPr>
            <w:r w:rsidRPr="00905D6D">
              <w:rPr>
                <w:i/>
                <w:iCs/>
              </w:rPr>
              <w:t>-</w:t>
            </w:r>
          </w:p>
        </w:tc>
        <w:tc>
          <w:tcPr>
            <w:tcW w:w="1298" w:type="dxa"/>
            <w:vAlign w:val="center"/>
          </w:tcPr>
          <w:p w14:paraId="70DE8F5E" w14:textId="50ED43F2" w:rsidR="00905D6D" w:rsidRPr="00905D6D" w:rsidRDefault="00905D6D" w:rsidP="00905D6D">
            <w:pPr>
              <w:tabs>
                <w:tab w:val="left" w:pos="1171"/>
              </w:tabs>
              <w:jc w:val="right"/>
              <w:rPr>
                <w:i/>
                <w:iCs/>
              </w:rPr>
            </w:pPr>
            <w:r w:rsidRPr="00905D6D">
              <w:rPr>
                <w:i/>
                <w:iCs/>
              </w:rPr>
              <w:t>-</w:t>
            </w:r>
          </w:p>
        </w:tc>
        <w:tc>
          <w:tcPr>
            <w:tcW w:w="1417" w:type="dxa"/>
            <w:vAlign w:val="center"/>
          </w:tcPr>
          <w:p w14:paraId="252F0A8D" w14:textId="77916779" w:rsidR="00905D6D" w:rsidRPr="00905D6D" w:rsidRDefault="00905D6D" w:rsidP="00905D6D">
            <w:pPr>
              <w:tabs>
                <w:tab w:val="left" w:pos="1171"/>
              </w:tabs>
              <w:jc w:val="right"/>
              <w:rPr>
                <w:i/>
                <w:iCs/>
              </w:rPr>
            </w:pPr>
            <w:r w:rsidRPr="00905D6D">
              <w:rPr>
                <w:i/>
                <w:iCs/>
              </w:rPr>
              <w:t>-</w:t>
            </w:r>
          </w:p>
        </w:tc>
      </w:tr>
      <w:tr w:rsidR="00905D6D" w:rsidRPr="000127EF" w14:paraId="77AB9FB6" w14:textId="77777777" w:rsidTr="004053F1">
        <w:tc>
          <w:tcPr>
            <w:tcW w:w="4483" w:type="dxa"/>
          </w:tcPr>
          <w:p w14:paraId="6239D4A8" w14:textId="77777777" w:rsidR="00905D6D" w:rsidRPr="000127EF" w:rsidRDefault="00905D6D" w:rsidP="00905D6D">
            <w:pPr>
              <w:rPr>
                <w:i/>
              </w:rPr>
            </w:pPr>
            <w:r w:rsidRPr="000127EF">
              <w:rPr>
                <w:i/>
              </w:rPr>
              <w:t>Transfer from Deferred Capital Receipts Reserve upon receipt of cash</w:t>
            </w:r>
          </w:p>
        </w:tc>
        <w:tc>
          <w:tcPr>
            <w:tcW w:w="1302" w:type="dxa"/>
            <w:gridSpan w:val="6"/>
            <w:vAlign w:val="center"/>
          </w:tcPr>
          <w:p w14:paraId="5FA0277E" w14:textId="25FF8286" w:rsidR="00905D6D" w:rsidRPr="00905D6D" w:rsidRDefault="00905D6D" w:rsidP="00905D6D">
            <w:pPr>
              <w:tabs>
                <w:tab w:val="left" w:pos="1171"/>
              </w:tabs>
              <w:jc w:val="right"/>
              <w:rPr>
                <w:i/>
                <w:iCs/>
              </w:rPr>
            </w:pPr>
            <w:r w:rsidRPr="00905D6D">
              <w:rPr>
                <w:i/>
                <w:iCs/>
              </w:rPr>
              <w:t>-</w:t>
            </w:r>
          </w:p>
        </w:tc>
        <w:tc>
          <w:tcPr>
            <w:tcW w:w="1249" w:type="dxa"/>
            <w:gridSpan w:val="4"/>
            <w:vAlign w:val="center"/>
          </w:tcPr>
          <w:p w14:paraId="1E17ED49" w14:textId="4F2AB1B0" w:rsidR="00905D6D" w:rsidRPr="00905D6D" w:rsidRDefault="00905D6D" w:rsidP="00905D6D">
            <w:pPr>
              <w:tabs>
                <w:tab w:val="left" w:pos="1171"/>
              </w:tabs>
              <w:jc w:val="right"/>
              <w:rPr>
                <w:i/>
                <w:iCs/>
              </w:rPr>
            </w:pPr>
            <w:r w:rsidRPr="00905D6D">
              <w:rPr>
                <w:i/>
                <w:iCs/>
              </w:rPr>
              <w:t>87</w:t>
            </w:r>
          </w:p>
        </w:tc>
        <w:tc>
          <w:tcPr>
            <w:tcW w:w="1274" w:type="dxa"/>
            <w:vAlign w:val="center"/>
          </w:tcPr>
          <w:p w14:paraId="16F6BB33" w14:textId="07546EFE" w:rsidR="00905D6D" w:rsidRPr="00905D6D" w:rsidRDefault="00905D6D" w:rsidP="00905D6D">
            <w:pPr>
              <w:tabs>
                <w:tab w:val="left" w:pos="1171"/>
              </w:tabs>
              <w:jc w:val="right"/>
              <w:rPr>
                <w:i/>
                <w:iCs/>
              </w:rPr>
            </w:pPr>
            <w:r w:rsidRPr="00905D6D">
              <w:rPr>
                <w:i/>
                <w:iCs/>
              </w:rPr>
              <w:t>-</w:t>
            </w:r>
          </w:p>
        </w:tc>
        <w:tc>
          <w:tcPr>
            <w:tcW w:w="1298" w:type="dxa"/>
            <w:vAlign w:val="center"/>
          </w:tcPr>
          <w:p w14:paraId="1278576A" w14:textId="31068A27" w:rsidR="00905D6D" w:rsidRPr="00905D6D" w:rsidRDefault="00905D6D" w:rsidP="00905D6D">
            <w:pPr>
              <w:tabs>
                <w:tab w:val="left" w:pos="1171"/>
              </w:tabs>
              <w:jc w:val="right"/>
              <w:rPr>
                <w:i/>
                <w:iCs/>
              </w:rPr>
            </w:pPr>
            <w:r w:rsidRPr="00905D6D">
              <w:rPr>
                <w:i/>
                <w:iCs/>
              </w:rPr>
              <w:t>-</w:t>
            </w:r>
          </w:p>
        </w:tc>
        <w:tc>
          <w:tcPr>
            <w:tcW w:w="1417" w:type="dxa"/>
            <w:vAlign w:val="center"/>
          </w:tcPr>
          <w:p w14:paraId="2DBE46B7" w14:textId="7C87E214" w:rsidR="00905D6D" w:rsidRPr="00905D6D" w:rsidRDefault="00905D6D" w:rsidP="00905D6D">
            <w:pPr>
              <w:tabs>
                <w:tab w:val="left" w:pos="1171"/>
              </w:tabs>
              <w:jc w:val="right"/>
              <w:rPr>
                <w:i/>
                <w:iCs/>
              </w:rPr>
            </w:pPr>
            <w:r w:rsidRPr="00905D6D">
              <w:rPr>
                <w:i/>
                <w:iCs/>
              </w:rPr>
              <w:t>(87)</w:t>
            </w:r>
          </w:p>
        </w:tc>
      </w:tr>
      <w:tr w:rsidR="00905D6D" w:rsidRPr="000127EF" w14:paraId="193AC730" w14:textId="77777777" w:rsidTr="004053F1">
        <w:tc>
          <w:tcPr>
            <w:tcW w:w="4483" w:type="dxa"/>
          </w:tcPr>
          <w:p w14:paraId="0E1B0307" w14:textId="77777777" w:rsidR="00905D6D" w:rsidRPr="000127EF" w:rsidRDefault="00905D6D" w:rsidP="00905D6D">
            <w:pPr>
              <w:rPr>
                <w:i/>
              </w:rPr>
            </w:pPr>
            <w:r w:rsidRPr="000127EF">
              <w:rPr>
                <w:i/>
              </w:rPr>
              <w:t>Use of the Capital Receipts Reserve to finance new capital expenditure</w:t>
            </w:r>
          </w:p>
        </w:tc>
        <w:tc>
          <w:tcPr>
            <w:tcW w:w="1302" w:type="dxa"/>
            <w:gridSpan w:val="6"/>
            <w:vAlign w:val="center"/>
          </w:tcPr>
          <w:p w14:paraId="3D4FEB66" w14:textId="08162DF7" w:rsidR="00905D6D" w:rsidRPr="00905D6D" w:rsidRDefault="00905D6D" w:rsidP="00905D6D">
            <w:pPr>
              <w:tabs>
                <w:tab w:val="left" w:pos="1171"/>
              </w:tabs>
              <w:jc w:val="right"/>
              <w:rPr>
                <w:i/>
                <w:iCs/>
              </w:rPr>
            </w:pPr>
            <w:r w:rsidRPr="00905D6D">
              <w:rPr>
                <w:i/>
                <w:iCs/>
              </w:rPr>
              <w:t>-</w:t>
            </w:r>
          </w:p>
        </w:tc>
        <w:tc>
          <w:tcPr>
            <w:tcW w:w="1249" w:type="dxa"/>
            <w:gridSpan w:val="4"/>
            <w:vAlign w:val="center"/>
          </w:tcPr>
          <w:p w14:paraId="3E068950" w14:textId="29A5AAC8" w:rsidR="00905D6D" w:rsidRPr="00905D6D" w:rsidRDefault="00905D6D" w:rsidP="00905D6D">
            <w:pPr>
              <w:tabs>
                <w:tab w:val="left" w:pos="1171"/>
              </w:tabs>
              <w:jc w:val="right"/>
              <w:rPr>
                <w:i/>
                <w:iCs/>
              </w:rPr>
            </w:pPr>
            <w:r w:rsidRPr="00905D6D">
              <w:rPr>
                <w:i/>
                <w:iCs/>
              </w:rPr>
              <w:t>48</w:t>
            </w:r>
          </w:p>
        </w:tc>
        <w:tc>
          <w:tcPr>
            <w:tcW w:w="1274" w:type="dxa"/>
            <w:vAlign w:val="center"/>
          </w:tcPr>
          <w:p w14:paraId="1BCE9310" w14:textId="27F3B169" w:rsidR="00905D6D" w:rsidRPr="00905D6D" w:rsidRDefault="00905D6D" w:rsidP="00905D6D">
            <w:pPr>
              <w:tabs>
                <w:tab w:val="left" w:pos="1171"/>
              </w:tabs>
              <w:jc w:val="right"/>
              <w:rPr>
                <w:i/>
                <w:iCs/>
              </w:rPr>
            </w:pPr>
            <w:r w:rsidRPr="00905D6D">
              <w:rPr>
                <w:i/>
                <w:iCs/>
              </w:rPr>
              <w:t>-</w:t>
            </w:r>
          </w:p>
        </w:tc>
        <w:tc>
          <w:tcPr>
            <w:tcW w:w="1298" w:type="dxa"/>
            <w:vAlign w:val="center"/>
          </w:tcPr>
          <w:p w14:paraId="5EEC8DD9" w14:textId="08D8592E" w:rsidR="00905D6D" w:rsidRPr="00905D6D" w:rsidRDefault="00905D6D" w:rsidP="00905D6D">
            <w:pPr>
              <w:tabs>
                <w:tab w:val="left" w:pos="1171"/>
              </w:tabs>
              <w:jc w:val="right"/>
              <w:rPr>
                <w:i/>
                <w:iCs/>
              </w:rPr>
            </w:pPr>
            <w:r w:rsidRPr="00905D6D">
              <w:rPr>
                <w:i/>
                <w:iCs/>
              </w:rPr>
              <w:t>-</w:t>
            </w:r>
          </w:p>
        </w:tc>
        <w:tc>
          <w:tcPr>
            <w:tcW w:w="1417" w:type="dxa"/>
            <w:vAlign w:val="center"/>
          </w:tcPr>
          <w:p w14:paraId="340AB126" w14:textId="6DD36AE8" w:rsidR="00905D6D" w:rsidRPr="00905D6D" w:rsidRDefault="00905D6D" w:rsidP="00905D6D">
            <w:pPr>
              <w:tabs>
                <w:tab w:val="left" w:pos="1171"/>
              </w:tabs>
              <w:jc w:val="right"/>
              <w:rPr>
                <w:i/>
                <w:iCs/>
              </w:rPr>
            </w:pPr>
            <w:r w:rsidRPr="00905D6D">
              <w:rPr>
                <w:i/>
                <w:iCs/>
              </w:rPr>
              <w:t>(48)</w:t>
            </w:r>
          </w:p>
        </w:tc>
      </w:tr>
      <w:tr w:rsidR="00FE6857" w:rsidRPr="000127EF" w14:paraId="14FF16E7" w14:textId="77777777" w:rsidTr="004053F1">
        <w:tc>
          <w:tcPr>
            <w:tcW w:w="11023" w:type="dxa"/>
            <w:gridSpan w:val="14"/>
            <w:vAlign w:val="center"/>
          </w:tcPr>
          <w:p w14:paraId="7EF841BE" w14:textId="77777777" w:rsidR="00FE6857" w:rsidRPr="000127EF" w:rsidRDefault="00FE6857" w:rsidP="004053F1">
            <w:pPr>
              <w:rPr>
                <w:i/>
                <w:sz w:val="6"/>
                <w:szCs w:val="6"/>
              </w:rPr>
            </w:pPr>
          </w:p>
        </w:tc>
      </w:tr>
      <w:tr w:rsidR="00FE6857" w:rsidRPr="000127EF" w14:paraId="3D458B6E" w14:textId="77777777" w:rsidTr="004053F1">
        <w:tc>
          <w:tcPr>
            <w:tcW w:w="11023" w:type="dxa"/>
            <w:gridSpan w:val="14"/>
          </w:tcPr>
          <w:p w14:paraId="191E5F95" w14:textId="77777777" w:rsidR="00FE6857" w:rsidRPr="000127EF" w:rsidRDefault="00FE6857" w:rsidP="004053F1">
            <w:pPr>
              <w:rPr>
                <w:b/>
                <w:i/>
              </w:rPr>
            </w:pPr>
            <w:r w:rsidRPr="000127EF">
              <w:rPr>
                <w:b/>
                <w:i/>
              </w:rPr>
              <w:t>Adjustment primarily involving the Section 106 Reserve</w:t>
            </w:r>
          </w:p>
        </w:tc>
      </w:tr>
      <w:tr w:rsidR="00905D6D" w:rsidRPr="000127EF" w14:paraId="67F6E04B" w14:textId="77777777" w:rsidTr="004053F1">
        <w:tc>
          <w:tcPr>
            <w:tcW w:w="4483" w:type="dxa"/>
          </w:tcPr>
          <w:p w14:paraId="3002CC8F" w14:textId="77777777" w:rsidR="00905D6D" w:rsidRPr="000127EF" w:rsidRDefault="00905D6D" w:rsidP="00905D6D">
            <w:pPr>
              <w:rPr>
                <w:rFonts w:cs="Arial"/>
                <w:i/>
                <w:color w:val="000000"/>
                <w:szCs w:val="22"/>
                <w:lang w:eastAsia="en-GB"/>
              </w:rPr>
            </w:pPr>
            <w:r w:rsidRPr="000127EF">
              <w:rPr>
                <w:rFonts w:cs="Arial"/>
                <w:i/>
                <w:color w:val="000000"/>
                <w:szCs w:val="22"/>
              </w:rPr>
              <w:t>Section 106 contributions unapplied transferred to reserves</w:t>
            </w:r>
          </w:p>
        </w:tc>
        <w:tc>
          <w:tcPr>
            <w:tcW w:w="1302" w:type="dxa"/>
            <w:gridSpan w:val="6"/>
          </w:tcPr>
          <w:p w14:paraId="1D71AE0D" w14:textId="77777777" w:rsidR="00905D6D" w:rsidRPr="00905D6D" w:rsidRDefault="00905D6D" w:rsidP="00905D6D">
            <w:pPr>
              <w:jc w:val="right"/>
              <w:rPr>
                <w:i/>
                <w:iCs/>
              </w:rPr>
            </w:pPr>
          </w:p>
          <w:p w14:paraId="02DA7ADD" w14:textId="2D2EEE55" w:rsidR="00905D6D" w:rsidRPr="00905D6D" w:rsidRDefault="00905D6D" w:rsidP="00905D6D">
            <w:pPr>
              <w:tabs>
                <w:tab w:val="left" w:pos="660"/>
              </w:tabs>
              <w:jc w:val="right"/>
              <w:rPr>
                <w:i/>
                <w:iCs/>
              </w:rPr>
            </w:pPr>
            <w:r w:rsidRPr="00905D6D">
              <w:rPr>
                <w:i/>
                <w:iCs/>
              </w:rPr>
              <w:t>(984)</w:t>
            </w:r>
          </w:p>
        </w:tc>
        <w:tc>
          <w:tcPr>
            <w:tcW w:w="1249" w:type="dxa"/>
            <w:gridSpan w:val="4"/>
          </w:tcPr>
          <w:p w14:paraId="6FCE3174" w14:textId="77777777" w:rsidR="00905D6D" w:rsidRPr="00905D6D" w:rsidRDefault="00905D6D" w:rsidP="00905D6D">
            <w:pPr>
              <w:jc w:val="right"/>
              <w:rPr>
                <w:i/>
                <w:iCs/>
              </w:rPr>
            </w:pPr>
          </w:p>
          <w:p w14:paraId="5548DA58" w14:textId="544C31BD" w:rsidR="00905D6D" w:rsidRPr="00905D6D" w:rsidRDefault="00905D6D" w:rsidP="00905D6D">
            <w:pPr>
              <w:jc w:val="right"/>
              <w:rPr>
                <w:i/>
                <w:iCs/>
              </w:rPr>
            </w:pPr>
            <w:r w:rsidRPr="00905D6D">
              <w:rPr>
                <w:i/>
                <w:iCs/>
              </w:rPr>
              <w:t>-</w:t>
            </w:r>
          </w:p>
        </w:tc>
        <w:tc>
          <w:tcPr>
            <w:tcW w:w="1274" w:type="dxa"/>
          </w:tcPr>
          <w:p w14:paraId="1811CD58" w14:textId="77777777" w:rsidR="00905D6D" w:rsidRPr="00905D6D" w:rsidRDefault="00905D6D" w:rsidP="00905D6D">
            <w:pPr>
              <w:jc w:val="right"/>
              <w:rPr>
                <w:i/>
                <w:iCs/>
              </w:rPr>
            </w:pPr>
          </w:p>
          <w:p w14:paraId="375597C7" w14:textId="7DFF58B2" w:rsidR="00905D6D" w:rsidRPr="00905D6D" w:rsidRDefault="00905D6D" w:rsidP="00905D6D">
            <w:pPr>
              <w:jc w:val="right"/>
              <w:rPr>
                <w:i/>
                <w:iCs/>
              </w:rPr>
            </w:pPr>
            <w:r w:rsidRPr="00905D6D">
              <w:rPr>
                <w:i/>
                <w:iCs/>
              </w:rPr>
              <w:t>984</w:t>
            </w:r>
          </w:p>
        </w:tc>
        <w:tc>
          <w:tcPr>
            <w:tcW w:w="1298" w:type="dxa"/>
          </w:tcPr>
          <w:p w14:paraId="73E19DD8" w14:textId="77777777" w:rsidR="00905D6D" w:rsidRPr="00905D6D" w:rsidRDefault="00905D6D" w:rsidP="00905D6D">
            <w:pPr>
              <w:jc w:val="right"/>
              <w:rPr>
                <w:i/>
                <w:iCs/>
              </w:rPr>
            </w:pPr>
          </w:p>
          <w:p w14:paraId="16A444BF" w14:textId="31716FB1" w:rsidR="00905D6D" w:rsidRPr="00905D6D" w:rsidRDefault="00905D6D" w:rsidP="00905D6D">
            <w:pPr>
              <w:jc w:val="right"/>
              <w:rPr>
                <w:i/>
                <w:iCs/>
              </w:rPr>
            </w:pPr>
            <w:r w:rsidRPr="00905D6D">
              <w:rPr>
                <w:i/>
                <w:iCs/>
              </w:rPr>
              <w:t>-</w:t>
            </w:r>
          </w:p>
        </w:tc>
        <w:tc>
          <w:tcPr>
            <w:tcW w:w="1417" w:type="dxa"/>
          </w:tcPr>
          <w:p w14:paraId="2E30F0F7" w14:textId="77777777" w:rsidR="00905D6D" w:rsidRPr="00905D6D" w:rsidRDefault="00905D6D" w:rsidP="00905D6D">
            <w:pPr>
              <w:jc w:val="right"/>
              <w:rPr>
                <w:i/>
                <w:iCs/>
              </w:rPr>
            </w:pPr>
          </w:p>
          <w:p w14:paraId="6824D471" w14:textId="2698FB70" w:rsidR="00905D6D" w:rsidRPr="00905D6D" w:rsidRDefault="00905D6D" w:rsidP="00905D6D">
            <w:pPr>
              <w:jc w:val="right"/>
              <w:rPr>
                <w:i/>
                <w:iCs/>
              </w:rPr>
            </w:pPr>
            <w:r w:rsidRPr="00905D6D">
              <w:rPr>
                <w:i/>
                <w:iCs/>
              </w:rPr>
              <w:t>-</w:t>
            </w:r>
          </w:p>
        </w:tc>
      </w:tr>
      <w:tr w:rsidR="00905D6D" w:rsidRPr="000127EF" w14:paraId="71482B10" w14:textId="77777777" w:rsidTr="004053F1">
        <w:tc>
          <w:tcPr>
            <w:tcW w:w="4483" w:type="dxa"/>
          </w:tcPr>
          <w:p w14:paraId="05079702" w14:textId="77777777" w:rsidR="00905D6D" w:rsidRPr="000127EF" w:rsidRDefault="00905D6D" w:rsidP="00905D6D">
            <w:pPr>
              <w:rPr>
                <w:rFonts w:cs="Arial"/>
                <w:i/>
                <w:color w:val="000000"/>
                <w:szCs w:val="22"/>
              </w:rPr>
            </w:pPr>
            <w:r w:rsidRPr="000127EF">
              <w:rPr>
                <w:rFonts w:cs="Arial"/>
                <w:i/>
                <w:color w:val="000000"/>
                <w:szCs w:val="22"/>
              </w:rPr>
              <w:t>Use of the Section 106 reserves to finance revenue expenditure</w:t>
            </w:r>
          </w:p>
        </w:tc>
        <w:tc>
          <w:tcPr>
            <w:tcW w:w="1302" w:type="dxa"/>
            <w:gridSpan w:val="6"/>
            <w:vAlign w:val="bottom"/>
          </w:tcPr>
          <w:p w14:paraId="0F38E193" w14:textId="5E62E4F7" w:rsidR="00905D6D" w:rsidRPr="00905D6D" w:rsidRDefault="00905D6D" w:rsidP="00905D6D">
            <w:pPr>
              <w:jc w:val="right"/>
              <w:rPr>
                <w:rFonts w:cs="Arial"/>
                <w:i/>
                <w:iCs/>
                <w:color w:val="000000"/>
                <w:szCs w:val="22"/>
              </w:rPr>
            </w:pPr>
            <w:r w:rsidRPr="00905D6D">
              <w:rPr>
                <w:rFonts w:cs="Arial"/>
                <w:i/>
                <w:iCs/>
                <w:szCs w:val="22"/>
              </w:rPr>
              <w:t>49</w:t>
            </w:r>
          </w:p>
        </w:tc>
        <w:tc>
          <w:tcPr>
            <w:tcW w:w="1249" w:type="dxa"/>
            <w:gridSpan w:val="4"/>
            <w:vAlign w:val="bottom"/>
          </w:tcPr>
          <w:p w14:paraId="14328093" w14:textId="1EF28999" w:rsidR="00905D6D" w:rsidRPr="00905D6D" w:rsidRDefault="00905D6D" w:rsidP="00905D6D">
            <w:pPr>
              <w:jc w:val="right"/>
              <w:rPr>
                <w:rFonts w:cs="Arial"/>
                <w:i/>
                <w:iCs/>
                <w:color w:val="000000"/>
                <w:szCs w:val="22"/>
              </w:rPr>
            </w:pPr>
            <w:r w:rsidRPr="00905D6D">
              <w:rPr>
                <w:rFonts w:cs="Arial"/>
                <w:i/>
                <w:iCs/>
                <w:szCs w:val="22"/>
              </w:rPr>
              <w:t>-</w:t>
            </w:r>
          </w:p>
        </w:tc>
        <w:tc>
          <w:tcPr>
            <w:tcW w:w="1274" w:type="dxa"/>
            <w:vAlign w:val="bottom"/>
          </w:tcPr>
          <w:p w14:paraId="707B3568" w14:textId="57085620" w:rsidR="00905D6D" w:rsidRPr="00905D6D" w:rsidRDefault="00905D6D" w:rsidP="00905D6D">
            <w:pPr>
              <w:jc w:val="right"/>
              <w:rPr>
                <w:rFonts w:cs="Arial"/>
                <w:i/>
                <w:iCs/>
                <w:color w:val="000000"/>
                <w:szCs w:val="22"/>
              </w:rPr>
            </w:pPr>
            <w:r w:rsidRPr="00905D6D">
              <w:rPr>
                <w:rFonts w:cs="Arial"/>
                <w:i/>
                <w:iCs/>
                <w:szCs w:val="22"/>
              </w:rPr>
              <w:t>(49)</w:t>
            </w:r>
          </w:p>
        </w:tc>
        <w:tc>
          <w:tcPr>
            <w:tcW w:w="1298" w:type="dxa"/>
            <w:vAlign w:val="bottom"/>
          </w:tcPr>
          <w:p w14:paraId="41BCC4DA" w14:textId="35B0422C" w:rsidR="00905D6D" w:rsidRPr="00905D6D" w:rsidRDefault="00905D6D" w:rsidP="00905D6D">
            <w:pPr>
              <w:jc w:val="right"/>
              <w:rPr>
                <w:rFonts w:cs="Arial"/>
                <w:i/>
                <w:iCs/>
                <w:color w:val="000000"/>
                <w:szCs w:val="22"/>
              </w:rPr>
            </w:pPr>
            <w:r w:rsidRPr="00905D6D">
              <w:rPr>
                <w:rFonts w:cs="Arial"/>
                <w:i/>
                <w:iCs/>
                <w:szCs w:val="22"/>
              </w:rPr>
              <w:t>-</w:t>
            </w:r>
          </w:p>
        </w:tc>
        <w:tc>
          <w:tcPr>
            <w:tcW w:w="1417" w:type="dxa"/>
            <w:vAlign w:val="bottom"/>
          </w:tcPr>
          <w:p w14:paraId="01D8B298" w14:textId="57742E1A" w:rsidR="00905D6D" w:rsidRPr="00905D6D" w:rsidRDefault="00905D6D" w:rsidP="00905D6D">
            <w:pPr>
              <w:jc w:val="right"/>
              <w:rPr>
                <w:rFonts w:cs="Arial"/>
                <w:i/>
                <w:iCs/>
                <w:color w:val="000000"/>
                <w:szCs w:val="22"/>
              </w:rPr>
            </w:pPr>
            <w:r w:rsidRPr="00905D6D">
              <w:rPr>
                <w:rFonts w:cs="Arial"/>
                <w:i/>
                <w:iCs/>
                <w:szCs w:val="22"/>
              </w:rPr>
              <w:t>-</w:t>
            </w:r>
          </w:p>
        </w:tc>
      </w:tr>
      <w:tr w:rsidR="00FE6857" w:rsidRPr="000127EF" w14:paraId="02C00658" w14:textId="77777777" w:rsidTr="004053F1">
        <w:tc>
          <w:tcPr>
            <w:tcW w:w="11023" w:type="dxa"/>
            <w:gridSpan w:val="14"/>
          </w:tcPr>
          <w:p w14:paraId="78A8E758" w14:textId="77777777" w:rsidR="00FE6857" w:rsidRPr="000127EF" w:rsidRDefault="00FE6857" w:rsidP="004053F1">
            <w:pPr>
              <w:rPr>
                <w:b/>
                <w:i/>
                <w:sz w:val="6"/>
                <w:szCs w:val="6"/>
              </w:rPr>
            </w:pPr>
          </w:p>
        </w:tc>
      </w:tr>
      <w:tr w:rsidR="00FE6857" w:rsidRPr="000127EF" w14:paraId="341940B1" w14:textId="77777777" w:rsidTr="004053F1">
        <w:tc>
          <w:tcPr>
            <w:tcW w:w="11023" w:type="dxa"/>
            <w:gridSpan w:val="14"/>
          </w:tcPr>
          <w:p w14:paraId="1BC01CB0" w14:textId="77777777" w:rsidR="00FE6857" w:rsidRPr="000127EF" w:rsidRDefault="00FE6857" w:rsidP="004053F1">
            <w:pPr>
              <w:rPr>
                <w:b/>
                <w:i/>
              </w:rPr>
            </w:pPr>
            <w:r w:rsidRPr="000127EF">
              <w:rPr>
                <w:b/>
                <w:i/>
              </w:rPr>
              <w:t>Adjustment primarily involving the Deferred Capital Receipt Reserve</w:t>
            </w:r>
          </w:p>
        </w:tc>
      </w:tr>
      <w:tr w:rsidR="00FE6857" w:rsidRPr="000127EF" w14:paraId="2F810237" w14:textId="77777777" w:rsidTr="004053F1">
        <w:tc>
          <w:tcPr>
            <w:tcW w:w="4483" w:type="dxa"/>
          </w:tcPr>
          <w:p w14:paraId="47D38BFC" w14:textId="77777777" w:rsidR="00FE6857" w:rsidRPr="000127EF" w:rsidRDefault="00FE6857" w:rsidP="004053F1">
            <w:pPr>
              <w:rPr>
                <w:i/>
              </w:rPr>
            </w:pPr>
            <w:r w:rsidRPr="000127EF">
              <w:rPr>
                <w:i/>
              </w:rPr>
              <w:t>Transfer of deferred sale proceeds credited as part of the gain/loss on disposal to the Comprehensive Income &amp; Expenditure Account</w:t>
            </w:r>
          </w:p>
        </w:tc>
        <w:tc>
          <w:tcPr>
            <w:tcW w:w="1302" w:type="dxa"/>
            <w:gridSpan w:val="6"/>
            <w:vAlign w:val="center"/>
          </w:tcPr>
          <w:p w14:paraId="19AE198B" w14:textId="77777777" w:rsidR="00FE6857" w:rsidRPr="000127EF" w:rsidRDefault="00FE6857" w:rsidP="004053F1">
            <w:pPr>
              <w:jc w:val="right"/>
              <w:rPr>
                <w:i/>
              </w:rPr>
            </w:pPr>
            <w:r w:rsidRPr="000127EF">
              <w:rPr>
                <w:i/>
              </w:rPr>
              <w:t>-</w:t>
            </w:r>
          </w:p>
        </w:tc>
        <w:tc>
          <w:tcPr>
            <w:tcW w:w="1249" w:type="dxa"/>
            <w:gridSpan w:val="4"/>
            <w:vAlign w:val="center"/>
          </w:tcPr>
          <w:p w14:paraId="4716988D" w14:textId="77777777" w:rsidR="00FE6857" w:rsidRPr="000127EF" w:rsidRDefault="00FE6857" w:rsidP="004053F1">
            <w:pPr>
              <w:jc w:val="right"/>
              <w:rPr>
                <w:i/>
              </w:rPr>
            </w:pPr>
            <w:r w:rsidRPr="000127EF">
              <w:rPr>
                <w:i/>
              </w:rPr>
              <w:t>-</w:t>
            </w:r>
          </w:p>
        </w:tc>
        <w:tc>
          <w:tcPr>
            <w:tcW w:w="1274" w:type="dxa"/>
            <w:vAlign w:val="center"/>
          </w:tcPr>
          <w:p w14:paraId="48E735C2" w14:textId="77777777" w:rsidR="00FE6857" w:rsidRPr="000127EF" w:rsidRDefault="00FE6857" w:rsidP="004053F1">
            <w:pPr>
              <w:jc w:val="right"/>
              <w:rPr>
                <w:i/>
              </w:rPr>
            </w:pPr>
            <w:r w:rsidRPr="000127EF">
              <w:rPr>
                <w:i/>
              </w:rPr>
              <w:t>-</w:t>
            </w:r>
          </w:p>
        </w:tc>
        <w:tc>
          <w:tcPr>
            <w:tcW w:w="1298" w:type="dxa"/>
            <w:vAlign w:val="center"/>
          </w:tcPr>
          <w:p w14:paraId="690639D4" w14:textId="77777777" w:rsidR="00FE6857" w:rsidRPr="000127EF" w:rsidRDefault="00FE6857" w:rsidP="004053F1">
            <w:pPr>
              <w:jc w:val="right"/>
              <w:rPr>
                <w:i/>
              </w:rPr>
            </w:pPr>
            <w:r w:rsidRPr="000127EF">
              <w:rPr>
                <w:i/>
              </w:rPr>
              <w:t>-</w:t>
            </w:r>
          </w:p>
        </w:tc>
        <w:tc>
          <w:tcPr>
            <w:tcW w:w="1417" w:type="dxa"/>
            <w:vAlign w:val="center"/>
          </w:tcPr>
          <w:p w14:paraId="2EE55880" w14:textId="77777777" w:rsidR="00FE6857" w:rsidRPr="000127EF" w:rsidRDefault="00FE6857" w:rsidP="004053F1">
            <w:pPr>
              <w:jc w:val="right"/>
              <w:rPr>
                <w:i/>
              </w:rPr>
            </w:pPr>
            <w:r w:rsidRPr="000127EF">
              <w:rPr>
                <w:i/>
              </w:rPr>
              <w:t>-</w:t>
            </w:r>
          </w:p>
        </w:tc>
      </w:tr>
      <w:tr w:rsidR="00FE6857" w:rsidRPr="000127EF" w14:paraId="18276374" w14:textId="77777777" w:rsidTr="004053F1">
        <w:tc>
          <w:tcPr>
            <w:tcW w:w="11023" w:type="dxa"/>
            <w:gridSpan w:val="14"/>
          </w:tcPr>
          <w:p w14:paraId="033EB80C" w14:textId="77777777" w:rsidR="00FE6857" w:rsidRPr="000127EF" w:rsidRDefault="00FE6857" w:rsidP="004053F1">
            <w:pPr>
              <w:rPr>
                <w:b/>
                <w:i/>
                <w:sz w:val="6"/>
                <w:szCs w:val="6"/>
              </w:rPr>
            </w:pPr>
          </w:p>
        </w:tc>
      </w:tr>
      <w:tr w:rsidR="00FE6857" w:rsidRPr="000127EF" w14:paraId="53DDB5F4" w14:textId="77777777" w:rsidTr="004053F1">
        <w:tc>
          <w:tcPr>
            <w:tcW w:w="11023" w:type="dxa"/>
            <w:gridSpan w:val="14"/>
          </w:tcPr>
          <w:p w14:paraId="3A1F0A5F" w14:textId="77777777" w:rsidR="00FE6857" w:rsidRPr="000127EF" w:rsidRDefault="00FE6857" w:rsidP="004053F1">
            <w:pPr>
              <w:rPr>
                <w:b/>
                <w:i/>
              </w:rPr>
            </w:pPr>
            <w:r w:rsidRPr="000127EF">
              <w:rPr>
                <w:b/>
                <w:i/>
              </w:rPr>
              <w:t>Adjustments primarily involving the Oakham North Reserve</w:t>
            </w:r>
          </w:p>
        </w:tc>
      </w:tr>
      <w:tr w:rsidR="00905D6D" w:rsidRPr="000127EF" w14:paraId="62AF4C9E" w14:textId="77777777" w:rsidTr="004053F1">
        <w:tc>
          <w:tcPr>
            <w:tcW w:w="4491" w:type="dxa"/>
            <w:gridSpan w:val="2"/>
          </w:tcPr>
          <w:p w14:paraId="7B9A2A81" w14:textId="77777777" w:rsidR="00905D6D" w:rsidRPr="000127EF" w:rsidRDefault="00905D6D" w:rsidP="00905D6D">
            <w:pPr>
              <w:rPr>
                <w:i/>
              </w:rPr>
            </w:pPr>
            <w:r w:rsidRPr="000127EF">
              <w:rPr>
                <w:i/>
              </w:rPr>
              <w:t>Oakham North contributions unapplied</w:t>
            </w:r>
          </w:p>
        </w:tc>
        <w:tc>
          <w:tcPr>
            <w:tcW w:w="1306" w:type="dxa"/>
            <w:gridSpan w:val="6"/>
          </w:tcPr>
          <w:p w14:paraId="645D8109" w14:textId="3D328C3C" w:rsidR="00905D6D" w:rsidRPr="00905D6D" w:rsidRDefault="00905D6D" w:rsidP="00905D6D">
            <w:pPr>
              <w:jc w:val="right"/>
              <w:rPr>
                <w:i/>
                <w:iCs/>
              </w:rPr>
            </w:pPr>
            <w:r w:rsidRPr="00905D6D">
              <w:rPr>
                <w:i/>
                <w:iCs/>
              </w:rPr>
              <w:t>(371)</w:t>
            </w:r>
          </w:p>
        </w:tc>
        <w:tc>
          <w:tcPr>
            <w:tcW w:w="1237" w:type="dxa"/>
            <w:gridSpan w:val="3"/>
          </w:tcPr>
          <w:p w14:paraId="722C1EF1" w14:textId="00B15569" w:rsidR="00905D6D" w:rsidRPr="00905D6D" w:rsidRDefault="00905D6D" w:rsidP="00905D6D">
            <w:pPr>
              <w:jc w:val="right"/>
              <w:rPr>
                <w:i/>
                <w:iCs/>
              </w:rPr>
            </w:pPr>
            <w:r w:rsidRPr="00905D6D">
              <w:rPr>
                <w:i/>
                <w:iCs/>
              </w:rPr>
              <w:t>-</w:t>
            </w:r>
          </w:p>
        </w:tc>
        <w:tc>
          <w:tcPr>
            <w:tcW w:w="1274" w:type="dxa"/>
          </w:tcPr>
          <w:p w14:paraId="21ABFA3D" w14:textId="0E3D7D75" w:rsidR="00905D6D" w:rsidRPr="00905D6D" w:rsidRDefault="00905D6D" w:rsidP="00905D6D">
            <w:pPr>
              <w:jc w:val="right"/>
              <w:rPr>
                <w:i/>
                <w:iCs/>
              </w:rPr>
            </w:pPr>
            <w:r w:rsidRPr="00905D6D">
              <w:rPr>
                <w:i/>
                <w:iCs/>
              </w:rPr>
              <w:t>371</w:t>
            </w:r>
          </w:p>
        </w:tc>
        <w:tc>
          <w:tcPr>
            <w:tcW w:w="1298" w:type="dxa"/>
          </w:tcPr>
          <w:p w14:paraId="5DABC535" w14:textId="4833D648" w:rsidR="00905D6D" w:rsidRPr="00905D6D" w:rsidRDefault="00905D6D" w:rsidP="00905D6D">
            <w:pPr>
              <w:jc w:val="right"/>
              <w:rPr>
                <w:i/>
                <w:iCs/>
              </w:rPr>
            </w:pPr>
            <w:r w:rsidRPr="00905D6D">
              <w:rPr>
                <w:i/>
                <w:iCs/>
              </w:rPr>
              <w:t>-</w:t>
            </w:r>
          </w:p>
        </w:tc>
        <w:tc>
          <w:tcPr>
            <w:tcW w:w="1417" w:type="dxa"/>
          </w:tcPr>
          <w:p w14:paraId="21B9744C" w14:textId="1697CF32" w:rsidR="00905D6D" w:rsidRPr="00905D6D" w:rsidRDefault="00905D6D" w:rsidP="00905D6D">
            <w:pPr>
              <w:jc w:val="right"/>
              <w:rPr>
                <w:i/>
                <w:iCs/>
              </w:rPr>
            </w:pPr>
            <w:r w:rsidRPr="00905D6D">
              <w:rPr>
                <w:i/>
                <w:iCs/>
              </w:rPr>
              <w:t>-</w:t>
            </w:r>
          </w:p>
        </w:tc>
      </w:tr>
      <w:tr w:rsidR="00FE6857" w:rsidRPr="000127EF" w14:paraId="7FCFF98F" w14:textId="77777777" w:rsidTr="004053F1">
        <w:tc>
          <w:tcPr>
            <w:tcW w:w="11023" w:type="dxa"/>
            <w:gridSpan w:val="14"/>
          </w:tcPr>
          <w:p w14:paraId="7A1B2E66" w14:textId="77777777" w:rsidR="00FE6857" w:rsidRPr="000127EF" w:rsidRDefault="00FE6857" w:rsidP="004053F1">
            <w:pPr>
              <w:rPr>
                <w:b/>
                <w:i/>
                <w:sz w:val="6"/>
                <w:szCs w:val="6"/>
              </w:rPr>
            </w:pPr>
          </w:p>
        </w:tc>
      </w:tr>
      <w:tr w:rsidR="00FE6857" w:rsidRPr="000127EF" w14:paraId="3EF121F3" w14:textId="77777777" w:rsidTr="004053F1">
        <w:tc>
          <w:tcPr>
            <w:tcW w:w="11023" w:type="dxa"/>
            <w:gridSpan w:val="14"/>
          </w:tcPr>
          <w:p w14:paraId="68A5E28D" w14:textId="77777777" w:rsidR="00FE6857" w:rsidRPr="000127EF" w:rsidRDefault="00FE6857" w:rsidP="004053F1">
            <w:pPr>
              <w:rPr>
                <w:b/>
                <w:i/>
              </w:rPr>
            </w:pPr>
            <w:r w:rsidRPr="000127EF">
              <w:rPr>
                <w:b/>
                <w:i/>
              </w:rPr>
              <w:t>Adjustments primarily involving the Financial Instruments Account</w:t>
            </w:r>
          </w:p>
        </w:tc>
      </w:tr>
      <w:tr w:rsidR="00905D6D" w:rsidRPr="000127EF" w14:paraId="6FBF067D" w14:textId="77777777" w:rsidTr="004053F1">
        <w:tc>
          <w:tcPr>
            <w:tcW w:w="4497" w:type="dxa"/>
            <w:gridSpan w:val="3"/>
          </w:tcPr>
          <w:p w14:paraId="43B0423E" w14:textId="77777777" w:rsidR="00905D6D" w:rsidRPr="000127EF" w:rsidRDefault="00905D6D" w:rsidP="00905D6D">
            <w:pPr>
              <w:rPr>
                <w:i/>
              </w:rPr>
            </w:pPr>
            <w:r w:rsidRPr="000127EF">
              <w:rPr>
                <w:i/>
              </w:rPr>
              <w:t>Amount by which finance costs charged to the CIES are different from finance costs in accordance with statutory requirements</w:t>
            </w:r>
          </w:p>
        </w:tc>
        <w:tc>
          <w:tcPr>
            <w:tcW w:w="1300" w:type="dxa"/>
            <w:gridSpan w:val="5"/>
            <w:vAlign w:val="center"/>
          </w:tcPr>
          <w:p w14:paraId="5BEA0BA1" w14:textId="075FA203" w:rsidR="00905D6D" w:rsidRPr="00905D6D" w:rsidRDefault="00905D6D" w:rsidP="00905D6D">
            <w:pPr>
              <w:jc w:val="right"/>
              <w:rPr>
                <w:i/>
                <w:iCs/>
              </w:rPr>
            </w:pPr>
            <w:r w:rsidRPr="00905D6D">
              <w:rPr>
                <w:i/>
                <w:iCs/>
              </w:rPr>
              <w:t>16</w:t>
            </w:r>
          </w:p>
        </w:tc>
        <w:tc>
          <w:tcPr>
            <w:tcW w:w="1237" w:type="dxa"/>
            <w:gridSpan w:val="3"/>
            <w:vAlign w:val="center"/>
          </w:tcPr>
          <w:p w14:paraId="3CCD07CA" w14:textId="282BCA98" w:rsidR="00905D6D" w:rsidRPr="00905D6D" w:rsidRDefault="00905D6D" w:rsidP="00905D6D">
            <w:pPr>
              <w:jc w:val="right"/>
              <w:rPr>
                <w:i/>
                <w:iCs/>
              </w:rPr>
            </w:pPr>
            <w:r w:rsidRPr="00905D6D">
              <w:rPr>
                <w:i/>
                <w:iCs/>
              </w:rPr>
              <w:t>-</w:t>
            </w:r>
          </w:p>
        </w:tc>
        <w:tc>
          <w:tcPr>
            <w:tcW w:w="1274" w:type="dxa"/>
            <w:vAlign w:val="center"/>
          </w:tcPr>
          <w:p w14:paraId="20B0A43B" w14:textId="55252B39" w:rsidR="00905D6D" w:rsidRPr="00905D6D" w:rsidRDefault="00905D6D" w:rsidP="00905D6D">
            <w:pPr>
              <w:jc w:val="right"/>
              <w:rPr>
                <w:i/>
                <w:iCs/>
              </w:rPr>
            </w:pPr>
            <w:r w:rsidRPr="00905D6D">
              <w:rPr>
                <w:i/>
                <w:iCs/>
              </w:rPr>
              <w:t>-</w:t>
            </w:r>
          </w:p>
        </w:tc>
        <w:tc>
          <w:tcPr>
            <w:tcW w:w="1298" w:type="dxa"/>
            <w:vAlign w:val="center"/>
          </w:tcPr>
          <w:p w14:paraId="339928BA" w14:textId="01EE7E08" w:rsidR="00905D6D" w:rsidRPr="00905D6D" w:rsidRDefault="00905D6D" w:rsidP="00905D6D">
            <w:pPr>
              <w:jc w:val="right"/>
              <w:rPr>
                <w:i/>
                <w:iCs/>
              </w:rPr>
            </w:pPr>
            <w:r w:rsidRPr="00905D6D">
              <w:rPr>
                <w:i/>
                <w:iCs/>
              </w:rPr>
              <w:t>-</w:t>
            </w:r>
          </w:p>
        </w:tc>
        <w:tc>
          <w:tcPr>
            <w:tcW w:w="1417" w:type="dxa"/>
            <w:vAlign w:val="center"/>
          </w:tcPr>
          <w:p w14:paraId="15BC3161" w14:textId="17A18824" w:rsidR="00905D6D" w:rsidRPr="00905D6D" w:rsidRDefault="00905D6D" w:rsidP="00905D6D">
            <w:pPr>
              <w:jc w:val="right"/>
              <w:rPr>
                <w:i/>
                <w:iCs/>
              </w:rPr>
            </w:pPr>
            <w:r w:rsidRPr="00905D6D">
              <w:rPr>
                <w:i/>
                <w:iCs/>
              </w:rPr>
              <w:t>(16)</w:t>
            </w:r>
          </w:p>
        </w:tc>
      </w:tr>
      <w:tr w:rsidR="00FE6857" w:rsidRPr="000127EF" w14:paraId="69B47F55" w14:textId="77777777" w:rsidTr="004053F1">
        <w:tc>
          <w:tcPr>
            <w:tcW w:w="11023" w:type="dxa"/>
            <w:gridSpan w:val="14"/>
            <w:vAlign w:val="bottom"/>
          </w:tcPr>
          <w:p w14:paraId="0E68E8B7" w14:textId="77777777" w:rsidR="00FE6857" w:rsidRPr="000127EF" w:rsidRDefault="00FE6857" w:rsidP="004053F1">
            <w:pPr>
              <w:rPr>
                <w:i/>
                <w:sz w:val="6"/>
                <w:szCs w:val="6"/>
              </w:rPr>
            </w:pPr>
          </w:p>
        </w:tc>
      </w:tr>
      <w:tr w:rsidR="00FE6857" w:rsidRPr="000127EF" w14:paraId="43D61B20" w14:textId="77777777" w:rsidTr="004053F1">
        <w:tc>
          <w:tcPr>
            <w:tcW w:w="11023" w:type="dxa"/>
            <w:gridSpan w:val="14"/>
          </w:tcPr>
          <w:p w14:paraId="4C85CB53" w14:textId="77777777" w:rsidR="00FE6857" w:rsidRPr="000127EF" w:rsidRDefault="00FE6857" w:rsidP="004053F1">
            <w:pPr>
              <w:rPr>
                <w:b/>
                <w:i/>
              </w:rPr>
            </w:pPr>
            <w:r w:rsidRPr="000127EF">
              <w:rPr>
                <w:b/>
                <w:i/>
              </w:rPr>
              <w:t>Adjustment primarily involving the Pension Reserve</w:t>
            </w:r>
          </w:p>
        </w:tc>
      </w:tr>
      <w:tr w:rsidR="00905D6D" w:rsidRPr="000127EF" w14:paraId="1916C3A3" w14:textId="77777777" w:rsidTr="004053F1">
        <w:tc>
          <w:tcPr>
            <w:tcW w:w="4506" w:type="dxa"/>
            <w:gridSpan w:val="4"/>
          </w:tcPr>
          <w:p w14:paraId="07DB6AA7" w14:textId="77777777" w:rsidR="00905D6D" w:rsidRPr="000127EF" w:rsidRDefault="00905D6D" w:rsidP="00905D6D">
            <w:pPr>
              <w:rPr>
                <w:i/>
              </w:rPr>
            </w:pPr>
            <w:r w:rsidRPr="000127EF">
              <w:rPr>
                <w:i/>
              </w:rPr>
              <w:lastRenderedPageBreak/>
              <w:t>Reversal of items relating to retirement benefits debited or credited to the CIES</w:t>
            </w:r>
          </w:p>
        </w:tc>
        <w:tc>
          <w:tcPr>
            <w:tcW w:w="1301" w:type="dxa"/>
            <w:gridSpan w:val="5"/>
            <w:vAlign w:val="center"/>
          </w:tcPr>
          <w:p w14:paraId="07973BD9" w14:textId="747DB0DB" w:rsidR="00905D6D" w:rsidRPr="00905D6D" w:rsidRDefault="00905D6D" w:rsidP="00905D6D">
            <w:pPr>
              <w:jc w:val="right"/>
              <w:rPr>
                <w:i/>
                <w:iCs/>
              </w:rPr>
            </w:pPr>
            <w:r w:rsidRPr="00905D6D">
              <w:rPr>
                <w:i/>
                <w:iCs/>
              </w:rPr>
              <w:t>(2,422)</w:t>
            </w:r>
          </w:p>
        </w:tc>
        <w:tc>
          <w:tcPr>
            <w:tcW w:w="1227" w:type="dxa"/>
            <w:gridSpan w:val="2"/>
            <w:vAlign w:val="center"/>
          </w:tcPr>
          <w:p w14:paraId="4FDFA9A1" w14:textId="5965C84F" w:rsidR="00905D6D" w:rsidRPr="00905D6D" w:rsidRDefault="00905D6D" w:rsidP="00905D6D">
            <w:pPr>
              <w:jc w:val="right"/>
              <w:rPr>
                <w:i/>
                <w:iCs/>
              </w:rPr>
            </w:pPr>
            <w:r w:rsidRPr="00905D6D">
              <w:rPr>
                <w:i/>
                <w:iCs/>
              </w:rPr>
              <w:t>-</w:t>
            </w:r>
          </w:p>
        </w:tc>
        <w:tc>
          <w:tcPr>
            <w:tcW w:w="1274" w:type="dxa"/>
            <w:vAlign w:val="center"/>
          </w:tcPr>
          <w:p w14:paraId="527B6F5C" w14:textId="2A279F2E" w:rsidR="00905D6D" w:rsidRPr="00905D6D" w:rsidRDefault="00905D6D" w:rsidP="00905D6D">
            <w:pPr>
              <w:jc w:val="right"/>
              <w:rPr>
                <w:i/>
                <w:iCs/>
              </w:rPr>
            </w:pPr>
            <w:r w:rsidRPr="00905D6D">
              <w:rPr>
                <w:i/>
                <w:iCs/>
              </w:rPr>
              <w:t>-</w:t>
            </w:r>
          </w:p>
        </w:tc>
        <w:tc>
          <w:tcPr>
            <w:tcW w:w="1298" w:type="dxa"/>
            <w:vAlign w:val="center"/>
          </w:tcPr>
          <w:p w14:paraId="646C0F83" w14:textId="54E4EABD" w:rsidR="00905D6D" w:rsidRPr="00905D6D" w:rsidRDefault="00905D6D" w:rsidP="00905D6D">
            <w:pPr>
              <w:jc w:val="right"/>
              <w:rPr>
                <w:i/>
                <w:iCs/>
              </w:rPr>
            </w:pPr>
            <w:r w:rsidRPr="00905D6D">
              <w:rPr>
                <w:i/>
                <w:iCs/>
              </w:rPr>
              <w:t>-</w:t>
            </w:r>
          </w:p>
        </w:tc>
        <w:tc>
          <w:tcPr>
            <w:tcW w:w="1417" w:type="dxa"/>
            <w:vAlign w:val="center"/>
          </w:tcPr>
          <w:p w14:paraId="209BEE6E" w14:textId="53545F18" w:rsidR="00905D6D" w:rsidRPr="00905D6D" w:rsidRDefault="00905D6D" w:rsidP="00905D6D">
            <w:pPr>
              <w:jc w:val="right"/>
              <w:rPr>
                <w:i/>
                <w:iCs/>
              </w:rPr>
            </w:pPr>
            <w:r w:rsidRPr="00905D6D">
              <w:rPr>
                <w:i/>
                <w:iCs/>
              </w:rPr>
              <w:t>2,422</w:t>
            </w:r>
          </w:p>
        </w:tc>
      </w:tr>
      <w:tr w:rsidR="00905D6D" w:rsidRPr="000127EF" w14:paraId="3AD2D7CF" w14:textId="77777777" w:rsidTr="004053F1">
        <w:tc>
          <w:tcPr>
            <w:tcW w:w="4506" w:type="dxa"/>
            <w:gridSpan w:val="4"/>
          </w:tcPr>
          <w:p w14:paraId="195BF73E" w14:textId="77777777" w:rsidR="00905D6D" w:rsidRPr="000127EF" w:rsidRDefault="00905D6D" w:rsidP="00905D6D">
            <w:pPr>
              <w:rPr>
                <w:i/>
              </w:rPr>
            </w:pPr>
            <w:r w:rsidRPr="000127EF">
              <w:rPr>
                <w:i/>
              </w:rPr>
              <w:t>Employer’s pension contributions and direct payments to pensioners payable in the year</w:t>
            </w:r>
          </w:p>
        </w:tc>
        <w:tc>
          <w:tcPr>
            <w:tcW w:w="1301" w:type="dxa"/>
            <w:gridSpan w:val="5"/>
            <w:vAlign w:val="center"/>
          </w:tcPr>
          <w:p w14:paraId="7828D3BF" w14:textId="7BB965FA" w:rsidR="00905D6D" w:rsidRPr="00905D6D" w:rsidRDefault="00905D6D" w:rsidP="00905D6D">
            <w:pPr>
              <w:jc w:val="right"/>
              <w:rPr>
                <w:i/>
                <w:iCs/>
              </w:rPr>
            </w:pPr>
            <w:r w:rsidRPr="00905D6D">
              <w:rPr>
                <w:i/>
                <w:iCs/>
              </w:rPr>
              <w:t>4,751</w:t>
            </w:r>
          </w:p>
        </w:tc>
        <w:tc>
          <w:tcPr>
            <w:tcW w:w="1227" w:type="dxa"/>
            <w:gridSpan w:val="2"/>
            <w:vAlign w:val="center"/>
          </w:tcPr>
          <w:p w14:paraId="51503880" w14:textId="585F493D" w:rsidR="00905D6D" w:rsidRPr="00905D6D" w:rsidRDefault="00905D6D" w:rsidP="00905D6D">
            <w:pPr>
              <w:jc w:val="right"/>
              <w:rPr>
                <w:i/>
                <w:iCs/>
              </w:rPr>
            </w:pPr>
            <w:r w:rsidRPr="00905D6D">
              <w:rPr>
                <w:i/>
                <w:iCs/>
              </w:rPr>
              <w:t>-</w:t>
            </w:r>
          </w:p>
        </w:tc>
        <w:tc>
          <w:tcPr>
            <w:tcW w:w="1274" w:type="dxa"/>
            <w:vAlign w:val="center"/>
          </w:tcPr>
          <w:p w14:paraId="0D9478EB" w14:textId="67E68F02" w:rsidR="00905D6D" w:rsidRPr="00905D6D" w:rsidRDefault="00905D6D" w:rsidP="00905D6D">
            <w:pPr>
              <w:jc w:val="right"/>
              <w:rPr>
                <w:i/>
                <w:iCs/>
              </w:rPr>
            </w:pPr>
            <w:r w:rsidRPr="00905D6D">
              <w:rPr>
                <w:i/>
                <w:iCs/>
              </w:rPr>
              <w:t>-</w:t>
            </w:r>
          </w:p>
        </w:tc>
        <w:tc>
          <w:tcPr>
            <w:tcW w:w="1298" w:type="dxa"/>
            <w:vAlign w:val="center"/>
          </w:tcPr>
          <w:p w14:paraId="13EF90DD" w14:textId="609970AA" w:rsidR="00905D6D" w:rsidRPr="00905D6D" w:rsidRDefault="00905D6D" w:rsidP="00905D6D">
            <w:pPr>
              <w:jc w:val="right"/>
              <w:rPr>
                <w:i/>
                <w:iCs/>
              </w:rPr>
            </w:pPr>
            <w:r w:rsidRPr="00905D6D">
              <w:rPr>
                <w:i/>
                <w:iCs/>
              </w:rPr>
              <w:t>-</w:t>
            </w:r>
          </w:p>
        </w:tc>
        <w:tc>
          <w:tcPr>
            <w:tcW w:w="1417" w:type="dxa"/>
            <w:vAlign w:val="center"/>
          </w:tcPr>
          <w:p w14:paraId="68951851" w14:textId="594B6D96" w:rsidR="00905D6D" w:rsidRPr="00905D6D" w:rsidRDefault="00905D6D" w:rsidP="00905D6D">
            <w:pPr>
              <w:jc w:val="right"/>
              <w:rPr>
                <w:i/>
                <w:iCs/>
              </w:rPr>
            </w:pPr>
            <w:r w:rsidRPr="00905D6D">
              <w:rPr>
                <w:i/>
                <w:iCs/>
              </w:rPr>
              <w:t>(4,751)</w:t>
            </w:r>
          </w:p>
        </w:tc>
      </w:tr>
      <w:tr w:rsidR="00FE6857" w:rsidRPr="000127EF" w14:paraId="3BA0C2DC" w14:textId="77777777" w:rsidTr="004053F1">
        <w:tc>
          <w:tcPr>
            <w:tcW w:w="11023" w:type="dxa"/>
            <w:gridSpan w:val="14"/>
            <w:vAlign w:val="center"/>
          </w:tcPr>
          <w:p w14:paraId="45ADE7C1" w14:textId="77777777" w:rsidR="00FE6857" w:rsidRPr="000127EF" w:rsidRDefault="00FE6857" w:rsidP="004053F1">
            <w:pPr>
              <w:rPr>
                <w:i/>
                <w:sz w:val="12"/>
                <w:szCs w:val="12"/>
              </w:rPr>
            </w:pPr>
          </w:p>
        </w:tc>
      </w:tr>
      <w:tr w:rsidR="00FE6857" w:rsidRPr="000127EF" w14:paraId="076C7C53" w14:textId="77777777" w:rsidTr="004053F1">
        <w:tc>
          <w:tcPr>
            <w:tcW w:w="11023" w:type="dxa"/>
            <w:gridSpan w:val="14"/>
          </w:tcPr>
          <w:p w14:paraId="21605368" w14:textId="77777777" w:rsidR="00FE6857" w:rsidRPr="000127EF" w:rsidRDefault="00FE6857" w:rsidP="004053F1">
            <w:pPr>
              <w:rPr>
                <w:b/>
                <w:i/>
              </w:rPr>
            </w:pPr>
            <w:r w:rsidRPr="000127EF">
              <w:rPr>
                <w:b/>
                <w:i/>
              </w:rPr>
              <w:t>Adjustments primarily involving the Collection Fund Adjustment Account</w:t>
            </w:r>
          </w:p>
        </w:tc>
      </w:tr>
      <w:tr w:rsidR="00905D6D" w:rsidRPr="000127EF" w14:paraId="54558197" w14:textId="77777777" w:rsidTr="004053F1">
        <w:tc>
          <w:tcPr>
            <w:tcW w:w="4506" w:type="dxa"/>
            <w:gridSpan w:val="4"/>
          </w:tcPr>
          <w:p w14:paraId="67EA30D3" w14:textId="77777777" w:rsidR="00905D6D" w:rsidRPr="000127EF" w:rsidRDefault="00905D6D" w:rsidP="00905D6D">
            <w:pPr>
              <w:rPr>
                <w:i/>
              </w:rPr>
            </w:pPr>
            <w:r w:rsidRPr="000127EF">
              <w:rPr>
                <w:i/>
              </w:rPr>
              <w:t>Amount by which council tax income is different from income calculated in accordance with statutory requirements</w:t>
            </w:r>
          </w:p>
        </w:tc>
        <w:tc>
          <w:tcPr>
            <w:tcW w:w="1301" w:type="dxa"/>
            <w:gridSpan w:val="5"/>
            <w:vAlign w:val="center"/>
          </w:tcPr>
          <w:p w14:paraId="1E600318" w14:textId="4122CBFE" w:rsidR="00905D6D" w:rsidRPr="00905D6D" w:rsidRDefault="00905D6D" w:rsidP="00905D6D">
            <w:pPr>
              <w:jc w:val="right"/>
              <w:rPr>
                <w:i/>
                <w:iCs/>
              </w:rPr>
            </w:pPr>
            <w:r w:rsidRPr="00905D6D">
              <w:rPr>
                <w:i/>
                <w:iCs/>
              </w:rPr>
              <w:t>(432)</w:t>
            </w:r>
          </w:p>
        </w:tc>
        <w:tc>
          <w:tcPr>
            <w:tcW w:w="1227" w:type="dxa"/>
            <w:gridSpan w:val="2"/>
            <w:vAlign w:val="center"/>
          </w:tcPr>
          <w:p w14:paraId="64636D88" w14:textId="541AD39A" w:rsidR="00905D6D" w:rsidRPr="00905D6D" w:rsidRDefault="00905D6D" w:rsidP="00905D6D">
            <w:pPr>
              <w:jc w:val="right"/>
              <w:rPr>
                <w:i/>
                <w:iCs/>
              </w:rPr>
            </w:pPr>
            <w:r w:rsidRPr="00905D6D">
              <w:rPr>
                <w:i/>
                <w:iCs/>
              </w:rPr>
              <w:t>-</w:t>
            </w:r>
          </w:p>
        </w:tc>
        <w:tc>
          <w:tcPr>
            <w:tcW w:w="1274" w:type="dxa"/>
            <w:vAlign w:val="center"/>
          </w:tcPr>
          <w:p w14:paraId="556DF4FD" w14:textId="13EB8A47" w:rsidR="00905D6D" w:rsidRPr="00905D6D" w:rsidRDefault="00905D6D" w:rsidP="00905D6D">
            <w:pPr>
              <w:jc w:val="right"/>
              <w:rPr>
                <w:i/>
                <w:iCs/>
              </w:rPr>
            </w:pPr>
            <w:r w:rsidRPr="00905D6D">
              <w:rPr>
                <w:i/>
                <w:iCs/>
              </w:rPr>
              <w:t>-</w:t>
            </w:r>
          </w:p>
        </w:tc>
        <w:tc>
          <w:tcPr>
            <w:tcW w:w="1298" w:type="dxa"/>
            <w:vAlign w:val="center"/>
          </w:tcPr>
          <w:p w14:paraId="765C6E0A" w14:textId="66E2EE08" w:rsidR="00905D6D" w:rsidRPr="00905D6D" w:rsidRDefault="00905D6D" w:rsidP="00905D6D">
            <w:pPr>
              <w:jc w:val="right"/>
              <w:rPr>
                <w:i/>
                <w:iCs/>
              </w:rPr>
            </w:pPr>
            <w:r w:rsidRPr="00905D6D">
              <w:rPr>
                <w:i/>
                <w:iCs/>
              </w:rPr>
              <w:t>-</w:t>
            </w:r>
          </w:p>
        </w:tc>
        <w:tc>
          <w:tcPr>
            <w:tcW w:w="1417" w:type="dxa"/>
            <w:vAlign w:val="center"/>
          </w:tcPr>
          <w:p w14:paraId="52F6778F" w14:textId="6BF10866" w:rsidR="00905D6D" w:rsidRPr="00905D6D" w:rsidRDefault="00905D6D" w:rsidP="00905D6D">
            <w:pPr>
              <w:jc w:val="right"/>
              <w:rPr>
                <w:i/>
                <w:iCs/>
              </w:rPr>
            </w:pPr>
            <w:r w:rsidRPr="00905D6D">
              <w:rPr>
                <w:i/>
                <w:iCs/>
              </w:rPr>
              <w:t>432</w:t>
            </w:r>
          </w:p>
        </w:tc>
      </w:tr>
      <w:tr w:rsidR="00FE6857" w:rsidRPr="000127EF" w14:paraId="50D6C139" w14:textId="77777777" w:rsidTr="004053F1">
        <w:tc>
          <w:tcPr>
            <w:tcW w:w="11023" w:type="dxa"/>
            <w:gridSpan w:val="14"/>
            <w:vAlign w:val="center"/>
          </w:tcPr>
          <w:p w14:paraId="6F59531F" w14:textId="77777777" w:rsidR="00FE6857" w:rsidRPr="000127EF" w:rsidRDefault="00FE6857" w:rsidP="004053F1">
            <w:pPr>
              <w:rPr>
                <w:i/>
                <w:sz w:val="12"/>
                <w:szCs w:val="12"/>
              </w:rPr>
            </w:pPr>
          </w:p>
        </w:tc>
      </w:tr>
      <w:tr w:rsidR="00FE6857" w:rsidRPr="000127EF" w14:paraId="25F8C595" w14:textId="77777777" w:rsidTr="004053F1">
        <w:tc>
          <w:tcPr>
            <w:tcW w:w="11023" w:type="dxa"/>
            <w:gridSpan w:val="14"/>
          </w:tcPr>
          <w:p w14:paraId="59BF9660" w14:textId="77777777" w:rsidR="00FE6857" w:rsidRPr="000127EF" w:rsidRDefault="00FE6857" w:rsidP="004053F1">
            <w:pPr>
              <w:rPr>
                <w:b/>
                <w:i/>
              </w:rPr>
            </w:pPr>
            <w:r w:rsidRPr="000127EF">
              <w:rPr>
                <w:b/>
                <w:i/>
              </w:rPr>
              <w:t>Adjustments primarily involving the Accumulated Absences Account</w:t>
            </w:r>
          </w:p>
        </w:tc>
      </w:tr>
      <w:tr w:rsidR="00905D6D" w:rsidRPr="000127EF" w14:paraId="6756E944" w14:textId="77777777" w:rsidTr="004053F1">
        <w:tc>
          <w:tcPr>
            <w:tcW w:w="4513" w:type="dxa"/>
            <w:gridSpan w:val="5"/>
          </w:tcPr>
          <w:p w14:paraId="53C09D66" w14:textId="77777777" w:rsidR="00905D6D" w:rsidRPr="000127EF" w:rsidRDefault="00905D6D" w:rsidP="00905D6D">
            <w:pPr>
              <w:rPr>
                <w:i/>
              </w:rPr>
            </w:pPr>
            <w:r w:rsidRPr="000127EF">
              <w:rPr>
                <w:i/>
              </w:rPr>
              <w:t>Amount by which remuneration charged to the CIES on an accruals basis is different from remuneration chargeable in the year in accordance with statutory requirements</w:t>
            </w:r>
          </w:p>
        </w:tc>
        <w:tc>
          <w:tcPr>
            <w:tcW w:w="1301" w:type="dxa"/>
            <w:gridSpan w:val="5"/>
            <w:vAlign w:val="center"/>
          </w:tcPr>
          <w:p w14:paraId="1F633BB5" w14:textId="3AA8AA4C" w:rsidR="00905D6D" w:rsidRPr="00905D6D" w:rsidRDefault="00905D6D" w:rsidP="00905D6D">
            <w:pPr>
              <w:tabs>
                <w:tab w:val="left" w:pos="1088"/>
              </w:tabs>
              <w:jc w:val="right"/>
              <w:rPr>
                <w:i/>
                <w:iCs/>
              </w:rPr>
            </w:pPr>
            <w:r w:rsidRPr="00905D6D">
              <w:rPr>
                <w:i/>
                <w:iCs/>
              </w:rPr>
              <w:t>(96)</w:t>
            </w:r>
          </w:p>
        </w:tc>
        <w:tc>
          <w:tcPr>
            <w:tcW w:w="1220" w:type="dxa"/>
            <w:vAlign w:val="center"/>
          </w:tcPr>
          <w:p w14:paraId="3CF64693" w14:textId="73320FBE" w:rsidR="00905D6D" w:rsidRPr="00905D6D" w:rsidRDefault="00905D6D" w:rsidP="00905D6D">
            <w:pPr>
              <w:tabs>
                <w:tab w:val="left" w:pos="1088"/>
              </w:tabs>
              <w:ind w:right="215"/>
              <w:jc w:val="right"/>
              <w:rPr>
                <w:i/>
                <w:iCs/>
              </w:rPr>
            </w:pPr>
            <w:r w:rsidRPr="00905D6D">
              <w:rPr>
                <w:i/>
                <w:iCs/>
              </w:rPr>
              <w:t>-</w:t>
            </w:r>
          </w:p>
        </w:tc>
        <w:tc>
          <w:tcPr>
            <w:tcW w:w="1274" w:type="dxa"/>
            <w:vAlign w:val="center"/>
          </w:tcPr>
          <w:p w14:paraId="4EFE5B9B" w14:textId="39663FDA" w:rsidR="00905D6D" w:rsidRPr="00905D6D" w:rsidRDefault="00905D6D" w:rsidP="00905D6D">
            <w:pPr>
              <w:tabs>
                <w:tab w:val="left" w:pos="1088"/>
              </w:tabs>
              <w:ind w:right="175"/>
              <w:jc w:val="right"/>
              <w:rPr>
                <w:i/>
                <w:iCs/>
              </w:rPr>
            </w:pPr>
            <w:r w:rsidRPr="00905D6D">
              <w:rPr>
                <w:i/>
                <w:iCs/>
              </w:rPr>
              <w:t>-</w:t>
            </w:r>
          </w:p>
        </w:tc>
        <w:tc>
          <w:tcPr>
            <w:tcW w:w="1298" w:type="dxa"/>
            <w:vAlign w:val="center"/>
          </w:tcPr>
          <w:p w14:paraId="0F0D19DC" w14:textId="4B4B1100" w:rsidR="00905D6D" w:rsidRPr="00905D6D" w:rsidRDefault="00905D6D" w:rsidP="00905D6D">
            <w:pPr>
              <w:tabs>
                <w:tab w:val="left" w:pos="1088"/>
              </w:tabs>
              <w:ind w:right="175"/>
              <w:jc w:val="right"/>
              <w:rPr>
                <w:i/>
                <w:iCs/>
              </w:rPr>
            </w:pPr>
            <w:r w:rsidRPr="00905D6D">
              <w:rPr>
                <w:i/>
                <w:iCs/>
              </w:rPr>
              <w:t>-</w:t>
            </w:r>
          </w:p>
        </w:tc>
        <w:tc>
          <w:tcPr>
            <w:tcW w:w="1417" w:type="dxa"/>
            <w:vAlign w:val="center"/>
          </w:tcPr>
          <w:p w14:paraId="04A5CA84" w14:textId="11B5FED2" w:rsidR="00905D6D" w:rsidRPr="00905D6D" w:rsidRDefault="00905D6D" w:rsidP="00905D6D">
            <w:pPr>
              <w:tabs>
                <w:tab w:val="left" w:pos="1088"/>
              </w:tabs>
              <w:jc w:val="right"/>
              <w:rPr>
                <w:i/>
                <w:iCs/>
              </w:rPr>
            </w:pPr>
            <w:r w:rsidRPr="00905D6D">
              <w:rPr>
                <w:i/>
                <w:iCs/>
              </w:rPr>
              <w:t>96</w:t>
            </w:r>
          </w:p>
        </w:tc>
      </w:tr>
      <w:tr w:rsidR="00FE6857" w:rsidRPr="000127EF" w14:paraId="0509F8F8" w14:textId="77777777" w:rsidTr="004053F1">
        <w:tc>
          <w:tcPr>
            <w:tcW w:w="11023" w:type="dxa"/>
            <w:gridSpan w:val="14"/>
            <w:vAlign w:val="center"/>
          </w:tcPr>
          <w:p w14:paraId="0C3FC234" w14:textId="77777777" w:rsidR="00FE6857" w:rsidRPr="000127EF" w:rsidRDefault="00FE6857" w:rsidP="004053F1">
            <w:pPr>
              <w:rPr>
                <w:i/>
                <w:sz w:val="12"/>
                <w:szCs w:val="12"/>
              </w:rPr>
            </w:pPr>
          </w:p>
        </w:tc>
      </w:tr>
      <w:tr w:rsidR="00905D6D" w:rsidRPr="000127EF" w14:paraId="5B2A6EC7" w14:textId="77777777" w:rsidTr="004053F1">
        <w:tc>
          <w:tcPr>
            <w:tcW w:w="4513" w:type="dxa"/>
            <w:gridSpan w:val="5"/>
          </w:tcPr>
          <w:p w14:paraId="6AA0FEC9" w14:textId="77777777" w:rsidR="00905D6D" w:rsidRPr="000127EF" w:rsidRDefault="00905D6D" w:rsidP="00905D6D">
            <w:pPr>
              <w:rPr>
                <w:b/>
                <w:i/>
              </w:rPr>
            </w:pPr>
            <w:r w:rsidRPr="000127EF">
              <w:rPr>
                <w:b/>
                <w:i/>
              </w:rPr>
              <w:t>Total Adjustments</w:t>
            </w:r>
          </w:p>
        </w:tc>
        <w:tc>
          <w:tcPr>
            <w:tcW w:w="1301" w:type="dxa"/>
            <w:gridSpan w:val="5"/>
            <w:vAlign w:val="center"/>
          </w:tcPr>
          <w:p w14:paraId="3D5B43CE" w14:textId="650C314C" w:rsidR="00905D6D" w:rsidRPr="00905D6D" w:rsidRDefault="00905D6D" w:rsidP="00905D6D">
            <w:pPr>
              <w:jc w:val="right"/>
              <w:rPr>
                <w:b/>
                <w:i/>
                <w:iCs/>
              </w:rPr>
            </w:pPr>
            <w:r w:rsidRPr="00905D6D">
              <w:rPr>
                <w:b/>
                <w:i/>
                <w:iCs/>
              </w:rPr>
              <w:t>3,195</w:t>
            </w:r>
          </w:p>
        </w:tc>
        <w:tc>
          <w:tcPr>
            <w:tcW w:w="1220" w:type="dxa"/>
            <w:vAlign w:val="center"/>
          </w:tcPr>
          <w:p w14:paraId="7145070E" w14:textId="74D8CB7E" w:rsidR="00905D6D" w:rsidRPr="00905D6D" w:rsidRDefault="00905D6D" w:rsidP="00905D6D">
            <w:pPr>
              <w:jc w:val="right"/>
              <w:rPr>
                <w:b/>
                <w:i/>
                <w:iCs/>
              </w:rPr>
            </w:pPr>
            <w:r w:rsidRPr="00905D6D">
              <w:rPr>
                <w:b/>
                <w:i/>
                <w:iCs/>
              </w:rPr>
              <w:t>95</w:t>
            </w:r>
          </w:p>
        </w:tc>
        <w:tc>
          <w:tcPr>
            <w:tcW w:w="1274" w:type="dxa"/>
            <w:vAlign w:val="center"/>
          </w:tcPr>
          <w:p w14:paraId="002CA065" w14:textId="72FB604A" w:rsidR="00905D6D" w:rsidRPr="00905D6D" w:rsidRDefault="00905D6D" w:rsidP="00905D6D">
            <w:pPr>
              <w:jc w:val="right"/>
              <w:rPr>
                <w:b/>
                <w:i/>
                <w:iCs/>
              </w:rPr>
            </w:pPr>
            <w:r w:rsidRPr="00905D6D">
              <w:rPr>
                <w:b/>
                <w:i/>
                <w:iCs/>
              </w:rPr>
              <w:t>1,250</w:t>
            </w:r>
          </w:p>
        </w:tc>
        <w:tc>
          <w:tcPr>
            <w:tcW w:w="1298" w:type="dxa"/>
            <w:vAlign w:val="center"/>
          </w:tcPr>
          <w:p w14:paraId="4B12035B" w14:textId="7F6B277F" w:rsidR="00905D6D" w:rsidRPr="00905D6D" w:rsidRDefault="00905D6D" w:rsidP="00905D6D">
            <w:pPr>
              <w:jc w:val="right"/>
              <w:rPr>
                <w:b/>
                <w:i/>
                <w:iCs/>
              </w:rPr>
            </w:pPr>
            <w:r w:rsidRPr="00905D6D">
              <w:rPr>
                <w:b/>
                <w:i/>
                <w:iCs/>
              </w:rPr>
              <w:t>321</w:t>
            </w:r>
          </w:p>
        </w:tc>
        <w:tc>
          <w:tcPr>
            <w:tcW w:w="1417" w:type="dxa"/>
            <w:vAlign w:val="center"/>
          </w:tcPr>
          <w:p w14:paraId="0D178A89" w14:textId="7799F9C2" w:rsidR="00905D6D" w:rsidRPr="00905D6D" w:rsidRDefault="00905D6D" w:rsidP="00905D6D">
            <w:pPr>
              <w:jc w:val="right"/>
              <w:rPr>
                <w:b/>
                <w:i/>
                <w:iCs/>
              </w:rPr>
            </w:pPr>
            <w:r w:rsidRPr="00905D6D">
              <w:rPr>
                <w:b/>
                <w:i/>
                <w:iCs/>
              </w:rPr>
              <w:t>(4,861)</w:t>
            </w:r>
          </w:p>
        </w:tc>
      </w:tr>
      <w:tr w:rsidR="00FE6857" w:rsidRPr="000127EF" w14:paraId="6D59B46F" w14:textId="77777777" w:rsidTr="004053F1">
        <w:trPr>
          <w:trHeight w:hRule="exact" w:val="142"/>
        </w:trPr>
        <w:tc>
          <w:tcPr>
            <w:tcW w:w="11023" w:type="dxa"/>
            <w:gridSpan w:val="14"/>
          </w:tcPr>
          <w:p w14:paraId="05E8AD4D" w14:textId="77777777" w:rsidR="00FE6857" w:rsidRPr="000127EF" w:rsidRDefault="00FE6857" w:rsidP="004053F1">
            <w:pPr>
              <w:rPr>
                <w:sz w:val="12"/>
                <w:szCs w:val="12"/>
              </w:rPr>
            </w:pPr>
          </w:p>
          <w:p w14:paraId="4A4D10C1" w14:textId="77777777" w:rsidR="00FE6857" w:rsidRPr="000127EF" w:rsidRDefault="00FE6857" w:rsidP="004053F1">
            <w:pPr>
              <w:rPr>
                <w:sz w:val="12"/>
                <w:szCs w:val="12"/>
              </w:rPr>
            </w:pPr>
          </w:p>
          <w:p w14:paraId="09889548" w14:textId="77777777" w:rsidR="00FE6857" w:rsidRPr="000127EF" w:rsidRDefault="00FE6857" w:rsidP="004053F1">
            <w:pPr>
              <w:rPr>
                <w:sz w:val="12"/>
                <w:szCs w:val="12"/>
              </w:rPr>
            </w:pPr>
          </w:p>
          <w:p w14:paraId="57D3A47A" w14:textId="77777777" w:rsidR="00FE6857" w:rsidRPr="000127EF" w:rsidRDefault="00FE6857" w:rsidP="004053F1">
            <w:pPr>
              <w:jc w:val="right"/>
              <w:rPr>
                <w:sz w:val="12"/>
                <w:szCs w:val="12"/>
              </w:rPr>
            </w:pPr>
          </w:p>
        </w:tc>
      </w:tr>
    </w:tbl>
    <w:p w14:paraId="7910E5DD" w14:textId="77777777" w:rsidR="00A32521" w:rsidRPr="000127EF" w:rsidRDefault="00A32521" w:rsidP="00CE0021">
      <w:pPr>
        <w:spacing w:before="240" w:after="120"/>
        <w:rPr>
          <w:b/>
        </w:rPr>
      </w:pPr>
      <w:r w:rsidRPr="000127EF">
        <w:rPr>
          <w:b/>
        </w:rPr>
        <w:t>Revaluation Reserve</w:t>
      </w:r>
    </w:p>
    <w:p w14:paraId="184F46F3" w14:textId="77777777" w:rsidR="00A32521" w:rsidRPr="000127EF" w:rsidRDefault="00A32521" w:rsidP="009171A6">
      <w:pPr>
        <w:spacing w:after="240"/>
        <w:jc w:val="both"/>
      </w:pPr>
      <w:r w:rsidRPr="000127EF">
        <w:t>The Revaluation Reserve contains the gains made by the authority arising from increases in the value of its Property, Plant and Equipment.  The balance is reduced when assets with accumulated gains are:</w:t>
      </w:r>
    </w:p>
    <w:p w14:paraId="34618EE7" w14:textId="77777777" w:rsidR="00A32521" w:rsidRPr="000127EF" w:rsidRDefault="00A32521" w:rsidP="005676B7">
      <w:pPr>
        <w:numPr>
          <w:ilvl w:val="0"/>
          <w:numId w:val="10"/>
        </w:numPr>
        <w:ind w:left="714" w:hanging="357"/>
        <w:jc w:val="both"/>
        <w:rPr>
          <w:rFonts w:cs="Arial"/>
          <w:szCs w:val="22"/>
        </w:rPr>
      </w:pPr>
      <w:r w:rsidRPr="000127EF">
        <w:rPr>
          <w:rFonts w:cs="Arial"/>
          <w:szCs w:val="22"/>
        </w:rPr>
        <w:t>revalued downwards or impaired and the gains are lost;</w:t>
      </w:r>
    </w:p>
    <w:p w14:paraId="1DB3F75B" w14:textId="77777777" w:rsidR="00A32521" w:rsidRPr="000127EF" w:rsidRDefault="00A32521" w:rsidP="005676B7">
      <w:pPr>
        <w:numPr>
          <w:ilvl w:val="0"/>
          <w:numId w:val="10"/>
        </w:numPr>
        <w:ind w:left="714" w:hanging="357"/>
        <w:jc w:val="both"/>
        <w:rPr>
          <w:rFonts w:cs="Arial"/>
          <w:szCs w:val="22"/>
        </w:rPr>
      </w:pPr>
      <w:r w:rsidRPr="000127EF">
        <w:rPr>
          <w:rFonts w:cs="Arial"/>
          <w:szCs w:val="22"/>
        </w:rPr>
        <w:t>used in the provision of services and the gains are consumed through depreciation; or</w:t>
      </w:r>
    </w:p>
    <w:p w14:paraId="1C2523D2" w14:textId="77777777" w:rsidR="00A32521" w:rsidRPr="000127EF" w:rsidRDefault="00A32521" w:rsidP="005676B7">
      <w:pPr>
        <w:numPr>
          <w:ilvl w:val="0"/>
          <w:numId w:val="10"/>
        </w:numPr>
        <w:spacing w:after="120"/>
        <w:ind w:left="714" w:hanging="357"/>
        <w:jc w:val="both"/>
        <w:rPr>
          <w:rFonts w:cs="Arial"/>
          <w:szCs w:val="22"/>
        </w:rPr>
      </w:pPr>
      <w:r w:rsidRPr="000127EF">
        <w:rPr>
          <w:rFonts w:cs="Arial"/>
          <w:szCs w:val="22"/>
        </w:rPr>
        <w:t>disposed of and the gains are realised.</w:t>
      </w:r>
    </w:p>
    <w:p w14:paraId="57DBE6E2" w14:textId="77777777" w:rsidR="00A32521" w:rsidRPr="000127EF" w:rsidRDefault="00AE7C84" w:rsidP="00C233FE">
      <w:pPr>
        <w:spacing w:after="120"/>
        <w:jc w:val="both"/>
      </w:pPr>
      <w:r w:rsidRPr="000127EF">
        <w:t>The R</w:t>
      </w:r>
      <w:r w:rsidR="00A32521" w:rsidRPr="000127EF">
        <w:t>eserve contains only revaluation gains accumulated since 1 April 2007, the date that the Revaluation Reserve was created.  Accumulated gains arising before that date are consolidated into the balance on the Capital Adjustment Account.</w:t>
      </w:r>
    </w:p>
    <w:tbl>
      <w:tblPr>
        <w:tblStyle w:val="TableGrid"/>
        <w:tblW w:w="809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ayout w:type="fixed"/>
        <w:tblLook w:val="04A0" w:firstRow="1" w:lastRow="0" w:firstColumn="1" w:lastColumn="0" w:noHBand="0" w:noVBand="1"/>
      </w:tblPr>
      <w:tblGrid>
        <w:gridCol w:w="1427"/>
        <w:gridCol w:w="5389"/>
        <w:gridCol w:w="1276"/>
      </w:tblGrid>
      <w:tr w:rsidR="00100B11" w:rsidRPr="000127EF" w14:paraId="5AD7F766" w14:textId="77777777" w:rsidTr="00100B11">
        <w:trPr>
          <w:trHeight w:val="283"/>
          <w:jc w:val="center"/>
        </w:trPr>
        <w:tc>
          <w:tcPr>
            <w:tcW w:w="1427" w:type="dxa"/>
          </w:tcPr>
          <w:p w14:paraId="111EF81A" w14:textId="65302355" w:rsidR="00100B11" w:rsidRPr="000127EF" w:rsidRDefault="00501E61" w:rsidP="00A65346">
            <w:pPr>
              <w:jc w:val="center"/>
              <w:rPr>
                <w:b/>
                <w:i/>
              </w:rPr>
            </w:pPr>
            <w:r>
              <w:rPr>
                <w:b/>
                <w:i/>
              </w:rPr>
              <w:t>2018/19</w:t>
            </w:r>
          </w:p>
        </w:tc>
        <w:tc>
          <w:tcPr>
            <w:tcW w:w="5389" w:type="dxa"/>
            <w:vAlign w:val="center"/>
          </w:tcPr>
          <w:p w14:paraId="6C20B989" w14:textId="77777777" w:rsidR="00100B11" w:rsidRPr="000127EF" w:rsidRDefault="00100B11" w:rsidP="00A65346">
            <w:pPr>
              <w:jc w:val="center"/>
              <w:rPr>
                <w:b/>
              </w:rPr>
            </w:pPr>
            <w:r w:rsidRPr="000127EF">
              <w:rPr>
                <w:b/>
              </w:rPr>
              <w:t>Revaluation Reserve</w:t>
            </w:r>
          </w:p>
        </w:tc>
        <w:tc>
          <w:tcPr>
            <w:tcW w:w="1276" w:type="dxa"/>
          </w:tcPr>
          <w:p w14:paraId="03D343AD" w14:textId="59A23A48" w:rsidR="00100B11" w:rsidRPr="00693219" w:rsidRDefault="00501E61" w:rsidP="00A65346">
            <w:pPr>
              <w:jc w:val="center"/>
              <w:rPr>
                <w:b/>
              </w:rPr>
            </w:pPr>
            <w:r w:rsidRPr="00693219">
              <w:rPr>
                <w:b/>
              </w:rPr>
              <w:t>2019/20</w:t>
            </w:r>
          </w:p>
        </w:tc>
      </w:tr>
      <w:tr w:rsidR="00100B11" w:rsidRPr="000127EF" w14:paraId="06BD23C1" w14:textId="77777777" w:rsidTr="00100B11">
        <w:trPr>
          <w:jc w:val="center"/>
        </w:trPr>
        <w:tc>
          <w:tcPr>
            <w:tcW w:w="1427" w:type="dxa"/>
          </w:tcPr>
          <w:p w14:paraId="2A3ADCB2" w14:textId="77777777" w:rsidR="00100B11" w:rsidRPr="000127EF" w:rsidRDefault="00100B11" w:rsidP="00A65346">
            <w:pPr>
              <w:jc w:val="center"/>
              <w:rPr>
                <w:b/>
                <w:i/>
              </w:rPr>
            </w:pPr>
            <w:r w:rsidRPr="000127EF">
              <w:rPr>
                <w:b/>
                <w:i/>
              </w:rPr>
              <w:t>£000</w:t>
            </w:r>
          </w:p>
        </w:tc>
        <w:tc>
          <w:tcPr>
            <w:tcW w:w="5389" w:type="dxa"/>
          </w:tcPr>
          <w:p w14:paraId="2F316DEF" w14:textId="77777777" w:rsidR="00100B11" w:rsidRPr="000127EF" w:rsidRDefault="00100B11" w:rsidP="00A65346">
            <w:pPr>
              <w:jc w:val="center"/>
              <w:rPr>
                <w:b/>
              </w:rPr>
            </w:pPr>
          </w:p>
        </w:tc>
        <w:tc>
          <w:tcPr>
            <w:tcW w:w="1276" w:type="dxa"/>
            <w:shd w:val="clear" w:color="auto" w:fill="C5E0B3" w:themeFill="accent6" w:themeFillTint="66"/>
          </w:tcPr>
          <w:p w14:paraId="11A875D5" w14:textId="77777777" w:rsidR="00100B11" w:rsidRPr="00693219" w:rsidRDefault="00100B11" w:rsidP="00A65346">
            <w:pPr>
              <w:jc w:val="center"/>
              <w:rPr>
                <w:b/>
              </w:rPr>
            </w:pPr>
            <w:r w:rsidRPr="00693219">
              <w:rPr>
                <w:b/>
              </w:rPr>
              <w:t>£000</w:t>
            </w:r>
          </w:p>
        </w:tc>
      </w:tr>
      <w:tr w:rsidR="00501E61" w:rsidRPr="000127EF" w14:paraId="7476DDE2" w14:textId="77777777" w:rsidTr="007E76A0">
        <w:trPr>
          <w:jc w:val="center"/>
        </w:trPr>
        <w:tc>
          <w:tcPr>
            <w:tcW w:w="1427" w:type="dxa"/>
          </w:tcPr>
          <w:p w14:paraId="21115F82" w14:textId="60A8F7D0" w:rsidR="00501E61" w:rsidRPr="00501E61" w:rsidRDefault="00501E61" w:rsidP="00501E61">
            <w:pPr>
              <w:jc w:val="right"/>
              <w:rPr>
                <w:i/>
              </w:rPr>
            </w:pPr>
            <w:r w:rsidRPr="00501E61">
              <w:rPr>
                <w:i/>
              </w:rPr>
              <w:t>14,525</w:t>
            </w:r>
          </w:p>
        </w:tc>
        <w:tc>
          <w:tcPr>
            <w:tcW w:w="5389" w:type="dxa"/>
            <w:vAlign w:val="center"/>
          </w:tcPr>
          <w:p w14:paraId="3289C124" w14:textId="77777777" w:rsidR="00501E61" w:rsidRPr="000127EF" w:rsidRDefault="00501E61" w:rsidP="00501E61">
            <w:pPr>
              <w:rPr>
                <w:rFonts w:cs="Arial"/>
                <w:szCs w:val="22"/>
                <w:lang w:val="en-US"/>
              </w:rPr>
            </w:pPr>
            <w:r w:rsidRPr="000127EF">
              <w:rPr>
                <w:rFonts w:cs="Arial"/>
                <w:szCs w:val="22"/>
                <w:lang w:val="en-US"/>
              </w:rPr>
              <w:t xml:space="preserve">Balance 1st April </w:t>
            </w:r>
          </w:p>
        </w:tc>
        <w:tc>
          <w:tcPr>
            <w:tcW w:w="1276" w:type="dxa"/>
            <w:shd w:val="clear" w:color="auto" w:fill="C5E0B3" w:themeFill="accent6" w:themeFillTint="66"/>
          </w:tcPr>
          <w:p w14:paraId="02182CAF" w14:textId="128D2D29" w:rsidR="00501E61" w:rsidRPr="00693219" w:rsidRDefault="00693219" w:rsidP="00501E61">
            <w:pPr>
              <w:jc w:val="right"/>
            </w:pPr>
            <w:r w:rsidRPr="00693219">
              <w:t>13,842</w:t>
            </w:r>
          </w:p>
        </w:tc>
      </w:tr>
      <w:tr w:rsidR="00501E61" w:rsidRPr="000127EF" w14:paraId="11DCFE31" w14:textId="77777777" w:rsidTr="007E76A0">
        <w:trPr>
          <w:jc w:val="center"/>
        </w:trPr>
        <w:tc>
          <w:tcPr>
            <w:tcW w:w="1427" w:type="dxa"/>
            <w:tcBorders>
              <w:bottom w:val="nil"/>
            </w:tcBorders>
          </w:tcPr>
          <w:p w14:paraId="6859C9C8" w14:textId="71EADDE9" w:rsidR="00501E61" w:rsidRPr="00501E61" w:rsidRDefault="00501E61" w:rsidP="00501E61">
            <w:pPr>
              <w:jc w:val="right"/>
              <w:rPr>
                <w:i/>
              </w:rPr>
            </w:pPr>
            <w:r w:rsidRPr="00501E61">
              <w:rPr>
                <w:i/>
              </w:rPr>
              <w:t>4,720</w:t>
            </w:r>
          </w:p>
        </w:tc>
        <w:tc>
          <w:tcPr>
            <w:tcW w:w="5389" w:type="dxa"/>
            <w:tcBorders>
              <w:bottom w:val="nil"/>
            </w:tcBorders>
          </w:tcPr>
          <w:p w14:paraId="579EE535" w14:textId="77777777" w:rsidR="00501E61" w:rsidRPr="000127EF" w:rsidRDefault="00501E61" w:rsidP="00501E61">
            <w:pPr>
              <w:rPr>
                <w:rFonts w:cs="Arial"/>
                <w:szCs w:val="22"/>
                <w:lang w:val="en-US"/>
              </w:rPr>
            </w:pPr>
            <w:r w:rsidRPr="000127EF">
              <w:rPr>
                <w:rFonts w:cs="Arial"/>
                <w:szCs w:val="22"/>
                <w:lang w:val="en-US"/>
              </w:rPr>
              <w:t>Upward revaluation of assets</w:t>
            </w:r>
          </w:p>
        </w:tc>
        <w:tc>
          <w:tcPr>
            <w:tcW w:w="1276" w:type="dxa"/>
            <w:tcBorders>
              <w:bottom w:val="nil"/>
            </w:tcBorders>
            <w:shd w:val="clear" w:color="auto" w:fill="C5E0B3" w:themeFill="accent6" w:themeFillTint="66"/>
          </w:tcPr>
          <w:p w14:paraId="7DBB3494" w14:textId="16916F48" w:rsidR="00501E61" w:rsidRPr="00693219" w:rsidRDefault="00693219" w:rsidP="00501E61">
            <w:pPr>
              <w:jc w:val="right"/>
            </w:pPr>
            <w:r w:rsidRPr="00693219">
              <w:t>2,31</w:t>
            </w:r>
            <w:r w:rsidR="001F3AF2">
              <w:t>7</w:t>
            </w:r>
          </w:p>
        </w:tc>
      </w:tr>
      <w:tr w:rsidR="00501E61" w:rsidRPr="000127EF" w14:paraId="4BF38FAB" w14:textId="77777777" w:rsidTr="00100B11">
        <w:trPr>
          <w:jc w:val="center"/>
        </w:trPr>
        <w:tc>
          <w:tcPr>
            <w:tcW w:w="1427" w:type="dxa"/>
            <w:tcBorders>
              <w:top w:val="nil"/>
              <w:bottom w:val="nil"/>
            </w:tcBorders>
            <w:vAlign w:val="center"/>
          </w:tcPr>
          <w:p w14:paraId="66104AFB" w14:textId="508EACD7" w:rsidR="00501E61" w:rsidRPr="00501E61" w:rsidRDefault="00501E61" w:rsidP="00501E61">
            <w:pPr>
              <w:jc w:val="right"/>
              <w:rPr>
                <w:i/>
              </w:rPr>
            </w:pPr>
            <w:r w:rsidRPr="00501E61">
              <w:rPr>
                <w:i/>
              </w:rPr>
              <w:t>(2,373)</w:t>
            </w:r>
          </w:p>
        </w:tc>
        <w:tc>
          <w:tcPr>
            <w:tcW w:w="5389" w:type="dxa"/>
            <w:tcBorders>
              <w:bottom w:val="nil"/>
            </w:tcBorders>
          </w:tcPr>
          <w:p w14:paraId="1A196D55" w14:textId="77777777" w:rsidR="00501E61" w:rsidRPr="000127EF" w:rsidRDefault="00501E61" w:rsidP="00501E61">
            <w:pPr>
              <w:rPr>
                <w:rFonts w:cs="Arial"/>
                <w:szCs w:val="22"/>
                <w:lang w:val="en-US"/>
              </w:rPr>
            </w:pPr>
            <w:r w:rsidRPr="000127EF">
              <w:rPr>
                <w:rFonts w:cs="Arial"/>
                <w:szCs w:val="22"/>
                <w:lang w:val="en-US"/>
              </w:rPr>
              <w:t>Downward revaluation of assets &amp; impairment losses not charged to the Surplus/Deficit on the Provision of Services</w:t>
            </w:r>
          </w:p>
        </w:tc>
        <w:tc>
          <w:tcPr>
            <w:tcW w:w="1276" w:type="dxa"/>
            <w:tcBorders>
              <w:bottom w:val="nil"/>
            </w:tcBorders>
            <w:shd w:val="clear" w:color="auto" w:fill="C5E0B3" w:themeFill="accent6" w:themeFillTint="66"/>
            <w:vAlign w:val="center"/>
          </w:tcPr>
          <w:p w14:paraId="5078F8F4" w14:textId="55F95D89" w:rsidR="00501E61" w:rsidRPr="00693219" w:rsidRDefault="00693219" w:rsidP="00501E61">
            <w:pPr>
              <w:jc w:val="right"/>
            </w:pPr>
            <w:r w:rsidRPr="00693219">
              <w:t>(842)</w:t>
            </w:r>
          </w:p>
        </w:tc>
      </w:tr>
      <w:tr w:rsidR="00501E61" w:rsidRPr="000127EF" w14:paraId="680E07F7" w14:textId="77777777" w:rsidTr="007E76A0">
        <w:trPr>
          <w:jc w:val="center"/>
        </w:trPr>
        <w:tc>
          <w:tcPr>
            <w:tcW w:w="1427" w:type="dxa"/>
            <w:tcBorders>
              <w:top w:val="nil"/>
              <w:bottom w:val="nil"/>
            </w:tcBorders>
          </w:tcPr>
          <w:p w14:paraId="4574B8F6" w14:textId="133438CE" w:rsidR="00501E61" w:rsidRPr="00501E61" w:rsidRDefault="00501E61" w:rsidP="00501E61">
            <w:pPr>
              <w:jc w:val="right"/>
              <w:rPr>
                <w:i/>
              </w:rPr>
            </w:pPr>
            <w:r w:rsidRPr="00501E61">
              <w:rPr>
                <w:i/>
              </w:rPr>
              <w:t>(199)</w:t>
            </w:r>
          </w:p>
        </w:tc>
        <w:tc>
          <w:tcPr>
            <w:tcW w:w="5389" w:type="dxa"/>
            <w:tcBorders>
              <w:bottom w:val="nil"/>
            </w:tcBorders>
          </w:tcPr>
          <w:p w14:paraId="29E89833" w14:textId="77777777" w:rsidR="00501E61" w:rsidRPr="000127EF" w:rsidRDefault="00501E61" w:rsidP="00501E61">
            <w:pPr>
              <w:rPr>
                <w:rFonts w:cs="Arial"/>
                <w:szCs w:val="22"/>
                <w:lang w:val="en-US"/>
              </w:rPr>
            </w:pPr>
            <w:r w:rsidRPr="000127EF">
              <w:rPr>
                <w:rFonts w:cs="Arial"/>
                <w:szCs w:val="22"/>
                <w:lang w:val="en-US"/>
              </w:rPr>
              <w:t>Difference between fair value depreciation and historical depreciation</w:t>
            </w:r>
          </w:p>
        </w:tc>
        <w:tc>
          <w:tcPr>
            <w:tcW w:w="1276" w:type="dxa"/>
            <w:tcBorders>
              <w:bottom w:val="nil"/>
            </w:tcBorders>
            <w:shd w:val="clear" w:color="auto" w:fill="C5E0B3" w:themeFill="accent6" w:themeFillTint="66"/>
          </w:tcPr>
          <w:p w14:paraId="01B3C15F" w14:textId="4BBA53B8" w:rsidR="00501E61" w:rsidRPr="00693219" w:rsidRDefault="00693219" w:rsidP="00501E61">
            <w:pPr>
              <w:jc w:val="right"/>
            </w:pPr>
            <w:r w:rsidRPr="00693219">
              <w:t>(149)</w:t>
            </w:r>
          </w:p>
        </w:tc>
      </w:tr>
      <w:tr w:rsidR="00501E61" w:rsidRPr="000127EF" w14:paraId="04E4DCA4" w14:textId="77777777" w:rsidTr="009900B1">
        <w:trPr>
          <w:jc w:val="center"/>
        </w:trPr>
        <w:tc>
          <w:tcPr>
            <w:tcW w:w="1427" w:type="dxa"/>
            <w:tcBorders>
              <w:top w:val="nil"/>
              <w:bottom w:val="nil"/>
            </w:tcBorders>
          </w:tcPr>
          <w:p w14:paraId="7D54803F" w14:textId="5DAB514F" w:rsidR="00501E61" w:rsidRPr="00501E61" w:rsidRDefault="00501E61" w:rsidP="00501E61">
            <w:pPr>
              <w:jc w:val="right"/>
              <w:rPr>
                <w:i/>
              </w:rPr>
            </w:pPr>
            <w:r w:rsidRPr="00501E61">
              <w:rPr>
                <w:i/>
              </w:rPr>
              <w:t>(2,831)</w:t>
            </w:r>
          </w:p>
        </w:tc>
        <w:tc>
          <w:tcPr>
            <w:tcW w:w="5389" w:type="dxa"/>
            <w:tcBorders>
              <w:bottom w:val="nil"/>
            </w:tcBorders>
          </w:tcPr>
          <w:p w14:paraId="2DC8E8D9" w14:textId="77777777" w:rsidR="00501E61" w:rsidRPr="000127EF" w:rsidRDefault="00501E61" w:rsidP="00501E61">
            <w:pPr>
              <w:rPr>
                <w:rFonts w:cs="Arial"/>
                <w:szCs w:val="22"/>
                <w:lang w:val="en-US"/>
              </w:rPr>
            </w:pPr>
            <w:r w:rsidRPr="000127EF">
              <w:rPr>
                <w:rFonts w:cs="Arial"/>
                <w:szCs w:val="22"/>
                <w:lang w:val="en-US"/>
              </w:rPr>
              <w:t>Accumulated Gain/(Loss) on assets sold or scrapped</w:t>
            </w:r>
          </w:p>
        </w:tc>
        <w:tc>
          <w:tcPr>
            <w:tcW w:w="1276" w:type="dxa"/>
            <w:tcBorders>
              <w:bottom w:val="nil"/>
            </w:tcBorders>
            <w:shd w:val="clear" w:color="auto" w:fill="C5E0B3" w:themeFill="accent6" w:themeFillTint="66"/>
          </w:tcPr>
          <w:p w14:paraId="138232D5" w14:textId="462A8EE3" w:rsidR="00501E61" w:rsidRPr="00693219" w:rsidRDefault="00693219" w:rsidP="00501E61">
            <w:pPr>
              <w:jc w:val="right"/>
            </w:pPr>
            <w:r w:rsidRPr="00693219">
              <w:t>0</w:t>
            </w:r>
          </w:p>
        </w:tc>
      </w:tr>
      <w:tr w:rsidR="00501E61" w:rsidRPr="000127EF" w14:paraId="451D5748" w14:textId="77777777" w:rsidTr="00100B11">
        <w:trPr>
          <w:jc w:val="center"/>
        </w:trPr>
        <w:tc>
          <w:tcPr>
            <w:tcW w:w="1427" w:type="dxa"/>
            <w:tcBorders>
              <w:top w:val="single" w:sz="8" w:space="0" w:color="auto"/>
              <w:bottom w:val="single" w:sz="8" w:space="0" w:color="auto"/>
            </w:tcBorders>
          </w:tcPr>
          <w:p w14:paraId="5489BE68" w14:textId="11DF7070" w:rsidR="00501E61" w:rsidRPr="00501E61" w:rsidRDefault="00501E61" w:rsidP="00501E61">
            <w:pPr>
              <w:jc w:val="right"/>
              <w:rPr>
                <w:b/>
                <w:i/>
              </w:rPr>
            </w:pPr>
            <w:r w:rsidRPr="00501E61">
              <w:rPr>
                <w:b/>
                <w:i/>
              </w:rPr>
              <w:fldChar w:fldCharType="begin"/>
            </w:r>
            <w:r w:rsidRPr="00501E61">
              <w:rPr>
                <w:b/>
                <w:i/>
              </w:rPr>
              <w:instrText xml:space="preserve"> =SUM(c3:c7) </w:instrText>
            </w:r>
            <w:r w:rsidRPr="00501E61">
              <w:rPr>
                <w:b/>
                <w:i/>
              </w:rPr>
              <w:fldChar w:fldCharType="separate"/>
            </w:r>
            <w:r w:rsidRPr="00501E61">
              <w:rPr>
                <w:b/>
                <w:i/>
                <w:noProof/>
              </w:rPr>
              <w:t>13,842</w:t>
            </w:r>
            <w:r w:rsidRPr="00501E61">
              <w:rPr>
                <w:b/>
                <w:i/>
              </w:rPr>
              <w:fldChar w:fldCharType="end"/>
            </w:r>
          </w:p>
        </w:tc>
        <w:tc>
          <w:tcPr>
            <w:tcW w:w="5389" w:type="dxa"/>
            <w:tcBorders>
              <w:bottom w:val="nil"/>
            </w:tcBorders>
          </w:tcPr>
          <w:p w14:paraId="435A9012" w14:textId="77777777" w:rsidR="00501E61" w:rsidRPr="000127EF" w:rsidRDefault="00501E61" w:rsidP="00501E61">
            <w:pPr>
              <w:rPr>
                <w:b/>
              </w:rPr>
            </w:pPr>
            <w:r w:rsidRPr="000127EF">
              <w:rPr>
                <w:b/>
              </w:rPr>
              <w:t>Balance at 31</w:t>
            </w:r>
            <w:r w:rsidRPr="000127EF">
              <w:rPr>
                <w:b/>
                <w:vertAlign w:val="superscript"/>
              </w:rPr>
              <w:t>st</w:t>
            </w:r>
            <w:r w:rsidRPr="000127EF">
              <w:rPr>
                <w:b/>
              </w:rPr>
              <w:t xml:space="preserve"> March</w:t>
            </w:r>
          </w:p>
        </w:tc>
        <w:tc>
          <w:tcPr>
            <w:tcW w:w="1276" w:type="dxa"/>
            <w:tcBorders>
              <w:top w:val="single" w:sz="8" w:space="0" w:color="auto"/>
              <w:bottom w:val="single" w:sz="8" w:space="0" w:color="auto"/>
            </w:tcBorders>
            <w:shd w:val="clear" w:color="auto" w:fill="C5E0B3" w:themeFill="accent6" w:themeFillTint="66"/>
          </w:tcPr>
          <w:p w14:paraId="6C6A4D1E" w14:textId="5AFC3EE1" w:rsidR="00501E61" w:rsidRPr="00693219" w:rsidRDefault="00693219" w:rsidP="00501E61">
            <w:pPr>
              <w:jc w:val="right"/>
              <w:rPr>
                <w:b/>
              </w:rPr>
            </w:pPr>
            <w:r w:rsidRPr="00693219">
              <w:rPr>
                <w:b/>
              </w:rPr>
              <w:t>15,16</w:t>
            </w:r>
            <w:r w:rsidR="001F3AF2">
              <w:rPr>
                <w:b/>
              </w:rPr>
              <w:t>8</w:t>
            </w:r>
          </w:p>
        </w:tc>
      </w:tr>
      <w:tr w:rsidR="00F43867" w:rsidRPr="000127EF" w14:paraId="612D9B6C" w14:textId="77777777" w:rsidTr="00100B11">
        <w:trPr>
          <w:trHeight w:hRule="exact" w:val="142"/>
          <w:jc w:val="center"/>
        </w:trPr>
        <w:tc>
          <w:tcPr>
            <w:tcW w:w="1427" w:type="dxa"/>
            <w:tcBorders>
              <w:top w:val="nil"/>
            </w:tcBorders>
          </w:tcPr>
          <w:p w14:paraId="11AA47D7" w14:textId="77777777" w:rsidR="00F43867" w:rsidRPr="000127EF" w:rsidRDefault="00F43867" w:rsidP="00F43867">
            <w:pPr>
              <w:jc w:val="right"/>
              <w:rPr>
                <w:i/>
              </w:rPr>
            </w:pPr>
          </w:p>
        </w:tc>
        <w:tc>
          <w:tcPr>
            <w:tcW w:w="5389" w:type="dxa"/>
            <w:tcBorders>
              <w:top w:val="nil"/>
            </w:tcBorders>
          </w:tcPr>
          <w:p w14:paraId="4C92BF0C" w14:textId="77777777" w:rsidR="00F43867" w:rsidRPr="000127EF" w:rsidRDefault="00F43867" w:rsidP="00F43867">
            <w:pPr>
              <w:jc w:val="both"/>
            </w:pPr>
          </w:p>
        </w:tc>
        <w:tc>
          <w:tcPr>
            <w:tcW w:w="1276" w:type="dxa"/>
            <w:tcBorders>
              <w:top w:val="nil"/>
            </w:tcBorders>
          </w:tcPr>
          <w:p w14:paraId="1511A683" w14:textId="77777777" w:rsidR="00F43867" w:rsidRPr="00693219" w:rsidRDefault="00F43867" w:rsidP="00F43867">
            <w:pPr>
              <w:jc w:val="right"/>
            </w:pPr>
          </w:p>
        </w:tc>
      </w:tr>
    </w:tbl>
    <w:p w14:paraId="08D30980" w14:textId="77777777" w:rsidR="00CE0021" w:rsidRPr="000127EF" w:rsidRDefault="00CE0021" w:rsidP="00C41FFA">
      <w:pPr>
        <w:spacing w:before="240" w:after="120"/>
        <w:rPr>
          <w:b/>
        </w:rPr>
        <w:sectPr w:rsidR="00CE0021" w:rsidRPr="000127EF" w:rsidSect="008C78E8">
          <w:pgSz w:w="11907" w:h="16840" w:code="9"/>
          <w:pgMar w:top="1135" w:right="992" w:bottom="1440" w:left="709" w:header="567" w:footer="851" w:gutter="0"/>
          <w:paperSrc w:first="7" w:other="7"/>
          <w:cols w:space="720"/>
          <w:docGrid w:linePitch="299"/>
        </w:sectPr>
      </w:pPr>
    </w:p>
    <w:p w14:paraId="10E012A9" w14:textId="2A9748DD" w:rsidR="00C41FFA" w:rsidRPr="000127EF" w:rsidRDefault="00C41FFA" w:rsidP="00C41FFA">
      <w:pPr>
        <w:spacing w:before="240" w:after="120"/>
        <w:rPr>
          <w:b/>
        </w:rPr>
      </w:pPr>
      <w:r w:rsidRPr="000127EF">
        <w:rPr>
          <w:b/>
        </w:rPr>
        <w:lastRenderedPageBreak/>
        <w:t>Deferred Capital Receipts Reserve</w:t>
      </w:r>
    </w:p>
    <w:p w14:paraId="7F38A9D1" w14:textId="77777777" w:rsidR="00C41FFA" w:rsidRPr="000127EF" w:rsidRDefault="00C41FFA" w:rsidP="00C41FFA">
      <w:pPr>
        <w:spacing w:after="120"/>
        <w:jc w:val="both"/>
      </w:pPr>
      <w:r w:rsidRPr="000127EF">
        <w:t>The Deferred Capital Receipts Reserve holds the gains recognised on the disposal of non-current assets but for which cash settlement has yet to take place.  Under statutory arrangements the authority does not treat these gains as usable for financing new capital expenditure until they are backed by cash receipts.  When the deferred cash settlement eventually takes place amounts are transferred to the Capital Receipts Reserve.</w:t>
      </w:r>
    </w:p>
    <w:tbl>
      <w:tblPr>
        <w:tblStyle w:val="TableGrid"/>
        <w:tblW w:w="8564"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476"/>
      </w:tblGrid>
      <w:tr w:rsidR="00B062AD" w:rsidRPr="000127EF" w14:paraId="47F17F22" w14:textId="77777777" w:rsidTr="007A79E7">
        <w:trPr>
          <w:trHeight w:val="283"/>
          <w:jc w:val="center"/>
        </w:trPr>
        <w:tc>
          <w:tcPr>
            <w:tcW w:w="1454" w:type="dxa"/>
          </w:tcPr>
          <w:p w14:paraId="48EB90AD" w14:textId="61EA6C44" w:rsidR="00B062AD" w:rsidRPr="000127EF" w:rsidRDefault="00501E61" w:rsidP="007A79E7">
            <w:pPr>
              <w:jc w:val="center"/>
              <w:rPr>
                <w:b/>
                <w:i/>
              </w:rPr>
            </w:pPr>
            <w:r>
              <w:rPr>
                <w:b/>
                <w:i/>
              </w:rPr>
              <w:t>2018/19</w:t>
            </w:r>
          </w:p>
        </w:tc>
        <w:tc>
          <w:tcPr>
            <w:tcW w:w="5634" w:type="dxa"/>
            <w:vAlign w:val="center"/>
          </w:tcPr>
          <w:p w14:paraId="101A0BAD" w14:textId="77777777" w:rsidR="00B062AD" w:rsidRPr="000127EF" w:rsidRDefault="00B062AD" w:rsidP="007A79E7">
            <w:pPr>
              <w:jc w:val="center"/>
              <w:rPr>
                <w:b/>
              </w:rPr>
            </w:pPr>
            <w:r w:rsidRPr="000127EF">
              <w:rPr>
                <w:b/>
              </w:rPr>
              <w:t>Deferred Capital Receipts Reserve</w:t>
            </w:r>
          </w:p>
        </w:tc>
        <w:tc>
          <w:tcPr>
            <w:tcW w:w="1476" w:type="dxa"/>
          </w:tcPr>
          <w:p w14:paraId="523EA29F" w14:textId="655C8D71" w:rsidR="00B062AD" w:rsidRPr="00CF7542" w:rsidRDefault="00501E61" w:rsidP="007A79E7">
            <w:pPr>
              <w:jc w:val="center"/>
              <w:rPr>
                <w:b/>
              </w:rPr>
            </w:pPr>
            <w:r w:rsidRPr="00CF7542">
              <w:rPr>
                <w:b/>
              </w:rPr>
              <w:t>2019/20</w:t>
            </w:r>
          </w:p>
        </w:tc>
      </w:tr>
      <w:tr w:rsidR="00B062AD" w:rsidRPr="000127EF" w14:paraId="4D53E8BA" w14:textId="77777777" w:rsidTr="007A79E7">
        <w:trPr>
          <w:jc w:val="center"/>
        </w:trPr>
        <w:tc>
          <w:tcPr>
            <w:tcW w:w="1454" w:type="dxa"/>
          </w:tcPr>
          <w:p w14:paraId="16A71F3C" w14:textId="77777777" w:rsidR="00B062AD" w:rsidRPr="000127EF" w:rsidRDefault="00B062AD" w:rsidP="007A79E7">
            <w:pPr>
              <w:jc w:val="center"/>
              <w:rPr>
                <w:b/>
                <w:i/>
              </w:rPr>
            </w:pPr>
            <w:r w:rsidRPr="000127EF">
              <w:rPr>
                <w:b/>
                <w:i/>
              </w:rPr>
              <w:t>£000</w:t>
            </w:r>
          </w:p>
        </w:tc>
        <w:tc>
          <w:tcPr>
            <w:tcW w:w="5634" w:type="dxa"/>
          </w:tcPr>
          <w:p w14:paraId="2465F925" w14:textId="77777777" w:rsidR="00B062AD" w:rsidRPr="000127EF" w:rsidRDefault="00B062AD" w:rsidP="007A79E7">
            <w:pPr>
              <w:jc w:val="center"/>
              <w:rPr>
                <w:b/>
              </w:rPr>
            </w:pPr>
          </w:p>
        </w:tc>
        <w:tc>
          <w:tcPr>
            <w:tcW w:w="1476" w:type="dxa"/>
            <w:shd w:val="clear" w:color="auto" w:fill="C5E0B3" w:themeFill="accent6" w:themeFillTint="66"/>
          </w:tcPr>
          <w:p w14:paraId="7713CAB1" w14:textId="77777777" w:rsidR="00B062AD" w:rsidRPr="00CF7542" w:rsidRDefault="00B062AD" w:rsidP="007A79E7">
            <w:pPr>
              <w:jc w:val="center"/>
              <w:rPr>
                <w:b/>
              </w:rPr>
            </w:pPr>
            <w:r w:rsidRPr="00CF7542">
              <w:rPr>
                <w:b/>
              </w:rPr>
              <w:t>£000</w:t>
            </w:r>
          </w:p>
        </w:tc>
      </w:tr>
      <w:tr w:rsidR="00501E61" w:rsidRPr="000127EF" w14:paraId="077C2D88" w14:textId="77777777" w:rsidTr="007A79E7">
        <w:trPr>
          <w:jc w:val="center"/>
        </w:trPr>
        <w:tc>
          <w:tcPr>
            <w:tcW w:w="1454" w:type="dxa"/>
            <w:vAlign w:val="center"/>
          </w:tcPr>
          <w:p w14:paraId="27140E4D" w14:textId="15981FC1" w:rsidR="00501E61" w:rsidRPr="00501E61" w:rsidRDefault="00501E61" w:rsidP="00501E61">
            <w:pPr>
              <w:jc w:val="right"/>
              <w:rPr>
                <w:i/>
              </w:rPr>
            </w:pPr>
            <w:r w:rsidRPr="00501E61">
              <w:rPr>
                <w:i/>
              </w:rPr>
              <w:t>121</w:t>
            </w:r>
          </w:p>
        </w:tc>
        <w:tc>
          <w:tcPr>
            <w:tcW w:w="5634" w:type="dxa"/>
            <w:vAlign w:val="center"/>
          </w:tcPr>
          <w:p w14:paraId="47755492" w14:textId="77777777" w:rsidR="00501E61" w:rsidRPr="000127EF" w:rsidRDefault="00501E61" w:rsidP="00501E61">
            <w:pPr>
              <w:rPr>
                <w:rFonts w:cs="Arial"/>
                <w:szCs w:val="22"/>
                <w:lang w:val="en-US"/>
              </w:rPr>
            </w:pPr>
            <w:r w:rsidRPr="000127EF">
              <w:rPr>
                <w:rFonts w:cs="Arial"/>
                <w:szCs w:val="22"/>
                <w:lang w:val="en-US"/>
              </w:rPr>
              <w:t>Balance 1 April</w:t>
            </w:r>
          </w:p>
        </w:tc>
        <w:tc>
          <w:tcPr>
            <w:tcW w:w="1476" w:type="dxa"/>
            <w:shd w:val="clear" w:color="auto" w:fill="C5E0B3" w:themeFill="accent6" w:themeFillTint="66"/>
            <w:vAlign w:val="center"/>
          </w:tcPr>
          <w:p w14:paraId="7B3A5282" w14:textId="1E7D5794" w:rsidR="00501E61" w:rsidRPr="00CF7542" w:rsidRDefault="00CF7542" w:rsidP="00501E61">
            <w:pPr>
              <w:jc w:val="right"/>
            </w:pPr>
            <w:r w:rsidRPr="00CF7542">
              <w:t>33</w:t>
            </w:r>
          </w:p>
        </w:tc>
      </w:tr>
      <w:tr w:rsidR="00501E61" w:rsidRPr="000127EF" w14:paraId="2F0BE0DF" w14:textId="77777777" w:rsidTr="007A79E7">
        <w:trPr>
          <w:jc w:val="center"/>
        </w:trPr>
        <w:tc>
          <w:tcPr>
            <w:tcW w:w="1454" w:type="dxa"/>
            <w:tcBorders>
              <w:bottom w:val="nil"/>
            </w:tcBorders>
            <w:vAlign w:val="center"/>
          </w:tcPr>
          <w:p w14:paraId="41EB67E3" w14:textId="0CC1FA6D" w:rsidR="00501E61" w:rsidRPr="00501E61" w:rsidRDefault="00501E61" w:rsidP="00501E61">
            <w:pPr>
              <w:jc w:val="right"/>
              <w:rPr>
                <w:i/>
              </w:rPr>
            </w:pPr>
            <w:r w:rsidRPr="00501E61">
              <w:rPr>
                <w:i/>
              </w:rPr>
              <w:t>(87)</w:t>
            </w:r>
          </w:p>
        </w:tc>
        <w:tc>
          <w:tcPr>
            <w:tcW w:w="5634" w:type="dxa"/>
            <w:tcBorders>
              <w:bottom w:val="nil"/>
            </w:tcBorders>
          </w:tcPr>
          <w:p w14:paraId="7EFD531E" w14:textId="77777777" w:rsidR="00501E61" w:rsidRPr="000127EF" w:rsidRDefault="00501E61" w:rsidP="00501E61">
            <w:pPr>
              <w:rPr>
                <w:rFonts w:cs="Arial"/>
                <w:szCs w:val="22"/>
                <w:lang w:val="en-US"/>
              </w:rPr>
            </w:pPr>
            <w:r w:rsidRPr="000127EF">
              <w:rPr>
                <w:rFonts w:cs="Arial"/>
                <w:szCs w:val="22"/>
              </w:rPr>
              <w:t>Transfer of deferred sale proceeds credited as part of the gain/loss on disposal to the CIES</w:t>
            </w:r>
          </w:p>
        </w:tc>
        <w:tc>
          <w:tcPr>
            <w:tcW w:w="1476" w:type="dxa"/>
            <w:tcBorders>
              <w:bottom w:val="nil"/>
            </w:tcBorders>
            <w:shd w:val="clear" w:color="auto" w:fill="C5E0B3" w:themeFill="accent6" w:themeFillTint="66"/>
            <w:vAlign w:val="center"/>
          </w:tcPr>
          <w:p w14:paraId="576A9611" w14:textId="19EC1EEF" w:rsidR="00501E61" w:rsidRPr="00CF7542" w:rsidRDefault="00CF7542" w:rsidP="00501E61">
            <w:pPr>
              <w:jc w:val="right"/>
            </w:pPr>
            <w:r w:rsidRPr="00CF7542">
              <w:t>(10)</w:t>
            </w:r>
          </w:p>
        </w:tc>
      </w:tr>
      <w:tr w:rsidR="00501E61" w:rsidRPr="000127EF" w14:paraId="17751A57" w14:textId="77777777" w:rsidTr="007A79E7">
        <w:trPr>
          <w:jc w:val="center"/>
        </w:trPr>
        <w:tc>
          <w:tcPr>
            <w:tcW w:w="1454" w:type="dxa"/>
            <w:tcBorders>
              <w:top w:val="single" w:sz="8" w:space="0" w:color="auto"/>
              <w:bottom w:val="single" w:sz="8" w:space="0" w:color="auto"/>
            </w:tcBorders>
          </w:tcPr>
          <w:p w14:paraId="33086C87" w14:textId="40EDE9EE" w:rsidR="00501E61" w:rsidRPr="00501E61" w:rsidRDefault="00CF7542" w:rsidP="00501E61">
            <w:pPr>
              <w:jc w:val="right"/>
              <w:rPr>
                <w:b/>
                <w:i/>
              </w:rPr>
            </w:pPr>
            <w:r>
              <w:rPr>
                <w:b/>
                <w:i/>
              </w:rPr>
              <w:t>33</w:t>
            </w:r>
          </w:p>
        </w:tc>
        <w:tc>
          <w:tcPr>
            <w:tcW w:w="5634" w:type="dxa"/>
            <w:tcBorders>
              <w:bottom w:val="nil"/>
            </w:tcBorders>
          </w:tcPr>
          <w:p w14:paraId="6538565A" w14:textId="77777777" w:rsidR="00501E61" w:rsidRPr="000127EF" w:rsidRDefault="00501E61" w:rsidP="00501E61">
            <w:pPr>
              <w:rPr>
                <w:b/>
              </w:rPr>
            </w:pPr>
            <w:r w:rsidRPr="000127EF">
              <w:rPr>
                <w:b/>
              </w:rPr>
              <w:t>Balance at 31</w:t>
            </w:r>
            <w:r w:rsidRPr="000127EF">
              <w:rPr>
                <w:b/>
                <w:vertAlign w:val="superscript"/>
              </w:rPr>
              <w:t>st</w:t>
            </w:r>
            <w:r w:rsidRPr="000127EF">
              <w:rPr>
                <w:b/>
              </w:rPr>
              <w:t xml:space="preserve"> March</w:t>
            </w:r>
          </w:p>
        </w:tc>
        <w:tc>
          <w:tcPr>
            <w:tcW w:w="1476" w:type="dxa"/>
            <w:tcBorders>
              <w:top w:val="single" w:sz="8" w:space="0" w:color="auto"/>
              <w:bottom w:val="single" w:sz="8" w:space="0" w:color="auto"/>
            </w:tcBorders>
            <w:shd w:val="clear" w:color="auto" w:fill="C5E0B3" w:themeFill="accent6" w:themeFillTint="66"/>
          </w:tcPr>
          <w:p w14:paraId="3D559655" w14:textId="52B0C00E" w:rsidR="00501E61" w:rsidRPr="00CF7542" w:rsidRDefault="00CF7542" w:rsidP="00501E61">
            <w:pPr>
              <w:jc w:val="right"/>
              <w:rPr>
                <w:b/>
              </w:rPr>
            </w:pPr>
            <w:r w:rsidRPr="00CF7542">
              <w:rPr>
                <w:b/>
              </w:rPr>
              <w:t>2</w:t>
            </w:r>
            <w:r w:rsidR="001F3AF2">
              <w:rPr>
                <w:b/>
              </w:rPr>
              <w:t>3</w:t>
            </w:r>
          </w:p>
        </w:tc>
      </w:tr>
      <w:tr w:rsidR="007E76A0" w:rsidRPr="000127EF" w14:paraId="065F7097" w14:textId="77777777" w:rsidTr="007A79E7">
        <w:trPr>
          <w:trHeight w:hRule="exact" w:val="142"/>
          <w:jc w:val="center"/>
        </w:trPr>
        <w:tc>
          <w:tcPr>
            <w:tcW w:w="1454" w:type="dxa"/>
            <w:tcBorders>
              <w:top w:val="nil"/>
            </w:tcBorders>
          </w:tcPr>
          <w:p w14:paraId="02803ED2" w14:textId="77777777" w:rsidR="007E76A0" w:rsidRPr="000127EF" w:rsidRDefault="007E76A0" w:rsidP="007E76A0">
            <w:pPr>
              <w:jc w:val="right"/>
              <w:rPr>
                <w:i/>
              </w:rPr>
            </w:pPr>
          </w:p>
        </w:tc>
        <w:tc>
          <w:tcPr>
            <w:tcW w:w="5634" w:type="dxa"/>
            <w:tcBorders>
              <w:top w:val="nil"/>
            </w:tcBorders>
          </w:tcPr>
          <w:p w14:paraId="0CF6AF25" w14:textId="77777777" w:rsidR="007E76A0" w:rsidRPr="000127EF" w:rsidRDefault="007E76A0" w:rsidP="007E76A0">
            <w:pPr>
              <w:jc w:val="both"/>
            </w:pPr>
          </w:p>
        </w:tc>
        <w:tc>
          <w:tcPr>
            <w:tcW w:w="1476" w:type="dxa"/>
            <w:tcBorders>
              <w:top w:val="nil"/>
            </w:tcBorders>
          </w:tcPr>
          <w:p w14:paraId="6EA9E267" w14:textId="77777777" w:rsidR="007E76A0" w:rsidRPr="00CF7542" w:rsidRDefault="007E76A0" w:rsidP="007E76A0">
            <w:pPr>
              <w:jc w:val="right"/>
            </w:pPr>
          </w:p>
        </w:tc>
      </w:tr>
    </w:tbl>
    <w:p w14:paraId="30FA53BC" w14:textId="77777777" w:rsidR="00C41FFA" w:rsidRPr="000127EF" w:rsidRDefault="00C41FFA" w:rsidP="00347909">
      <w:pPr>
        <w:spacing w:before="160" w:after="120"/>
        <w:rPr>
          <w:b/>
        </w:rPr>
      </w:pPr>
      <w:r w:rsidRPr="000127EF">
        <w:rPr>
          <w:b/>
        </w:rPr>
        <w:t>Financial Instruments Adjustment Account</w:t>
      </w:r>
    </w:p>
    <w:p w14:paraId="0E6B2FB0" w14:textId="77777777" w:rsidR="00C41FFA" w:rsidRPr="000127EF" w:rsidRDefault="00C41FFA" w:rsidP="00C41FFA">
      <w:pPr>
        <w:spacing w:after="120"/>
        <w:jc w:val="both"/>
      </w:pPr>
      <w:r w:rsidRPr="000127EF">
        <w:t>The Financial Instruments Adjustment Account absorbs the timing differences arising from the different arrangements for accounting for income and expenses relating to certain financial instruments and for bearing losses or benefiting from gains per statutory provisions.</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270543" w:rsidRPr="000127EF" w14:paraId="6439D7D1" w14:textId="77777777" w:rsidTr="007C7528">
        <w:trPr>
          <w:trHeight w:val="283"/>
          <w:jc w:val="center"/>
        </w:trPr>
        <w:tc>
          <w:tcPr>
            <w:tcW w:w="1454" w:type="dxa"/>
          </w:tcPr>
          <w:p w14:paraId="411124FD" w14:textId="65C16978" w:rsidR="00270543" w:rsidRPr="000127EF" w:rsidRDefault="00501E61" w:rsidP="005B7D68">
            <w:pPr>
              <w:jc w:val="center"/>
              <w:rPr>
                <w:b/>
                <w:i/>
              </w:rPr>
            </w:pPr>
            <w:r>
              <w:rPr>
                <w:b/>
                <w:i/>
              </w:rPr>
              <w:t>2018/19</w:t>
            </w:r>
          </w:p>
        </w:tc>
        <w:tc>
          <w:tcPr>
            <w:tcW w:w="5634" w:type="dxa"/>
            <w:vAlign w:val="center"/>
          </w:tcPr>
          <w:p w14:paraId="49C4E4A3" w14:textId="77777777" w:rsidR="00270543" w:rsidRPr="000127EF" w:rsidRDefault="00270543" w:rsidP="007C7528">
            <w:pPr>
              <w:jc w:val="center"/>
              <w:rPr>
                <w:b/>
              </w:rPr>
            </w:pPr>
            <w:r w:rsidRPr="000127EF">
              <w:rPr>
                <w:b/>
              </w:rPr>
              <w:t>Financial Instruments Adjustment Account</w:t>
            </w:r>
          </w:p>
        </w:tc>
        <w:tc>
          <w:tcPr>
            <w:tcW w:w="1534" w:type="dxa"/>
          </w:tcPr>
          <w:p w14:paraId="21841C2E" w14:textId="5D85F1DB" w:rsidR="00270543" w:rsidRPr="008C7117" w:rsidRDefault="00501E61" w:rsidP="007C7528">
            <w:pPr>
              <w:jc w:val="center"/>
              <w:rPr>
                <w:b/>
              </w:rPr>
            </w:pPr>
            <w:r w:rsidRPr="008C7117">
              <w:rPr>
                <w:b/>
              </w:rPr>
              <w:t>2019/20</w:t>
            </w:r>
          </w:p>
        </w:tc>
      </w:tr>
      <w:tr w:rsidR="00270543" w:rsidRPr="000127EF" w14:paraId="18093491" w14:textId="77777777" w:rsidTr="007C7528">
        <w:trPr>
          <w:jc w:val="center"/>
        </w:trPr>
        <w:tc>
          <w:tcPr>
            <w:tcW w:w="1454" w:type="dxa"/>
          </w:tcPr>
          <w:p w14:paraId="1A19553B" w14:textId="77777777" w:rsidR="00270543" w:rsidRPr="000127EF" w:rsidRDefault="00270543" w:rsidP="005B7D68">
            <w:pPr>
              <w:jc w:val="center"/>
              <w:rPr>
                <w:b/>
                <w:i/>
              </w:rPr>
            </w:pPr>
            <w:r w:rsidRPr="000127EF">
              <w:rPr>
                <w:b/>
                <w:i/>
              </w:rPr>
              <w:t>£000</w:t>
            </w:r>
          </w:p>
        </w:tc>
        <w:tc>
          <w:tcPr>
            <w:tcW w:w="5634" w:type="dxa"/>
          </w:tcPr>
          <w:p w14:paraId="58E765EA" w14:textId="77777777" w:rsidR="00270543" w:rsidRPr="000127EF" w:rsidRDefault="00270543" w:rsidP="007C7528">
            <w:pPr>
              <w:jc w:val="center"/>
              <w:rPr>
                <w:b/>
              </w:rPr>
            </w:pPr>
          </w:p>
        </w:tc>
        <w:tc>
          <w:tcPr>
            <w:tcW w:w="1534" w:type="dxa"/>
            <w:shd w:val="clear" w:color="auto" w:fill="C5E0B3" w:themeFill="accent6" w:themeFillTint="66"/>
          </w:tcPr>
          <w:p w14:paraId="403DA5AA" w14:textId="77777777" w:rsidR="00270543" w:rsidRPr="008C7117" w:rsidRDefault="00270543" w:rsidP="007C7528">
            <w:pPr>
              <w:jc w:val="center"/>
              <w:rPr>
                <w:b/>
              </w:rPr>
            </w:pPr>
            <w:r w:rsidRPr="008C7117">
              <w:rPr>
                <w:b/>
              </w:rPr>
              <w:t>£000</w:t>
            </w:r>
          </w:p>
        </w:tc>
      </w:tr>
      <w:tr w:rsidR="00501E61" w:rsidRPr="000127EF" w14:paraId="27AAD5A5" w14:textId="77777777" w:rsidTr="000A69EC">
        <w:trPr>
          <w:jc w:val="center"/>
        </w:trPr>
        <w:tc>
          <w:tcPr>
            <w:tcW w:w="1454" w:type="dxa"/>
            <w:vAlign w:val="center"/>
          </w:tcPr>
          <w:p w14:paraId="34324EEE" w14:textId="0616E99B" w:rsidR="00501E61" w:rsidRPr="00501E61" w:rsidRDefault="00501E61" w:rsidP="00501E61">
            <w:pPr>
              <w:jc w:val="right"/>
              <w:rPr>
                <w:i/>
              </w:rPr>
            </w:pPr>
            <w:r w:rsidRPr="00501E61">
              <w:rPr>
                <w:i/>
              </w:rPr>
              <w:t>76</w:t>
            </w:r>
          </w:p>
        </w:tc>
        <w:tc>
          <w:tcPr>
            <w:tcW w:w="5634" w:type="dxa"/>
            <w:vAlign w:val="center"/>
          </w:tcPr>
          <w:p w14:paraId="090AD968" w14:textId="77777777" w:rsidR="00501E61" w:rsidRPr="000127EF" w:rsidRDefault="00501E61" w:rsidP="00501E61">
            <w:pPr>
              <w:rPr>
                <w:rFonts w:cs="Arial"/>
                <w:szCs w:val="22"/>
                <w:lang w:val="en-US"/>
              </w:rPr>
            </w:pPr>
            <w:r w:rsidRPr="000127EF">
              <w:rPr>
                <w:rFonts w:cs="Arial"/>
                <w:szCs w:val="22"/>
                <w:lang w:val="en-US"/>
              </w:rPr>
              <w:t xml:space="preserve">Balance 1 April </w:t>
            </w:r>
          </w:p>
        </w:tc>
        <w:tc>
          <w:tcPr>
            <w:tcW w:w="1534" w:type="dxa"/>
            <w:shd w:val="clear" w:color="auto" w:fill="C5E0B3" w:themeFill="accent6" w:themeFillTint="66"/>
            <w:vAlign w:val="center"/>
          </w:tcPr>
          <w:p w14:paraId="00430F33" w14:textId="74FA5FAC" w:rsidR="00501E61" w:rsidRPr="008C7117" w:rsidRDefault="008C7117" w:rsidP="00501E61">
            <w:pPr>
              <w:jc w:val="right"/>
            </w:pPr>
            <w:r w:rsidRPr="008C7117">
              <w:t>60</w:t>
            </w:r>
          </w:p>
        </w:tc>
      </w:tr>
      <w:tr w:rsidR="00501E61" w:rsidRPr="000127EF" w14:paraId="151852EC" w14:textId="77777777" w:rsidTr="000A69EC">
        <w:trPr>
          <w:jc w:val="center"/>
        </w:trPr>
        <w:tc>
          <w:tcPr>
            <w:tcW w:w="1454" w:type="dxa"/>
            <w:tcBorders>
              <w:bottom w:val="nil"/>
            </w:tcBorders>
            <w:vAlign w:val="center"/>
          </w:tcPr>
          <w:p w14:paraId="5FD2E4AC" w14:textId="55737A2C" w:rsidR="00501E61" w:rsidRPr="00501E61" w:rsidRDefault="00501E61" w:rsidP="00501E61">
            <w:pPr>
              <w:jc w:val="right"/>
              <w:rPr>
                <w:i/>
              </w:rPr>
            </w:pPr>
            <w:r w:rsidRPr="00501E61">
              <w:rPr>
                <w:i/>
              </w:rPr>
              <w:t>(16)</w:t>
            </w:r>
          </w:p>
        </w:tc>
        <w:tc>
          <w:tcPr>
            <w:tcW w:w="5634" w:type="dxa"/>
            <w:tcBorders>
              <w:bottom w:val="nil"/>
            </w:tcBorders>
          </w:tcPr>
          <w:p w14:paraId="389B7885" w14:textId="77777777" w:rsidR="00501E61" w:rsidRPr="000127EF" w:rsidRDefault="00501E61" w:rsidP="00501E61">
            <w:pPr>
              <w:rPr>
                <w:rFonts w:cs="Arial"/>
                <w:szCs w:val="22"/>
                <w:lang w:val="en-US"/>
              </w:rPr>
            </w:pPr>
            <w:r w:rsidRPr="000127EF">
              <w:rPr>
                <w:rFonts w:cs="Arial"/>
                <w:szCs w:val="22"/>
              </w:rPr>
              <w:t>Amount by which finance costs charged to the</w:t>
            </w:r>
            <w:r w:rsidRPr="000127EF">
              <w:rPr>
                <w:rFonts w:cs="Arial"/>
                <w:sz w:val="24"/>
                <w:szCs w:val="24"/>
              </w:rPr>
              <w:t xml:space="preserve"> </w:t>
            </w:r>
            <w:r w:rsidRPr="000127EF">
              <w:rPr>
                <w:rFonts w:cs="Arial"/>
                <w:szCs w:val="22"/>
              </w:rPr>
              <w:t>CIES are different from finance costs chargeable in the year in accordance with statutory requirements</w:t>
            </w:r>
          </w:p>
        </w:tc>
        <w:tc>
          <w:tcPr>
            <w:tcW w:w="1534" w:type="dxa"/>
            <w:tcBorders>
              <w:bottom w:val="nil"/>
            </w:tcBorders>
            <w:shd w:val="clear" w:color="auto" w:fill="C5E0B3" w:themeFill="accent6" w:themeFillTint="66"/>
            <w:vAlign w:val="center"/>
          </w:tcPr>
          <w:p w14:paraId="3F6B5E95" w14:textId="0B9AE0AB" w:rsidR="00501E61" w:rsidRPr="008C7117" w:rsidRDefault="008C7117" w:rsidP="00501E61">
            <w:pPr>
              <w:jc w:val="right"/>
            </w:pPr>
            <w:r w:rsidRPr="008C7117">
              <w:t>(16)</w:t>
            </w:r>
          </w:p>
        </w:tc>
      </w:tr>
      <w:tr w:rsidR="00501E61" w:rsidRPr="000127EF" w14:paraId="012DDD01" w14:textId="77777777" w:rsidTr="00E165AE">
        <w:trPr>
          <w:jc w:val="center"/>
        </w:trPr>
        <w:tc>
          <w:tcPr>
            <w:tcW w:w="1454" w:type="dxa"/>
            <w:tcBorders>
              <w:top w:val="single" w:sz="8" w:space="0" w:color="auto"/>
              <w:bottom w:val="single" w:sz="8" w:space="0" w:color="auto"/>
            </w:tcBorders>
          </w:tcPr>
          <w:p w14:paraId="6131E493" w14:textId="35F56257" w:rsidR="00501E61" w:rsidRPr="00501E61" w:rsidRDefault="00501E61" w:rsidP="00501E61">
            <w:pPr>
              <w:jc w:val="right"/>
              <w:rPr>
                <w:b/>
                <w:i/>
              </w:rPr>
            </w:pPr>
            <w:r w:rsidRPr="00501E61">
              <w:rPr>
                <w:b/>
                <w:i/>
              </w:rPr>
              <w:fldChar w:fldCharType="begin"/>
            </w:r>
            <w:r w:rsidRPr="00501E61">
              <w:rPr>
                <w:b/>
                <w:i/>
              </w:rPr>
              <w:instrText xml:space="preserve"> =SUM(c3:c4) </w:instrText>
            </w:r>
            <w:r w:rsidRPr="00501E61">
              <w:rPr>
                <w:b/>
                <w:i/>
              </w:rPr>
              <w:fldChar w:fldCharType="separate"/>
            </w:r>
            <w:r w:rsidRPr="00501E61">
              <w:rPr>
                <w:b/>
                <w:i/>
                <w:noProof/>
              </w:rPr>
              <w:t>60</w:t>
            </w:r>
            <w:r w:rsidRPr="00501E61">
              <w:rPr>
                <w:b/>
                <w:i/>
              </w:rPr>
              <w:fldChar w:fldCharType="end"/>
            </w:r>
          </w:p>
        </w:tc>
        <w:tc>
          <w:tcPr>
            <w:tcW w:w="5634" w:type="dxa"/>
            <w:tcBorders>
              <w:bottom w:val="nil"/>
            </w:tcBorders>
          </w:tcPr>
          <w:p w14:paraId="521AC81F" w14:textId="77777777" w:rsidR="00501E61" w:rsidRPr="000127EF" w:rsidRDefault="00501E61" w:rsidP="00501E61">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687C3C9A" w14:textId="3C840472" w:rsidR="00501E61" w:rsidRPr="008C7117" w:rsidRDefault="008C7117" w:rsidP="00501E61">
            <w:pPr>
              <w:jc w:val="right"/>
              <w:rPr>
                <w:b/>
              </w:rPr>
            </w:pPr>
            <w:r w:rsidRPr="008C7117">
              <w:rPr>
                <w:b/>
              </w:rPr>
              <w:t>44</w:t>
            </w:r>
          </w:p>
        </w:tc>
      </w:tr>
      <w:tr w:rsidR="007E76A0" w:rsidRPr="000127EF" w14:paraId="1F0C0E70" w14:textId="77777777" w:rsidTr="007C7528">
        <w:trPr>
          <w:trHeight w:hRule="exact" w:val="142"/>
          <w:jc w:val="center"/>
        </w:trPr>
        <w:tc>
          <w:tcPr>
            <w:tcW w:w="1454" w:type="dxa"/>
            <w:tcBorders>
              <w:top w:val="nil"/>
            </w:tcBorders>
          </w:tcPr>
          <w:p w14:paraId="578428E8" w14:textId="77777777" w:rsidR="007E76A0" w:rsidRPr="000127EF" w:rsidRDefault="007E76A0" w:rsidP="007E76A0">
            <w:pPr>
              <w:jc w:val="right"/>
              <w:rPr>
                <w:i/>
              </w:rPr>
            </w:pPr>
          </w:p>
        </w:tc>
        <w:tc>
          <w:tcPr>
            <w:tcW w:w="5634" w:type="dxa"/>
            <w:tcBorders>
              <w:top w:val="nil"/>
            </w:tcBorders>
          </w:tcPr>
          <w:p w14:paraId="0422394F" w14:textId="77777777" w:rsidR="007E76A0" w:rsidRPr="000127EF" w:rsidRDefault="007E76A0" w:rsidP="007E76A0">
            <w:pPr>
              <w:jc w:val="both"/>
            </w:pPr>
          </w:p>
        </w:tc>
        <w:tc>
          <w:tcPr>
            <w:tcW w:w="1534" w:type="dxa"/>
            <w:tcBorders>
              <w:top w:val="nil"/>
            </w:tcBorders>
          </w:tcPr>
          <w:p w14:paraId="2FFD2F4B" w14:textId="77777777" w:rsidR="007E76A0" w:rsidRPr="008C7117" w:rsidRDefault="007E76A0" w:rsidP="007E76A0">
            <w:pPr>
              <w:jc w:val="right"/>
            </w:pPr>
          </w:p>
        </w:tc>
      </w:tr>
    </w:tbl>
    <w:p w14:paraId="2C92AF63" w14:textId="77777777" w:rsidR="00975818" w:rsidRPr="000127EF" w:rsidRDefault="00975818" w:rsidP="00975818">
      <w:pPr>
        <w:spacing w:before="240" w:after="120"/>
        <w:rPr>
          <w:b/>
        </w:rPr>
      </w:pPr>
      <w:r w:rsidRPr="000127EF">
        <w:rPr>
          <w:b/>
        </w:rPr>
        <w:t>Capital Adjustment Account</w:t>
      </w:r>
    </w:p>
    <w:p w14:paraId="125F347F" w14:textId="77777777" w:rsidR="00975818" w:rsidRPr="000127EF" w:rsidRDefault="00975818" w:rsidP="00975818">
      <w:pPr>
        <w:spacing w:after="120"/>
        <w:jc w:val="both"/>
      </w:pPr>
      <w:r w:rsidRPr="000127EF">
        <w:t>The Capital Adjustment Account absorbs the timing differences arising from the different arrangements for accounting for the consumption of non-current assets and for financing the acquisition</w:t>
      </w:r>
      <w:r w:rsidR="00C5628D" w:rsidRPr="000127EF">
        <w:t>, construction or additions to</w:t>
      </w:r>
      <w:r w:rsidRPr="000127EF">
        <w:t xml:space="preserve"> those assets under statutory provisions. The account is debited with the cost of acquisition</w:t>
      </w:r>
      <w:r w:rsidR="00C5628D" w:rsidRPr="000127EF">
        <w:t>, construction or subsequent costs as</w:t>
      </w:r>
      <w:r w:rsidRPr="000127EF">
        <w:t xml:space="preserve"> depreciation, impairment losses and amortisations are charged to the Comprehensive I</w:t>
      </w:r>
      <w:r w:rsidR="00C5628D" w:rsidRPr="000127EF">
        <w:t>ncome and Expenditure Statement</w:t>
      </w:r>
      <w:r w:rsidRPr="000127EF">
        <w:t xml:space="preserve"> </w:t>
      </w:r>
      <w:r w:rsidR="00C5628D" w:rsidRPr="000127EF">
        <w:t>(</w:t>
      </w:r>
      <w:r w:rsidRPr="000127EF">
        <w:t>with reconciling postings from the Revaluation Reserve to convert</w:t>
      </w:r>
      <w:r w:rsidR="00C5628D" w:rsidRPr="000127EF">
        <w:t xml:space="preserve"> current and</w:t>
      </w:r>
      <w:r w:rsidRPr="000127EF">
        <w:t xml:space="preserve"> fair value figures to an historical cost basis</w:t>
      </w:r>
      <w:r w:rsidR="00C5628D" w:rsidRPr="000127EF">
        <w:t>). The A</w:t>
      </w:r>
      <w:r w:rsidRPr="000127EF">
        <w:t>ccount is credited wit</w:t>
      </w:r>
      <w:r w:rsidR="00C5628D" w:rsidRPr="000127EF">
        <w:t>h the amounts set aside by the A</w:t>
      </w:r>
      <w:r w:rsidRPr="000127EF">
        <w:t>uthority as finance for the costs of acquisit</w:t>
      </w:r>
      <w:r w:rsidR="00C5628D" w:rsidRPr="000127EF">
        <w:t>ion, construction and subsequent costs</w:t>
      </w:r>
      <w:r w:rsidRPr="000127EF">
        <w:t>.</w:t>
      </w:r>
    </w:p>
    <w:p w14:paraId="696DA335" w14:textId="77777777" w:rsidR="00C5628D" w:rsidRPr="000127EF" w:rsidRDefault="00C5628D" w:rsidP="00975818">
      <w:pPr>
        <w:spacing w:after="120"/>
        <w:jc w:val="both"/>
      </w:pPr>
      <w:r w:rsidRPr="000127EF">
        <w:t>The A</w:t>
      </w:r>
      <w:r w:rsidR="00975818" w:rsidRPr="000127EF">
        <w:t xml:space="preserve">ccount contains accumulated gains and losses on Investment Properties and gains recognised on Donated Assets that </w:t>
      </w:r>
      <w:r w:rsidRPr="000127EF">
        <w:t>have yet to be consumed by the A</w:t>
      </w:r>
      <w:r w:rsidR="00975818" w:rsidRPr="000127EF">
        <w:t xml:space="preserve">uthority.  </w:t>
      </w:r>
    </w:p>
    <w:p w14:paraId="2E1B1580" w14:textId="77777777" w:rsidR="000A2470" w:rsidRPr="000127EF" w:rsidRDefault="00975818" w:rsidP="00975818">
      <w:pPr>
        <w:spacing w:after="120"/>
        <w:jc w:val="both"/>
      </w:pPr>
      <w:r w:rsidRPr="000127EF">
        <w:t xml:space="preserve">The account also contains revaluation gains accumulated on Property, Plant and Equipment before 1 April 2007, the date that the Revaluation Reserve was created to hold such gains.  </w:t>
      </w:r>
    </w:p>
    <w:p w14:paraId="09BF3EFE" w14:textId="08E05764" w:rsidR="00CE0021" w:rsidRPr="000127EF" w:rsidRDefault="00975818" w:rsidP="00975818">
      <w:pPr>
        <w:spacing w:after="120"/>
        <w:jc w:val="both"/>
      </w:pPr>
      <w:r w:rsidRPr="000127EF">
        <w:t xml:space="preserve">Note </w:t>
      </w:r>
      <w:r w:rsidR="00586C49" w:rsidRPr="000127EF">
        <w:t>13</w:t>
      </w:r>
      <w:r w:rsidRPr="000127EF">
        <w:t xml:space="preserve"> provides details of the source of all </w:t>
      </w:r>
      <w:r w:rsidR="000A2470" w:rsidRPr="000127EF">
        <w:t>the transactions posted to the A</w:t>
      </w:r>
      <w:r w:rsidRPr="000127EF">
        <w:t>ccount apart from those involving the Revaluation Reserve.</w:t>
      </w:r>
    </w:p>
    <w:p w14:paraId="771E8560" w14:textId="77777777" w:rsidR="00CE0021" w:rsidRPr="000127EF" w:rsidRDefault="00CE0021" w:rsidP="007A79E7">
      <w:pPr>
        <w:jc w:val="center"/>
        <w:rPr>
          <w:b/>
          <w:i/>
        </w:rPr>
        <w:sectPr w:rsidR="00CE0021" w:rsidRPr="000127EF" w:rsidSect="008C78E8">
          <w:pgSz w:w="11907" w:h="16840" w:code="9"/>
          <w:pgMar w:top="1135" w:right="992" w:bottom="1440" w:left="709" w:header="567" w:footer="851" w:gutter="0"/>
          <w:paperSrc w:first="7" w:other="7"/>
          <w:cols w:space="720"/>
          <w:docGrid w:linePitch="299"/>
        </w:sectPr>
      </w:pP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5F0DDD" w:rsidRPr="000127EF" w14:paraId="5E651B57" w14:textId="77777777" w:rsidTr="007A79E7">
        <w:trPr>
          <w:trHeight w:val="283"/>
          <w:jc w:val="center"/>
        </w:trPr>
        <w:tc>
          <w:tcPr>
            <w:tcW w:w="1454" w:type="dxa"/>
          </w:tcPr>
          <w:p w14:paraId="2A1667A9" w14:textId="4553D720" w:rsidR="005F0DDD" w:rsidRPr="005F0DDD" w:rsidRDefault="005F0DDD" w:rsidP="005F0DDD">
            <w:pPr>
              <w:jc w:val="center"/>
              <w:rPr>
                <w:b/>
                <w:i/>
                <w:iCs/>
              </w:rPr>
            </w:pPr>
            <w:r w:rsidRPr="005F0DDD">
              <w:rPr>
                <w:b/>
                <w:i/>
                <w:iCs/>
              </w:rPr>
              <w:lastRenderedPageBreak/>
              <w:t>2018/19</w:t>
            </w:r>
          </w:p>
        </w:tc>
        <w:tc>
          <w:tcPr>
            <w:tcW w:w="5634" w:type="dxa"/>
            <w:vAlign w:val="center"/>
          </w:tcPr>
          <w:p w14:paraId="38939490" w14:textId="77777777" w:rsidR="005F0DDD" w:rsidRPr="000127EF" w:rsidRDefault="005F0DDD" w:rsidP="005F0DDD">
            <w:pPr>
              <w:jc w:val="center"/>
              <w:rPr>
                <w:b/>
              </w:rPr>
            </w:pPr>
            <w:r w:rsidRPr="000127EF">
              <w:rPr>
                <w:b/>
              </w:rPr>
              <w:t>Capital Adjustment Account</w:t>
            </w:r>
          </w:p>
        </w:tc>
        <w:tc>
          <w:tcPr>
            <w:tcW w:w="1534" w:type="dxa"/>
          </w:tcPr>
          <w:p w14:paraId="10B72DCF" w14:textId="03B098EE" w:rsidR="005F0DDD" w:rsidRPr="00693219" w:rsidRDefault="005F0DDD" w:rsidP="005F0DDD">
            <w:pPr>
              <w:jc w:val="center"/>
              <w:rPr>
                <w:b/>
              </w:rPr>
            </w:pPr>
            <w:r w:rsidRPr="00693219">
              <w:rPr>
                <w:b/>
              </w:rPr>
              <w:t>2019/20</w:t>
            </w:r>
          </w:p>
        </w:tc>
      </w:tr>
      <w:tr w:rsidR="005F0DDD" w:rsidRPr="000127EF" w14:paraId="7620DE89" w14:textId="77777777" w:rsidTr="007A79E7">
        <w:trPr>
          <w:jc w:val="center"/>
        </w:trPr>
        <w:tc>
          <w:tcPr>
            <w:tcW w:w="1454" w:type="dxa"/>
          </w:tcPr>
          <w:p w14:paraId="67D6BAD6" w14:textId="4C4F6A01" w:rsidR="005F0DDD" w:rsidRPr="005F0DDD" w:rsidRDefault="005F0DDD" w:rsidP="005F0DDD">
            <w:pPr>
              <w:jc w:val="center"/>
              <w:rPr>
                <w:b/>
                <w:i/>
                <w:iCs/>
              </w:rPr>
            </w:pPr>
            <w:r w:rsidRPr="005F0DDD">
              <w:rPr>
                <w:b/>
                <w:i/>
                <w:iCs/>
              </w:rPr>
              <w:t>£000</w:t>
            </w:r>
          </w:p>
        </w:tc>
        <w:tc>
          <w:tcPr>
            <w:tcW w:w="5634" w:type="dxa"/>
          </w:tcPr>
          <w:p w14:paraId="33CA829A" w14:textId="77777777" w:rsidR="005F0DDD" w:rsidRPr="000127EF" w:rsidRDefault="005F0DDD" w:rsidP="005F0DDD">
            <w:pPr>
              <w:jc w:val="center"/>
              <w:rPr>
                <w:b/>
              </w:rPr>
            </w:pPr>
          </w:p>
        </w:tc>
        <w:tc>
          <w:tcPr>
            <w:tcW w:w="1534" w:type="dxa"/>
            <w:shd w:val="clear" w:color="auto" w:fill="C5E0B3" w:themeFill="accent6" w:themeFillTint="66"/>
          </w:tcPr>
          <w:p w14:paraId="7B012622" w14:textId="77777777" w:rsidR="005F0DDD" w:rsidRPr="00693219" w:rsidRDefault="005F0DDD" w:rsidP="005F0DDD">
            <w:pPr>
              <w:jc w:val="center"/>
              <w:rPr>
                <w:b/>
              </w:rPr>
            </w:pPr>
            <w:r w:rsidRPr="00693219">
              <w:rPr>
                <w:b/>
              </w:rPr>
              <w:t>£000</w:t>
            </w:r>
          </w:p>
        </w:tc>
      </w:tr>
      <w:tr w:rsidR="005F0DDD" w:rsidRPr="000127EF" w14:paraId="5FC01009" w14:textId="77777777" w:rsidTr="007A79E7">
        <w:trPr>
          <w:jc w:val="center"/>
        </w:trPr>
        <w:tc>
          <w:tcPr>
            <w:tcW w:w="1454" w:type="dxa"/>
            <w:vAlign w:val="center"/>
          </w:tcPr>
          <w:p w14:paraId="66061518" w14:textId="1827A1A3" w:rsidR="005F0DDD" w:rsidRPr="005F0DDD" w:rsidRDefault="005F0DDD" w:rsidP="005F0DDD">
            <w:pPr>
              <w:jc w:val="right"/>
              <w:rPr>
                <w:i/>
                <w:iCs/>
              </w:rPr>
            </w:pPr>
            <w:r w:rsidRPr="005F0DDD">
              <w:rPr>
                <w:i/>
                <w:iCs/>
              </w:rPr>
              <w:t>35,69</w:t>
            </w:r>
            <w:r w:rsidR="00D2580B">
              <w:rPr>
                <w:i/>
                <w:iCs/>
              </w:rPr>
              <w:t>3</w:t>
            </w:r>
          </w:p>
        </w:tc>
        <w:tc>
          <w:tcPr>
            <w:tcW w:w="5634" w:type="dxa"/>
            <w:vAlign w:val="center"/>
          </w:tcPr>
          <w:p w14:paraId="12642625" w14:textId="77777777" w:rsidR="005F0DDD" w:rsidRPr="000127EF" w:rsidRDefault="005F0DDD" w:rsidP="005F0DDD">
            <w:pPr>
              <w:rPr>
                <w:rFonts w:cs="Arial"/>
                <w:szCs w:val="22"/>
                <w:lang w:val="en-US"/>
              </w:rPr>
            </w:pPr>
            <w:r w:rsidRPr="000127EF">
              <w:rPr>
                <w:rFonts w:cs="Arial"/>
                <w:szCs w:val="22"/>
                <w:lang w:val="en-US"/>
              </w:rPr>
              <w:t>Balance at 1 April</w:t>
            </w:r>
          </w:p>
        </w:tc>
        <w:tc>
          <w:tcPr>
            <w:tcW w:w="1534" w:type="dxa"/>
            <w:shd w:val="clear" w:color="auto" w:fill="C5E0B3" w:themeFill="accent6" w:themeFillTint="66"/>
            <w:vAlign w:val="center"/>
          </w:tcPr>
          <w:p w14:paraId="2718068D" w14:textId="670EA185" w:rsidR="005F0DDD" w:rsidRPr="00693219" w:rsidRDefault="00693219" w:rsidP="005F0DDD">
            <w:pPr>
              <w:jc w:val="right"/>
            </w:pPr>
            <w:r w:rsidRPr="00693219">
              <w:t>35,765</w:t>
            </w:r>
          </w:p>
        </w:tc>
      </w:tr>
      <w:tr w:rsidR="005F0DDD" w:rsidRPr="000127EF" w14:paraId="20E247AB" w14:textId="77777777" w:rsidTr="007A79E7">
        <w:trPr>
          <w:jc w:val="center"/>
        </w:trPr>
        <w:tc>
          <w:tcPr>
            <w:tcW w:w="1454" w:type="dxa"/>
            <w:tcBorders>
              <w:bottom w:val="nil"/>
            </w:tcBorders>
            <w:vAlign w:val="center"/>
          </w:tcPr>
          <w:p w14:paraId="663407AD" w14:textId="5657F331" w:rsidR="005F0DDD" w:rsidRPr="005F0DDD" w:rsidRDefault="005F0DDD" w:rsidP="005F0DDD">
            <w:pPr>
              <w:jc w:val="right"/>
              <w:rPr>
                <w:i/>
                <w:iCs/>
              </w:rPr>
            </w:pPr>
            <w:r w:rsidRPr="005F0DDD">
              <w:rPr>
                <w:i/>
                <w:iCs/>
              </w:rPr>
              <w:t>(1,2</w:t>
            </w:r>
            <w:r w:rsidR="00D2580B">
              <w:rPr>
                <w:i/>
                <w:iCs/>
              </w:rPr>
              <w:t>20</w:t>
            </w:r>
            <w:r w:rsidRPr="005F0DDD">
              <w:rPr>
                <w:i/>
                <w:iCs/>
              </w:rPr>
              <w:t>)</w:t>
            </w:r>
          </w:p>
        </w:tc>
        <w:tc>
          <w:tcPr>
            <w:tcW w:w="5634" w:type="dxa"/>
            <w:tcBorders>
              <w:bottom w:val="nil"/>
            </w:tcBorders>
          </w:tcPr>
          <w:p w14:paraId="751772F4" w14:textId="77777777" w:rsidR="005F0DDD" w:rsidRPr="000127EF" w:rsidRDefault="005F0DDD" w:rsidP="005F0DDD">
            <w:pPr>
              <w:rPr>
                <w:rFonts w:cs="Arial"/>
                <w:szCs w:val="22"/>
                <w:lang w:val="en-US"/>
              </w:rPr>
            </w:pPr>
            <w:r w:rsidRPr="000127EF">
              <w:rPr>
                <w:rFonts w:cs="Arial"/>
                <w:szCs w:val="22"/>
                <w:lang w:val="en-US"/>
              </w:rPr>
              <w:t>Charges for depreciation and impairment of non-current assets</w:t>
            </w:r>
          </w:p>
        </w:tc>
        <w:tc>
          <w:tcPr>
            <w:tcW w:w="1534" w:type="dxa"/>
            <w:tcBorders>
              <w:bottom w:val="nil"/>
            </w:tcBorders>
            <w:shd w:val="clear" w:color="auto" w:fill="C5E0B3" w:themeFill="accent6" w:themeFillTint="66"/>
            <w:vAlign w:val="center"/>
          </w:tcPr>
          <w:p w14:paraId="1FA1E531" w14:textId="0C09AB34" w:rsidR="005F0DDD" w:rsidRPr="00693219" w:rsidRDefault="00693219" w:rsidP="00E53447">
            <w:pPr>
              <w:jc w:val="right"/>
            </w:pPr>
            <w:r w:rsidRPr="00693219">
              <w:t>(2,</w:t>
            </w:r>
            <w:r w:rsidR="00E53447">
              <w:t>37</w:t>
            </w:r>
            <w:r w:rsidRPr="00693219">
              <w:t>7)</w:t>
            </w:r>
          </w:p>
        </w:tc>
      </w:tr>
      <w:tr w:rsidR="005F0DDD" w:rsidRPr="000127EF" w14:paraId="4327F5C0" w14:textId="77777777" w:rsidTr="007A79E7">
        <w:trPr>
          <w:jc w:val="center"/>
        </w:trPr>
        <w:tc>
          <w:tcPr>
            <w:tcW w:w="1454" w:type="dxa"/>
            <w:tcBorders>
              <w:bottom w:val="nil"/>
            </w:tcBorders>
            <w:vAlign w:val="center"/>
          </w:tcPr>
          <w:p w14:paraId="23E42DCF" w14:textId="5F0EF24F" w:rsidR="005F0DDD" w:rsidRPr="005F0DDD" w:rsidRDefault="005F0DDD" w:rsidP="005F0DDD">
            <w:pPr>
              <w:jc w:val="right"/>
              <w:rPr>
                <w:i/>
                <w:iCs/>
              </w:rPr>
            </w:pPr>
            <w:r w:rsidRPr="005F0DDD">
              <w:rPr>
                <w:i/>
                <w:iCs/>
              </w:rPr>
              <w:t>(541)</w:t>
            </w:r>
          </w:p>
        </w:tc>
        <w:tc>
          <w:tcPr>
            <w:tcW w:w="5634" w:type="dxa"/>
            <w:tcBorders>
              <w:bottom w:val="nil"/>
            </w:tcBorders>
          </w:tcPr>
          <w:p w14:paraId="03BE2B01" w14:textId="77777777" w:rsidR="005F0DDD" w:rsidRPr="000127EF" w:rsidRDefault="005F0DDD" w:rsidP="005F0DDD">
            <w:pPr>
              <w:rPr>
                <w:rFonts w:cs="Arial"/>
                <w:szCs w:val="22"/>
                <w:lang w:val="en-US"/>
              </w:rPr>
            </w:pPr>
            <w:r w:rsidRPr="000127EF">
              <w:rPr>
                <w:rFonts w:cs="Arial"/>
                <w:szCs w:val="22"/>
                <w:lang w:val="en-US"/>
              </w:rPr>
              <w:t>Revaluation losses on Property, Plant &amp; Equipment</w:t>
            </w:r>
          </w:p>
        </w:tc>
        <w:tc>
          <w:tcPr>
            <w:tcW w:w="1534" w:type="dxa"/>
            <w:tcBorders>
              <w:bottom w:val="nil"/>
            </w:tcBorders>
            <w:shd w:val="clear" w:color="auto" w:fill="C5E0B3" w:themeFill="accent6" w:themeFillTint="66"/>
            <w:vAlign w:val="center"/>
          </w:tcPr>
          <w:p w14:paraId="31847FCF" w14:textId="5A0E4AB6" w:rsidR="005F0DDD" w:rsidRPr="00693219" w:rsidRDefault="00E839B1" w:rsidP="005F0DDD">
            <w:pPr>
              <w:jc w:val="right"/>
            </w:pPr>
            <w:r>
              <w:t>-</w:t>
            </w:r>
          </w:p>
        </w:tc>
      </w:tr>
      <w:tr w:rsidR="005F0DDD" w:rsidRPr="000127EF" w14:paraId="0408E639" w14:textId="77777777" w:rsidTr="007A79E7">
        <w:trPr>
          <w:jc w:val="center"/>
        </w:trPr>
        <w:tc>
          <w:tcPr>
            <w:tcW w:w="1454" w:type="dxa"/>
            <w:tcBorders>
              <w:bottom w:val="nil"/>
            </w:tcBorders>
            <w:vAlign w:val="center"/>
          </w:tcPr>
          <w:p w14:paraId="6F0BA083" w14:textId="58BBD97D" w:rsidR="005F0DDD" w:rsidRPr="005F0DDD" w:rsidRDefault="005F0DDD" w:rsidP="005F0DDD">
            <w:pPr>
              <w:jc w:val="right"/>
              <w:rPr>
                <w:i/>
                <w:iCs/>
              </w:rPr>
            </w:pPr>
            <w:r w:rsidRPr="005F0DDD">
              <w:rPr>
                <w:i/>
                <w:iCs/>
              </w:rPr>
              <w:t>(1,193)</w:t>
            </w:r>
          </w:p>
        </w:tc>
        <w:tc>
          <w:tcPr>
            <w:tcW w:w="5634" w:type="dxa"/>
            <w:tcBorders>
              <w:bottom w:val="nil"/>
            </w:tcBorders>
          </w:tcPr>
          <w:p w14:paraId="2C19B2A8" w14:textId="77777777" w:rsidR="005F0DDD" w:rsidRPr="000127EF" w:rsidRDefault="005F0DDD" w:rsidP="005F0DDD">
            <w:pPr>
              <w:rPr>
                <w:rFonts w:cs="Arial"/>
                <w:szCs w:val="22"/>
                <w:lang w:val="en-US"/>
              </w:rPr>
            </w:pPr>
            <w:r w:rsidRPr="000127EF">
              <w:rPr>
                <w:rFonts w:cs="Arial"/>
                <w:szCs w:val="22"/>
                <w:lang w:val="en-US"/>
              </w:rPr>
              <w:t>Revenue expenditure funded from capital under statute</w:t>
            </w:r>
          </w:p>
        </w:tc>
        <w:tc>
          <w:tcPr>
            <w:tcW w:w="1534" w:type="dxa"/>
            <w:tcBorders>
              <w:bottom w:val="nil"/>
            </w:tcBorders>
            <w:shd w:val="clear" w:color="auto" w:fill="C5E0B3" w:themeFill="accent6" w:themeFillTint="66"/>
            <w:vAlign w:val="center"/>
          </w:tcPr>
          <w:p w14:paraId="70E7B49D" w14:textId="3A4FC91E" w:rsidR="005F0DDD" w:rsidRPr="00693219" w:rsidRDefault="00693219" w:rsidP="005F0DDD">
            <w:pPr>
              <w:jc w:val="right"/>
            </w:pPr>
            <w:r w:rsidRPr="00693219">
              <w:t>(776)</w:t>
            </w:r>
          </w:p>
        </w:tc>
      </w:tr>
      <w:tr w:rsidR="005F0DDD" w:rsidRPr="000127EF" w14:paraId="044988DB" w14:textId="77777777" w:rsidTr="007A79E7">
        <w:trPr>
          <w:jc w:val="center"/>
        </w:trPr>
        <w:tc>
          <w:tcPr>
            <w:tcW w:w="1454" w:type="dxa"/>
            <w:tcBorders>
              <w:bottom w:val="nil"/>
            </w:tcBorders>
            <w:vAlign w:val="center"/>
          </w:tcPr>
          <w:p w14:paraId="6474BD7F" w14:textId="6BEEF66A" w:rsidR="005F0DDD" w:rsidRPr="005F0DDD" w:rsidRDefault="005F0DDD" w:rsidP="005F0DDD">
            <w:pPr>
              <w:jc w:val="right"/>
              <w:rPr>
                <w:i/>
                <w:iCs/>
              </w:rPr>
            </w:pPr>
            <w:r w:rsidRPr="005F0DDD">
              <w:rPr>
                <w:i/>
                <w:iCs/>
              </w:rPr>
              <w:t>1,074</w:t>
            </w:r>
          </w:p>
        </w:tc>
        <w:tc>
          <w:tcPr>
            <w:tcW w:w="5634" w:type="dxa"/>
            <w:tcBorders>
              <w:bottom w:val="nil"/>
            </w:tcBorders>
          </w:tcPr>
          <w:p w14:paraId="6D969217" w14:textId="77777777" w:rsidR="005F0DDD" w:rsidRPr="000127EF" w:rsidRDefault="005F0DDD" w:rsidP="005F0DDD">
            <w:pPr>
              <w:rPr>
                <w:rFonts w:cs="Arial"/>
                <w:szCs w:val="22"/>
                <w:lang w:val="en-US"/>
              </w:rPr>
            </w:pPr>
            <w:r w:rsidRPr="000127EF">
              <w:rPr>
                <w:rFonts w:cs="Arial"/>
                <w:szCs w:val="22"/>
                <w:lang w:val="en-US"/>
              </w:rPr>
              <w:t>Grant Funding of Revenue expenditure funded from capital under statute</w:t>
            </w:r>
          </w:p>
        </w:tc>
        <w:tc>
          <w:tcPr>
            <w:tcW w:w="1534" w:type="dxa"/>
            <w:tcBorders>
              <w:bottom w:val="nil"/>
            </w:tcBorders>
            <w:shd w:val="clear" w:color="auto" w:fill="C5E0B3" w:themeFill="accent6" w:themeFillTint="66"/>
            <w:vAlign w:val="center"/>
          </w:tcPr>
          <w:p w14:paraId="446F7E35" w14:textId="66B6E4CC" w:rsidR="005F0DDD" w:rsidRPr="00693219" w:rsidRDefault="00693219" w:rsidP="005F0DDD">
            <w:pPr>
              <w:jc w:val="right"/>
            </w:pPr>
            <w:r w:rsidRPr="00693219">
              <w:t>767</w:t>
            </w:r>
          </w:p>
        </w:tc>
      </w:tr>
      <w:tr w:rsidR="005F0DDD" w:rsidRPr="000127EF" w14:paraId="4FA7E0B4" w14:textId="77777777" w:rsidTr="007A79E7">
        <w:trPr>
          <w:jc w:val="center"/>
        </w:trPr>
        <w:tc>
          <w:tcPr>
            <w:tcW w:w="1454" w:type="dxa"/>
            <w:tcBorders>
              <w:bottom w:val="nil"/>
            </w:tcBorders>
            <w:vAlign w:val="center"/>
          </w:tcPr>
          <w:p w14:paraId="1413E59F" w14:textId="6ED7813F" w:rsidR="005F0DDD" w:rsidRPr="005F0DDD" w:rsidRDefault="005F0DDD" w:rsidP="005F0DDD">
            <w:pPr>
              <w:jc w:val="right"/>
              <w:rPr>
                <w:i/>
                <w:iCs/>
              </w:rPr>
            </w:pPr>
            <w:r w:rsidRPr="005F0DDD">
              <w:rPr>
                <w:i/>
                <w:iCs/>
              </w:rPr>
              <w:t>(5,156)</w:t>
            </w:r>
          </w:p>
        </w:tc>
        <w:tc>
          <w:tcPr>
            <w:tcW w:w="5634" w:type="dxa"/>
            <w:tcBorders>
              <w:bottom w:val="nil"/>
            </w:tcBorders>
          </w:tcPr>
          <w:p w14:paraId="5A5CB0BE" w14:textId="77777777" w:rsidR="005F0DDD" w:rsidRPr="000127EF" w:rsidRDefault="005F0DDD" w:rsidP="005F0DDD">
            <w:pPr>
              <w:rPr>
                <w:rFonts w:cs="Arial"/>
                <w:szCs w:val="22"/>
                <w:lang w:val="en-US"/>
              </w:rPr>
            </w:pPr>
            <w:r w:rsidRPr="000127EF">
              <w:rPr>
                <w:rFonts w:cs="Arial"/>
                <w:szCs w:val="22"/>
                <w:lang w:val="en-US"/>
              </w:rPr>
              <w:t>Amounts of non-current assets written off on disposal or sale as part of the gain or loss on disposal to the CIES</w:t>
            </w:r>
          </w:p>
        </w:tc>
        <w:tc>
          <w:tcPr>
            <w:tcW w:w="1534" w:type="dxa"/>
            <w:tcBorders>
              <w:bottom w:val="nil"/>
            </w:tcBorders>
            <w:shd w:val="clear" w:color="auto" w:fill="C5E0B3" w:themeFill="accent6" w:themeFillTint="66"/>
            <w:vAlign w:val="center"/>
          </w:tcPr>
          <w:p w14:paraId="30F55AC4" w14:textId="5428BC0F" w:rsidR="005F0DDD" w:rsidRPr="00693219" w:rsidRDefault="00693219" w:rsidP="005F0DDD">
            <w:pPr>
              <w:jc w:val="right"/>
            </w:pPr>
            <w:r w:rsidRPr="00693219">
              <w:t>(390)</w:t>
            </w:r>
          </w:p>
        </w:tc>
      </w:tr>
      <w:tr w:rsidR="005F0DDD" w:rsidRPr="000127EF" w14:paraId="142B66B5" w14:textId="77777777" w:rsidTr="007A79E7">
        <w:trPr>
          <w:jc w:val="center"/>
        </w:trPr>
        <w:tc>
          <w:tcPr>
            <w:tcW w:w="1454" w:type="dxa"/>
            <w:tcBorders>
              <w:bottom w:val="nil"/>
            </w:tcBorders>
            <w:vAlign w:val="center"/>
          </w:tcPr>
          <w:p w14:paraId="76642883" w14:textId="24D0D850" w:rsidR="005F0DDD" w:rsidRPr="005F0DDD" w:rsidRDefault="005F0DDD" w:rsidP="005F0DDD">
            <w:pPr>
              <w:jc w:val="right"/>
              <w:rPr>
                <w:i/>
                <w:iCs/>
              </w:rPr>
            </w:pPr>
            <w:r w:rsidRPr="005F0DDD">
              <w:rPr>
                <w:i/>
                <w:iCs/>
              </w:rPr>
              <w:t>3,031</w:t>
            </w:r>
          </w:p>
        </w:tc>
        <w:tc>
          <w:tcPr>
            <w:tcW w:w="5634" w:type="dxa"/>
            <w:tcBorders>
              <w:bottom w:val="nil"/>
            </w:tcBorders>
          </w:tcPr>
          <w:p w14:paraId="7B732299" w14:textId="77777777" w:rsidR="005F0DDD" w:rsidRPr="000127EF" w:rsidRDefault="005F0DDD" w:rsidP="005F0DDD">
            <w:pPr>
              <w:rPr>
                <w:rFonts w:cs="Arial"/>
                <w:szCs w:val="22"/>
                <w:lang w:val="en-US"/>
              </w:rPr>
            </w:pPr>
            <w:r w:rsidRPr="000127EF">
              <w:rPr>
                <w:rFonts w:cs="Arial"/>
                <w:szCs w:val="22"/>
                <w:lang w:val="en-US"/>
              </w:rPr>
              <w:t>Adjusting amounts written out of the Revaluation Reserve</w:t>
            </w:r>
          </w:p>
        </w:tc>
        <w:tc>
          <w:tcPr>
            <w:tcW w:w="1534" w:type="dxa"/>
            <w:tcBorders>
              <w:bottom w:val="nil"/>
            </w:tcBorders>
            <w:shd w:val="clear" w:color="auto" w:fill="C5E0B3" w:themeFill="accent6" w:themeFillTint="66"/>
            <w:vAlign w:val="center"/>
          </w:tcPr>
          <w:p w14:paraId="0B032EE9" w14:textId="36949679" w:rsidR="005F0DDD" w:rsidRPr="00693219" w:rsidRDefault="00693219" w:rsidP="005F0DDD">
            <w:pPr>
              <w:jc w:val="right"/>
            </w:pPr>
            <w:r w:rsidRPr="00693219">
              <w:t>149</w:t>
            </w:r>
          </w:p>
        </w:tc>
      </w:tr>
      <w:tr w:rsidR="005F0DDD" w:rsidRPr="000127EF" w14:paraId="6DBD1884" w14:textId="77777777" w:rsidTr="007A79E7">
        <w:trPr>
          <w:jc w:val="center"/>
        </w:trPr>
        <w:tc>
          <w:tcPr>
            <w:tcW w:w="1454" w:type="dxa"/>
            <w:tcBorders>
              <w:bottom w:val="nil"/>
            </w:tcBorders>
            <w:vAlign w:val="center"/>
          </w:tcPr>
          <w:p w14:paraId="7451144B" w14:textId="658485A4" w:rsidR="005F0DDD" w:rsidRDefault="005F0DDD" w:rsidP="005B4EFC">
            <w:pPr>
              <w:jc w:val="right"/>
              <w:rPr>
                <w:i/>
                <w:iCs/>
              </w:rPr>
            </w:pPr>
            <w:r w:rsidRPr="005F0DDD">
              <w:rPr>
                <w:i/>
                <w:iCs/>
              </w:rPr>
              <w:t>1</w:t>
            </w:r>
            <w:r w:rsidR="005B4EFC">
              <w:rPr>
                <w:i/>
                <w:iCs/>
              </w:rPr>
              <w:t>59</w:t>
            </w:r>
          </w:p>
          <w:p w14:paraId="600FDADC" w14:textId="4EA03D00" w:rsidR="005B4EFC" w:rsidRPr="005F0DDD" w:rsidRDefault="005B4EFC" w:rsidP="005B4EFC">
            <w:pPr>
              <w:rPr>
                <w:i/>
                <w:iCs/>
              </w:rPr>
            </w:pPr>
          </w:p>
        </w:tc>
        <w:tc>
          <w:tcPr>
            <w:tcW w:w="5634" w:type="dxa"/>
            <w:tcBorders>
              <w:bottom w:val="nil"/>
            </w:tcBorders>
          </w:tcPr>
          <w:p w14:paraId="5B4C1119" w14:textId="77777777" w:rsidR="005F0DDD" w:rsidRPr="000127EF" w:rsidRDefault="005F0DDD" w:rsidP="005F0DDD">
            <w:pPr>
              <w:rPr>
                <w:rFonts w:cs="Arial"/>
                <w:szCs w:val="22"/>
                <w:lang w:val="en-US"/>
              </w:rPr>
            </w:pPr>
            <w:r w:rsidRPr="000127EF">
              <w:rPr>
                <w:rFonts w:cs="Arial"/>
                <w:szCs w:val="22"/>
                <w:lang w:val="en-US"/>
              </w:rPr>
              <w:t>Use of the Capital Receipts Reserve to finance new capital expenditure and repay debt</w:t>
            </w:r>
          </w:p>
        </w:tc>
        <w:tc>
          <w:tcPr>
            <w:tcW w:w="1534" w:type="dxa"/>
            <w:tcBorders>
              <w:bottom w:val="nil"/>
            </w:tcBorders>
            <w:shd w:val="clear" w:color="auto" w:fill="C5E0B3" w:themeFill="accent6" w:themeFillTint="66"/>
            <w:vAlign w:val="center"/>
          </w:tcPr>
          <w:p w14:paraId="1038CA7F" w14:textId="77F2AF73" w:rsidR="005F0DDD" w:rsidRPr="00693219" w:rsidRDefault="005B4EFC" w:rsidP="005F0DDD">
            <w:pPr>
              <w:jc w:val="right"/>
            </w:pPr>
            <w:r>
              <w:t>128</w:t>
            </w:r>
          </w:p>
        </w:tc>
      </w:tr>
      <w:tr w:rsidR="005F0DDD" w:rsidRPr="000127EF" w14:paraId="229745B7" w14:textId="77777777" w:rsidTr="007A79E7">
        <w:trPr>
          <w:jc w:val="center"/>
        </w:trPr>
        <w:tc>
          <w:tcPr>
            <w:tcW w:w="1454" w:type="dxa"/>
            <w:tcBorders>
              <w:bottom w:val="nil"/>
            </w:tcBorders>
            <w:vAlign w:val="center"/>
          </w:tcPr>
          <w:p w14:paraId="0A626A81" w14:textId="39DECDB5" w:rsidR="005F0DDD" w:rsidRPr="005F0DDD" w:rsidRDefault="005F0DDD" w:rsidP="005F0DDD">
            <w:pPr>
              <w:jc w:val="right"/>
              <w:rPr>
                <w:i/>
                <w:iCs/>
              </w:rPr>
            </w:pPr>
            <w:r w:rsidRPr="005F0DDD">
              <w:rPr>
                <w:i/>
                <w:iCs/>
              </w:rPr>
              <w:t>2,727</w:t>
            </w:r>
          </w:p>
        </w:tc>
        <w:tc>
          <w:tcPr>
            <w:tcW w:w="5634" w:type="dxa"/>
            <w:tcBorders>
              <w:bottom w:val="nil"/>
            </w:tcBorders>
          </w:tcPr>
          <w:p w14:paraId="7C9C95BA" w14:textId="77777777" w:rsidR="005F0DDD" w:rsidRPr="000127EF" w:rsidRDefault="005F0DDD" w:rsidP="005F0DDD">
            <w:pPr>
              <w:rPr>
                <w:rFonts w:cs="Arial"/>
                <w:szCs w:val="22"/>
                <w:lang w:val="en-US"/>
              </w:rPr>
            </w:pPr>
            <w:r w:rsidRPr="000127EF">
              <w:rPr>
                <w:rFonts w:cs="Arial"/>
                <w:szCs w:val="22"/>
                <w:lang w:val="en-US"/>
              </w:rPr>
              <w:t>Capital grants and contributions credited to the CIES that have been applied to capital financing</w:t>
            </w:r>
          </w:p>
        </w:tc>
        <w:tc>
          <w:tcPr>
            <w:tcW w:w="1534" w:type="dxa"/>
            <w:tcBorders>
              <w:bottom w:val="nil"/>
            </w:tcBorders>
            <w:shd w:val="clear" w:color="auto" w:fill="C5E0B3" w:themeFill="accent6" w:themeFillTint="66"/>
            <w:vAlign w:val="center"/>
          </w:tcPr>
          <w:p w14:paraId="1E28E99F" w14:textId="50C6D708" w:rsidR="005F0DDD" w:rsidRPr="00693219" w:rsidRDefault="00693219" w:rsidP="005F0DDD">
            <w:pPr>
              <w:jc w:val="right"/>
            </w:pPr>
            <w:r w:rsidRPr="00693219">
              <w:t>587</w:t>
            </w:r>
          </w:p>
        </w:tc>
      </w:tr>
      <w:tr w:rsidR="005F0DDD" w:rsidRPr="000127EF" w14:paraId="5C4A00F5" w14:textId="77777777" w:rsidTr="007A79E7">
        <w:trPr>
          <w:jc w:val="center"/>
        </w:trPr>
        <w:tc>
          <w:tcPr>
            <w:tcW w:w="1454" w:type="dxa"/>
            <w:tcBorders>
              <w:bottom w:val="nil"/>
            </w:tcBorders>
            <w:vAlign w:val="center"/>
          </w:tcPr>
          <w:p w14:paraId="205A45DD" w14:textId="45BF1BB9" w:rsidR="005F0DDD" w:rsidRPr="005F0DDD" w:rsidRDefault="005F0DDD" w:rsidP="005F0DDD">
            <w:pPr>
              <w:jc w:val="right"/>
              <w:rPr>
                <w:i/>
                <w:iCs/>
              </w:rPr>
            </w:pPr>
            <w:r w:rsidRPr="005F0DDD">
              <w:rPr>
                <w:i/>
                <w:iCs/>
              </w:rPr>
              <w:t>334</w:t>
            </w:r>
          </w:p>
        </w:tc>
        <w:tc>
          <w:tcPr>
            <w:tcW w:w="5634" w:type="dxa"/>
            <w:tcBorders>
              <w:bottom w:val="nil"/>
            </w:tcBorders>
          </w:tcPr>
          <w:p w14:paraId="4236F498" w14:textId="77777777" w:rsidR="005F0DDD" w:rsidRPr="000127EF" w:rsidRDefault="005F0DDD" w:rsidP="005F0DDD">
            <w:pPr>
              <w:rPr>
                <w:rFonts w:cs="Arial"/>
                <w:szCs w:val="22"/>
                <w:lang w:val="en-US"/>
              </w:rPr>
            </w:pPr>
            <w:r w:rsidRPr="000127EF">
              <w:rPr>
                <w:rFonts w:cs="Arial"/>
                <w:szCs w:val="22"/>
                <w:lang w:val="en-US"/>
              </w:rPr>
              <w:t>Application of grants to capital financing from the Capital Grants Unapplied Account</w:t>
            </w:r>
          </w:p>
        </w:tc>
        <w:tc>
          <w:tcPr>
            <w:tcW w:w="1534" w:type="dxa"/>
            <w:tcBorders>
              <w:bottom w:val="nil"/>
            </w:tcBorders>
            <w:shd w:val="clear" w:color="auto" w:fill="C5E0B3" w:themeFill="accent6" w:themeFillTint="66"/>
            <w:vAlign w:val="center"/>
          </w:tcPr>
          <w:p w14:paraId="515245BB" w14:textId="57A5623E" w:rsidR="005F0DDD" w:rsidRPr="00693219" w:rsidRDefault="00693219" w:rsidP="005F0DDD">
            <w:pPr>
              <w:jc w:val="right"/>
            </w:pPr>
            <w:r w:rsidRPr="00693219">
              <w:t>2,012</w:t>
            </w:r>
          </w:p>
        </w:tc>
      </w:tr>
      <w:tr w:rsidR="005F0DDD" w:rsidRPr="000127EF" w14:paraId="5C07420C" w14:textId="77777777" w:rsidTr="007A79E7">
        <w:trPr>
          <w:jc w:val="center"/>
        </w:trPr>
        <w:tc>
          <w:tcPr>
            <w:tcW w:w="1454" w:type="dxa"/>
            <w:tcBorders>
              <w:bottom w:val="nil"/>
            </w:tcBorders>
            <w:vAlign w:val="center"/>
          </w:tcPr>
          <w:p w14:paraId="1E1391AB" w14:textId="7B6011A2" w:rsidR="005F0DDD" w:rsidRPr="005F0DDD" w:rsidRDefault="005F0DDD" w:rsidP="005F0DDD">
            <w:pPr>
              <w:jc w:val="right"/>
              <w:rPr>
                <w:i/>
                <w:iCs/>
              </w:rPr>
            </w:pPr>
            <w:r w:rsidRPr="005F0DDD">
              <w:rPr>
                <w:i/>
                <w:iCs/>
              </w:rPr>
              <w:t>154</w:t>
            </w:r>
          </w:p>
        </w:tc>
        <w:tc>
          <w:tcPr>
            <w:tcW w:w="5634" w:type="dxa"/>
            <w:tcBorders>
              <w:bottom w:val="nil"/>
            </w:tcBorders>
          </w:tcPr>
          <w:p w14:paraId="6FC81EB7" w14:textId="77777777" w:rsidR="005F0DDD" w:rsidRPr="000127EF" w:rsidRDefault="005F0DDD" w:rsidP="005F0DDD">
            <w:pPr>
              <w:rPr>
                <w:rFonts w:cs="Arial"/>
                <w:szCs w:val="22"/>
                <w:lang w:val="en-US"/>
              </w:rPr>
            </w:pPr>
            <w:r w:rsidRPr="000127EF">
              <w:rPr>
                <w:rFonts w:cs="Arial"/>
                <w:szCs w:val="22"/>
                <w:lang w:val="en-US"/>
              </w:rPr>
              <w:t>Capital expenditure charged against the general Fund balance</w:t>
            </w:r>
          </w:p>
        </w:tc>
        <w:tc>
          <w:tcPr>
            <w:tcW w:w="1534" w:type="dxa"/>
            <w:tcBorders>
              <w:bottom w:val="nil"/>
            </w:tcBorders>
            <w:shd w:val="clear" w:color="auto" w:fill="C5E0B3" w:themeFill="accent6" w:themeFillTint="66"/>
            <w:vAlign w:val="center"/>
          </w:tcPr>
          <w:p w14:paraId="6B4F4B43" w14:textId="0BC24FDF" w:rsidR="005F0DDD" w:rsidRPr="00693219" w:rsidRDefault="00693219" w:rsidP="005F0DDD">
            <w:pPr>
              <w:jc w:val="right"/>
            </w:pPr>
            <w:r w:rsidRPr="00693219">
              <w:t>415</w:t>
            </w:r>
          </w:p>
        </w:tc>
      </w:tr>
      <w:tr w:rsidR="005F0DDD" w:rsidRPr="000127EF" w14:paraId="1C36758F" w14:textId="77777777" w:rsidTr="007A79E7">
        <w:trPr>
          <w:jc w:val="center"/>
        </w:trPr>
        <w:tc>
          <w:tcPr>
            <w:tcW w:w="1454" w:type="dxa"/>
            <w:tcBorders>
              <w:bottom w:val="nil"/>
            </w:tcBorders>
            <w:vAlign w:val="center"/>
          </w:tcPr>
          <w:p w14:paraId="1D7DB82E" w14:textId="7B997DC2" w:rsidR="005F0DDD" w:rsidRPr="005F0DDD" w:rsidRDefault="005F0DDD" w:rsidP="005F0DDD">
            <w:pPr>
              <w:jc w:val="right"/>
              <w:rPr>
                <w:i/>
                <w:iCs/>
              </w:rPr>
            </w:pPr>
            <w:r w:rsidRPr="005F0DDD">
              <w:rPr>
                <w:i/>
                <w:iCs/>
              </w:rPr>
              <w:t>719</w:t>
            </w:r>
          </w:p>
        </w:tc>
        <w:tc>
          <w:tcPr>
            <w:tcW w:w="5634" w:type="dxa"/>
            <w:tcBorders>
              <w:bottom w:val="nil"/>
            </w:tcBorders>
          </w:tcPr>
          <w:p w14:paraId="7B0F6CD0" w14:textId="77777777" w:rsidR="005F0DDD" w:rsidRPr="000127EF" w:rsidRDefault="005F0DDD" w:rsidP="005F0DDD">
            <w:pPr>
              <w:rPr>
                <w:rFonts w:cs="Arial"/>
                <w:szCs w:val="22"/>
                <w:lang w:val="en-US"/>
              </w:rPr>
            </w:pPr>
            <w:r w:rsidRPr="000127EF">
              <w:rPr>
                <w:rFonts w:cs="Arial"/>
                <w:szCs w:val="22"/>
                <w:lang w:val="en-US"/>
              </w:rPr>
              <w:t>Statutory provision for the financing of capital investment charged against the General Fund balance</w:t>
            </w:r>
          </w:p>
        </w:tc>
        <w:tc>
          <w:tcPr>
            <w:tcW w:w="1534" w:type="dxa"/>
            <w:tcBorders>
              <w:bottom w:val="nil"/>
            </w:tcBorders>
            <w:shd w:val="clear" w:color="auto" w:fill="C5E0B3" w:themeFill="accent6" w:themeFillTint="66"/>
            <w:vAlign w:val="center"/>
          </w:tcPr>
          <w:p w14:paraId="19CE58EF" w14:textId="0EF5F9B3" w:rsidR="005F0DDD" w:rsidRPr="00693219" w:rsidRDefault="00693219" w:rsidP="005F0DDD">
            <w:pPr>
              <w:jc w:val="right"/>
            </w:pPr>
            <w:r w:rsidRPr="00693219">
              <w:t>719</w:t>
            </w:r>
          </w:p>
        </w:tc>
      </w:tr>
      <w:tr w:rsidR="005B4EFC" w:rsidRPr="000127EF" w14:paraId="4D2D47A7" w14:textId="77777777" w:rsidTr="007A79E7">
        <w:trPr>
          <w:jc w:val="center"/>
        </w:trPr>
        <w:tc>
          <w:tcPr>
            <w:tcW w:w="1454" w:type="dxa"/>
            <w:tcBorders>
              <w:bottom w:val="nil"/>
            </w:tcBorders>
            <w:vAlign w:val="center"/>
          </w:tcPr>
          <w:p w14:paraId="0F3C913E" w14:textId="5D22A211" w:rsidR="005B4EFC" w:rsidRPr="005F0DDD" w:rsidRDefault="005B4EFC" w:rsidP="005F0DDD">
            <w:pPr>
              <w:jc w:val="right"/>
              <w:rPr>
                <w:i/>
                <w:iCs/>
              </w:rPr>
            </w:pPr>
            <w:r>
              <w:rPr>
                <w:i/>
                <w:iCs/>
              </w:rPr>
              <w:t>(48)</w:t>
            </w:r>
          </w:p>
        </w:tc>
        <w:tc>
          <w:tcPr>
            <w:tcW w:w="5634" w:type="dxa"/>
            <w:tcBorders>
              <w:bottom w:val="nil"/>
            </w:tcBorders>
          </w:tcPr>
          <w:p w14:paraId="219CC274" w14:textId="14B03C32" w:rsidR="005B4EFC" w:rsidRPr="000127EF" w:rsidRDefault="005B4EFC" w:rsidP="005F0DDD">
            <w:pPr>
              <w:rPr>
                <w:rFonts w:cs="Arial"/>
                <w:szCs w:val="22"/>
                <w:lang w:val="en-US"/>
              </w:rPr>
            </w:pPr>
            <w:r>
              <w:rPr>
                <w:rFonts w:cs="Arial"/>
                <w:szCs w:val="22"/>
                <w:lang w:val="en-US"/>
              </w:rPr>
              <w:t>Capital Loans</w:t>
            </w:r>
          </w:p>
        </w:tc>
        <w:tc>
          <w:tcPr>
            <w:tcW w:w="1534" w:type="dxa"/>
            <w:tcBorders>
              <w:bottom w:val="nil"/>
            </w:tcBorders>
            <w:shd w:val="clear" w:color="auto" w:fill="C5E0B3" w:themeFill="accent6" w:themeFillTint="66"/>
            <w:vAlign w:val="center"/>
          </w:tcPr>
          <w:p w14:paraId="15DCA832" w14:textId="480211B8" w:rsidR="005B4EFC" w:rsidRPr="00693219" w:rsidRDefault="005B4EFC" w:rsidP="005F0DDD">
            <w:pPr>
              <w:jc w:val="right"/>
            </w:pPr>
            <w:r>
              <w:t>(48)</w:t>
            </w:r>
          </w:p>
        </w:tc>
      </w:tr>
      <w:tr w:rsidR="005F0DDD" w:rsidRPr="000127EF" w14:paraId="66B278F4" w14:textId="77777777" w:rsidTr="007A79E7">
        <w:trPr>
          <w:jc w:val="center"/>
        </w:trPr>
        <w:tc>
          <w:tcPr>
            <w:tcW w:w="1454" w:type="dxa"/>
            <w:tcBorders>
              <w:bottom w:val="nil"/>
            </w:tcBorders>
            <w:vAlign w:val="center"/>
          </w:tcPr>
          <w:p w14:paraId="02BE789B" w14:textId="57D934AE" w:rsidR="005F0DDD" w:rsidRPr="005F0DDD" w:rsidRDefault="005F0DDD" w:rsidP="005F0DDD">
            <w:pPr>
              <w:jc w:val="right"/>
              <w:rPr>
                <w:i/>
                <w:iCs/>
              </w:rPr>
            </w:pPr>
            <w:r w:rsidRPr="005F0DDD">
              <w:rPr>
                <w:i/>
                <w:iCs/>
              </w:rPr>
              <w:t>32</w:t>
            </w:r>
          </w:p>
        </w:tc>
        <w:tc>
          <w:tcPr>
            <w:tcW w:w="5634" w:type="dxa"/>
            <w:tcBorders>
              <w:bottom w:val="nil"/>
            </w:tcBorders>
          </w:tcPr>
          <w:p w14:paraId="60257E11" w14:textId="77777777" w:rsidR="005F0DDD" w:rsidRPr="000127EF" w:rsidRDefault="005F0DDD" w:rsidP="005F0DDD">
            <w:pPr>
              <w:rPr>
                <w:rFonts w:cs="Arial"/>
                <w:szCs w:val="22"/>
                <w:lang w:val="en-US"/>
              </w:rPr>
            </w:pPr>
            <w:r w:rsidRPr="000127EF">
              <w:rPr>
                <w:rFonts w:cs="Arial"/>
                <w:szCs w:val="22"/>
                <w:lang w:val="en-US"/>
              </w:rPr>
              <w:t>Use of the s106 Reserve to finance new capital expenditure</w:t>
            </w:r>
          </w:p>
        </w:tc>
        <w:tc>
          <w:tcPr>
            <w:tcW w:w="1534" w:type="dxa"/>
            <w:tcBorders>
              <w:bottom w:val="nil"/>
            </w:tcBorders>
            <w:shd w:val="clear" w:color="auto" w:fill="C5E0B3" w:themeFill="accent6" w:themeFillTint="66"/>
            <w:vAlign w:val="center"/>
          </w:tcPr>
          <w:p w14:paraId="19622F04" w14:textId="1276A87D" w:rsidR="005F0DDD" w:rsidRPr="00693219" w:rsidRDefault="00693219" w:rsidP="005F0DDD">
            <w:pPr>
              <w:jc w:val="right"/>
            </w:pPr>
            <w:r w:rsidRPr="00693219">
              <w:t>167</w:t>
            </w:r>
          </w:p>
        </w:tc>
      </w:tr>
      <w:tr w:rsidR="005F0DDD" w:rsidRPr="000127EF" w14:paraId="27265F40" w14:textId="77777777" w:rsidTr="007A79E7">
        <w:trPr>
          <w:jc w:val="center"/>
        </w:trPr>
        <w:tc>
          <w:tcPr>
            <w:tcW w:w="1454" w:type="dxa"/>
            <w:tcBorders>
              <w:top w:val="single" w:sz="8" w:space="0" w:color="auto"/>
              <w:bottom w:val="single" w:sz="8" w:space="0" w:color="auto"/>
            </w:tcBorders>
          </w:tcPr>
          <w:p w14:paraId="67D713F0" w14:textId="5FAAD8C4" w:rsidR="005F0DDD" w:rsidRPr="005F0DDD" w:rsidRDefault="005F0DDD" w:rsidP="005F0DDD">
            <w:pPr>
              <w:jc w:val="right"/>
              <w:rPr>
                <w:b/>
                <w:i/>
                <w:iCs/>
              </w:rPr>
            </w:pPr>
            <w:r w:rsidRPr="005F0DDD">
              <w:rPr>
                <w:b/>
                <w:i/>
                <w:iCs/>
              </w:rPr>
              <w:fldChar w:fldCharType="begin"/>
            </w:r>
            <w:r w:rsidRPr="005F0DDD">
              <w:rPr>
                <w:b/>
                <w:i/>
                <w:iCs/>
              </w:rPr>
              <w:instrText xml:space="preserve"> =SUM(C3:c15) </w:instrText>
            </w:r>
            <w:r w:rsidRPr="005F0DDD">
              <w:rPr>
                <w:b/>
                <w:i/>
                <w:iCs/>
              </w:rPr>
              <w:fldChar w:fldCharType="separate"/>
            </w:r>
            <w:r w:rsidRPr="005F0DDD">
              <w:rPr>
                <w:b/>
                <w:i/>
                <w:iCs/>
                <w:noProof/>
              </w:rPr>
              <w:t>35,765</w:t>
            </w:r>
            <w:r w:rsidRPr="005F0DDD">
              <w:rPr>
                <w:b/>
                <w:i/>
                <w:iCs/>
              </w:rPr>
              <w:fldChar w:fldCharType="end"/>
            </w:r>
          </w:p>
        </w:tc>
        <w:tc>
          <w:tcPr>
            <w:tcW w:w="5634" w:type="dxa"/>
            <w:tcBorders>
              <w:bottom w:val="nil"/>
            </w:tcBorders>
          </w:tcPr>
          <w:p w14:paraId="4124BC39" w14:textId="77777777" w:rsidR="005F0DDD" w:rsidRPr="000127EF" w:rsidRDefault="005F0DDD" w:rsidP="005F0DDD">
            <w:pPr>
              <w:rPr>
                <w:b/>
              </w:rPr>
            </w:pPr>
            <w:r w:rsidRPr="000127EF">
              <w:rPr>
                <w:b/>
              </w:rPr>
              <w:t>Balance at 31 March</w:t>
            </w:r>
          </w:p>
        </w:tc>
        <w:tc>
          <w:tcPr>
            <w:tcW w:w="1534" w:type="dxa"/>
            <w:tcBorders>
              <w:top w:val="single" w:sz="8" w:space="0" w:color="auto"/>
              <w:bottom w:val="single" w:sz="8" w:space="0" w:color="auto"/>
            </w:tcBorders>
            <w:shd w:val="clear" w:color="auto" w:fill="C5E0B3" w:themeFill="accent6" w:themeFillTint="66"/>
          </w:tcPr>
          <w:p w14:paraId="3955AEF9" w14:textId="225F44EF" w:rsidR="005F0DDD" w:rsidRPr="00693219" w:rsidRDefault="00693219" w:rsidP="005F0DDD">
            <w:pPr>
              <w:jc w:val="right"/>
              <w:rPr>
                <w:b/>
              </w:rPr>
            </w:pPr>
            <w:r w:rsidRPr="00693219">
              <w:rPr>
                <w:b/>
              </w:rPr>
              <w:t>37,119</w:t>
            </w:r>
          </w:p>
        </w:tc>
      </w:tr>
      <w:tr w:rsidR="007E76A0" w:rsidRPr="000127EF" w14:paraId="7A1BB993" w14:textId="77777777" w:rsidTr="007A79E7">
        <w:trPr>
          <w:trHeight w:hRule="exact" w:val="142"/>
          <w:jc w:val="center"/>
        </w:trPr>
        <w:tc>
          <w:tcPr>
            <w:tcW w:w="1454" w:type="dxa"/>
            <w:tcBorders>
              <w:top w:val="nil"/>
            </w:tcBorders>
          </w:tcPr>
          <w:p w14:paraId="0620D718" w14:textId="77777777" w:rsidR="007E76A0" w:rsidRPr="000127EF" w:rsidRDefault="007E76A0" w:rsidP="007E76A0">
            <w:pPr>
              <w:jc w:val="right"/>
              <w:rPr>
                <w:i/>
              </w:rPr>
            </w:pPr>
          </w:p>
        </w:tc>
        <w:tc>
          <w:tcPr>
            <w:tcW w:w="5634" w:type="dxa"/>
            <w:tcBorders>
              <w:top w:val="nil"/>
            </w:tcBorders>
          </w:tcPr>
          <w:p w14:paraId="34E87A14" w14:textId="77777777" w:rsidR="007E76A0" w:rsidRPr="000127EF" w:rsidRDefault="007E76A0" w:rsidP="007E76A0">
            <w:pPr>
              <w:jc w:val="both"/>
            </w:pPr>
          </w:p>
        </w:tc>
        <w:tc>
          <w:tcPr>
            <w:tcW w:w="1534" w:type="dxa"/>
            <w:tcBorders>
              <w:top w:val="nil"/>
            </w:tcBorders>
          </w:tcPr>
          <w:p w14:paraId="55A01A3F" w14:textId="77777777" w:rsidR="007E76A0" w:rsidRPr="00693219" w:rsidRDefault="007E76A0" w:rsidP="007E76A0">
            <w:pPr>
              <w:jc w:val="right"/>
            </w:pPr>
          </w:p>
        </w:tc>
      </w:tr>
    </w:tbl>
    <w:p w14:paraId="589A4C23" w14:textId="77777777" w:rsidR="007C7528" w:rsidRPr="000127EF" w:rsidRDefault="007C7528" w:rsidP="007C7528">
      <w:pPr>
        <w:spacing w:before="240" w:after="120"/>
        <w:rPr>
          <w:b/>
        </w:rPr>
      </w:pPr>
      <w:r w:rsidRPr="000127EF">
        <w:rPr>
          <w:b/>
        </w:rPr>
        <w:t>Pensions Reserve</w:t>
      </w:r>
    </w:p>
    <w:p w14:paraId="3267BDD9" w14:textId="77777777" w:rsidR="007C7528" w:rsidRPr="000127EF" w:rsidRDefault="007C7528" w:rsidP="007C7528">
      <w:pPr>
        <w:spacing w:after="120"/>
        <w:jc w:val="both"/>
      </w:pPr>
      <w:r w:rsidRPr="000127EF">
        <w:t>The Pensions Reserve absorbs the timing differences arising from the different arrangements for accounting for post-employment benefits and for funding benefits in accordance with statutory provisions.  The authority accounts for post-employment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authority makes employers contributions to pension funds or eventually pays any pensions for which it is directly responsible.  The debit balance on the Pensions Reserve therefore shows a substantial shortfall in the benefits earned by past and current employees and the resources the authority has set aside to meet them.  The statutory arrangements will ensure that funding will have been set aside by the time benefits come to be paid.</w:t>
      </w:r>
    </w:p>
    <w:tbl>
      <w:tblPr>
        <w:tblStyle w:val="TableGrid"/>
        <w:tblW w:w="8716"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70"/>
        <w:gridCol w:w="5695"/>
        <w:gridCol w:w="1551"/>
      </w:tblGrid>
      <w:tr w:rsidR="005F0DDD" w:rsidRPr="000127EF" w14:paraId="5F4C2A62" w14:textId="77777777" w:rsidTr="00296430">
        <w:trPr>
          <w:trHeight w:val="285"/>
          <w:jc w:val="center"/>
        </w:trPr>
        <w:tc>
          <w:tcPr>
            <w:tcW w:w="1470" w:type="dxa"/>
          </w:tcPr>
          <w:p w14:paraId="50EAED38" w14:textId="3394B49A" w:rsidR="005F0DDD" w:rsidRPr="005F0DDD" w:rsidRDefault="005F0DDD" w:rsidP="005F0DDD">
            <w:pPr>
              <w:jc w:val="center"/>
              <w:rPr>
                <w:b/>
                <w:i/>
                <w:iCs/>
              </w:rPr>
            </w:pPr>
            <w:r w:rsidRPr="005F0DDD">
              <w:rPr>
                <w:b/>
                <w:i/>
                <w:iCs/>
              </w:rPr>
              <w:t>2018/19</w:t>
            </w:r>
          </w:p>
        </w:tc>
        <w:tc>
          <w:tcPr>
            <w:tcW w:w="5695" w:type="dxa"/>
            <w:vAlign w:val="center"/>
          </w:tcPr>
          <w:p w14:paraId="5F9B70CF" w14:textId="77777777" w:rsidR="005F0DDD" w:rsidRPr="000127EF" w:rsidRDefault="005F0DDD" w:rsidP="005F0DDD">
            <w:pPr>
              <w:jc w:val="center"/>
              <w:rPr>
                <w:b/>
              </w:rPr>
            </w:pPr>
            <w:r w:rsidRPr="000127EF">
              <w:rPr>
                <w:b/>
              </w:rPr>
              <w:t>Pensions Reserve</w:t>
            </w:r>
          </w:p>
        </w:tc>
        <w:tc>
          <w:tcPr>
            <w:tcW w:w="1551" w:type="dxa"/>
          </w:tcPr>
          <w:p w14:paraId="69438B84" w14:textId="383DBC60" w:rsidR="005F0DDD" w:rsidRPr="00D433E6" w:rsidRDefault="005F0DDD" w:rsidP="005F0DDD">
            <w:pPr>
              <w:jc w:val="center"/>
              <w:rPr>
                <w:b/>
              </w:rPr>
            </w:pPr>
            <w:r w:rsidRPr="00D433E6">
              <w:rPr>
                <w:b/>
              </w:rPr>
              <w:t>2019/20</w:t>
            </w:r>
          </w:p>
        </w:tc>
      </w:tr>
      <w:tr w:rsidR="005F0DDD" w:rsidRPr="000127EF" w14:paraId="65F870A8" w14:textId="77777777" w:rsidTr="00296430">
        <w:trPr>
          <w:trHeight w:val="264"/>
          <w:jc w:val="center"/>
        </w:trPr>
        <w:tc>
          <w:tcPr>
            <w:tcW w:w="1470" w:type="dxa"/>
          </w:tcPr>
          <w:p w14:paraId="0802CCDE" w14:textId="6195577B" w:rsidR="005F0DDD" w:rsidRPr="005F0DDD" w:rsidRDefault="005F0DDD" w:rsidP="005F0DDD">
            <w:pPr>
              <w:jc w:val="center"/>
              <w:rPr>
                <w:b/>
                <w:i/>
                <w:iCs/>
              </w:rPr>
            </w:pPr>
            <w:r w:rsidRPr="005F0DDD">
              <w:rPr>
                <w:b/>
                <w:i/>
                <w:iCs/>
              </w:rPr>
              <w:t>£000</w:t>
            </w:r>
          </w:p>
        </w:tc>
        <w:tc>
          <w:tcPr>
            <w:tcW w:w="5695" w:type="dxa"/>
          </w:tcPr>
          <w:p w14:paraId="6E7A1D43" w14:textId="77777777" w:rsidR="005F0DDD" w:rsidRPr="000127EF" w:rsidRDefault="005F0DDD" w:rsidP="005F0DDD">
            <w:pPr>
              <w:jc w:val="center"/>
              <w:rPr>
                <w:b/>
              </w:rPr>
            </w:pPr>
          </w:p>
        </w:tc>
        <w:tc>
          <w:tcPr>
            <w:tcW w:w="1551" w:type="dxa"/>
            <w:shd w:val="clear" w:color="auto" w:fill="C5E0B3" w:themeFill="accent6" w:themeFillTint="66"/>
          </w:tcPr>
          <w:p w14:paraId="5DC19185" w14:textId="77777777" w:rsidR="005F0DDD" w:rsidRPr="00D433E6" w:rsidRDefault="005F0DDD" w:rsidP="005F0DDD">
            <w:pPr>
              <w:jc w:val="center"/>
              <w:rPr>
                <w:b/>
              </w:rPr>
            </w:pPr>
            <w:r w:rsidRPr="00D433E6">
              <w:rPr>
                <w:b/>
              </w:rPr>
              <w:t>£000</w:t>
            </w:r>
          </w:p>
        </w:tc>
      </w:tr>
      <w:tr w:rsidR="005F0DDD" w:rsidRPr="000127EF" w14:paraId="429C9237" w14:textId="77777777" w:rsidTr="00296430">
        <w:trPr>
          <w:trHeight w:val="245"/>
          <w:jc w:val="center"/>
        </w:trPr>
        <w:tc>
          <w:tcPr>
            <w:tcW w:w="1470" w:type="dxa"/>
            <w:vAlign w:val="center"/>
          </w:tcPr>
          <w:p w14:paraId="0706D8F7" w14:textId="6778A5FF" w:rsidR="005F0DDD" w:rsidRPr="005F0DDD" w:rsidRDefault="005F0DDD" w:rsidP="005F0DDD">
            <w:pPr>
              <w:jc w:val="right"/>
              <w:rPr>
                <w:i/>
                <w:iCs/>
              </w:rPr>
            </w:pPr>
            <w:r w:rsidRPr="005F0DDD">
              <w:rPr>
                <w:i/>
                <w:iCs/>
              </w:rPr>
              <w:t>(37,109)</w:t>
            </w:r>
          </w:p>
        </w:tc>
        <w:tc>
          <w:tcPr>
            <w:tcW w:w="5695" w:type="dxa"/>
            <w:vAlign w:val="center"/>
          </w:tcPr>
          <w:p w14:paraId="2CBE3FD7" w14:textId="48407134" w:rsidR="005F0DDD" w:rsidRPr="000127EF" w:rsidRDefault="005F0DDD" w:rsidP="005F0DDD">
            <w:pPr>
              <w:rPr>
                <w:rFonts w:cs="Arial"/>
                <w:szCs w:val="22"/>
                <w:lang w:val="en-US"/>
              </w:rPr>
            </w:pPr>
            <w:r w:rsidRPr="000127EF">
              <w:rPr>
                <w:rFonts w:cs="Arial"/>
                <w:szCs w:val="22"/>
                <w:lang w:val="en-US"/>
              </w:rPr>
              <w:t xml:space="preserve">Balance 1 April </w:t>
            </w:r>
          </w:p>
        </w:tc>
        <w:tc>
          <w:tcPr>
            <w:tcW w:w="1551" w:type="dxa"/>
            <w:shd w:val="clear" w:color="auto" w:fill="C5E0B3" w:themeFill="accent6" w:themeFillTint="66"/>
            <w:vAlign w:val="center"/>
          </w:tcPr>
          <w:p w14:paraId="19A3F938" w14:textId="23A12E0E" w:rsidR="005F0DDD" w:rsidRPr="00D433E6" w:rsidRDefault="00D433E6" w:rsidP="005F0DDD">
            <w:pPr>
              <w:jc w:val="right"/>
            </w:pPr>
            <w:r w:rsidRPr="00D433E6">
              <w:t>(47,095)</w:t>
            </w:r>
          </w:p>
        </w:tc>
      </w:tr>
      <w:tr w:rsidR="005F0DDD" w:rsidRPr="000127EF" w14:paraId="0F4856B7" w14:textId="77777777" w:rsidTr="00296430">
        <w:trPr>
          <w:trHeight w:val="508"/>
          <w:jc w:val="center"/>
        </w:trPr>
        <w:tc>
          <w:tcPr>
            <w:tcW w:w="1470" w:type="dxa"/>
            <w:tcBorders>
              <w:bottom w:val="nil"/>
            </w:tcBorders>
            <w:vAlign w:val="center"/>
          </w:tcPr>
          <w:p w14:paraId="0BA21CA7" w14:textId="2D533672" w:rsidR="005F0DDD" w:rsidRPr="005F0DDD" w:rsidRDefault="005F0DDD" w:rsidP="005F0DDD">
            <w:pPr>
              <w:jc w:val="right"/>
              <w:rPr>
                <w:i/>
                <w:iCs/>
              </w:rPr>
            </w:pPr>
            <w:r w:rsidRPr="005F0DDD">
              <w:rPr>
                <w:i/>
                <w:iCs/>
              </w:rPr>
              <w:t>(</w:t>
            </w:r>
            <w:r w:rsidR="00D433E6">
              <w:rPr>
                <w:i/>
                <w:iCs/>
              </w:rPr>
              <w:t>6,935</w:t>
            </w:r>
            <w:r w:rsidRPr="005F0DDD">
              <w:rPr>
                <w:i/>
                <w:iCs/>
              </w:rPr>
              <w:t>)</w:t>
            </w:r>
          </w:p>
        </w:tc>
        <w:tc>
          <w:tcPr>
            <w:tcW w:w="5695" w:type="dxa"/>
            <w:tcBorders>
              <w:bottom w:val="nil"/>
            </w:tcBorders>
          </w:tcPr>
          <w:p w14:paraId="6531EFE2" w14:textId="77777777" w:rsidR="005F0DDD" w:rsidRPr="000127EF" w:rsidRDefault="005F0DDD" w:rsidP="005F0DDD">
            <w:pPr>
              <w:rPr>
                <w:rFonts w:cs="Arial"/>
                <w:szCs w:val="22"/>
                <w:lang w:val="en-US"/>
              </w:rPr>
            </w:pPr>
            <w:r w:rsidRPr="000127EF">
              <w:rPr>
                <w:rFonts w:cs="Arial"/>
                <w:szCs w:val="22"/>
                <w:lang w:val="en-US"/>
              </w:rPr>
              <w:t>Re-measurements of the net defined benefit liability (asset)</w:t>
            </w:r>
          </w:p>
        </w:tc>
        <w:tc>
          <w:tcPr>
            <w:tcW w:w="1551" w:type="dxa"/>
            <w:tcBorders>
              <w:bottom w:val="nil"/>
            </w:tcBorders>
            <w:shd w:val="clear" w:color="auto" w:fill="C5E0B3" w:themeFill="accent6" w:themeFillTint="66"/>
            <w:vAlign w:val="center"/>
          </w:tcPr>
          <w:p w14:paraId="47CC9A4D" w14:textId="66526201" w:rsidR="005F0DDD" w:rsidRPr="00D433E6" w:rsidRDefault="00D433E6" w:rsidP="005F0DDD">
            <w:pPr>
              <w:jc w:val="right"/>
            </w:pPr>
            <w:r w:rsidRPr="00D433E6">
              <w:t>10,</w:t>
            </w:r>
            <w:r w:rsidR="00066317">
              <w:t>229</w:t>
            </w:r>
          </w:p>
        </w:tc>
      </w:tr>
      <w:tr w:rsidR="005F0DDD" w:rsidRPr="000127EF" w14:paraId="267325F1" w14:textId="77777777" w:rsidTr="00296430">
        <w:trPr>
          <w:trHeight w:val="772"/>
          <w:jc w:val="center"/>
        </w:trPr>
        <w:tc>
          <w:tcPr>
            <w:tcW w:w="1470" w:type="dxa"/>
            <w:tcBorders>
              <w:bottom w:val="nil"/>
            </w:tcBorders>
            <w:vAlign w:val="center"/>
          </w:tcPr>
          <w:p w14:paraId="65335CAE" w14:textId="520AF997" w:rsidR="005F0DDD" w:rsidRPr="005F0DDD" w:rsidRDefault="005F0DDD" w:rsidP="005F0DDD">
            <w:pPr>
              <w:jc w:val="right"/>
              <w:rPr>
                <w:i/>
                <w:iCs/>
              </w:rPr>
            </w:pPr>
            <w:r w:rsidRPr="005F0DDD">
              <w:rPr>
                <w:i/>
                <w:iCs/>
              </w:rPr>
              <w:t>(</w:t>
            </w:r>
            <w:r w:rsidR="00D433E6">
              <w:rPr>
                <w:i/>
                <w:iCs/>
              </w:rPr>
              <w:t>5,473</w:t>
            </w:r>
            <w:r w:rsidRPr="005F0DDD">
              <w:rPr>
                <w:i/>
                <w:iCs/>
              </w:rPr>
              <w:t>)</w:t>
            </w:r>
          </w:p>
        </w:tc>
        <w:tc>
          <w:tcPr>
            <w:tcW w:w="5695" w:type="dxa"/>
            <w:tcBorders>
              <w:bottom w:val="nil"/>
            </w:tcBorders>
          </w:tcPr>
          <w:p w14:paraId="7E7773DF" w14:textId="77777777" w:rsidR="005F0DDD" w:rsidRPr="000127EF" w:rsidRDefault="005F0DDD" w:rsidP="005F0DDD">
            <w:pPr>
              <w:rPr>
                <w:rFonts w:cs="Arial"/>
                <w:szCs w:val="22"/>
                <w:lang w:val="en-US"/>
              </w:rPr>
            </w:pPr>
            <w:r w:rsidRPr="000127EF">
              <w:rPr>
                <w:rFonts w:cs="Arial"/>
                <w:szCs w:val="22"/>
                <w:lang w:val="en-US"/>
              </w:rPr>
              <w:t>Reversal of items relating to retirement benefits debited or credited to the Surplus or Deficit on the Provision of Services in the CIES</w:t>
            </w:r>
          </w:p>
        </w:tc>
        <w:tc>
          <w:tcPr>
            <w:tcW w:w="1551" w:type="dxa"/>
            <w:tcBorders>
              <w:bottom w:val="nil"/>
            </w:tcBorders>
            <w:shd w:val="clear" w:color="auto" w:fill="C5E0B3" w:themeFill="accent6" w:themeFillTint="66"/>
            <w:vAlign w:val="center"/>
          </w:tcPr>
          <w:p w14:paraId="47A52B18" w14:textId="0B9F46B9" w:rsidR="005F0DDD" w:rsidRPr="00D433E6" w:rsidRDefault="00D433E6" w:rsidP="005F0DDD">
            <w:pPr>
              <w:jc w:val="right"/>
            </w:pPr>
            <w:r w:rsidRPr="00D433E6">
              <w:t>(5,911)</w:t>
            </w:r>
          </w:p>
        </w:tc>
      </w:tr>
      <w:tr w:rsidR="005F0DDD" w:rsidRPr="000127EF" w14:paraId="3C9B01D0" w14:textId="77777777" w:rsidTr="00296430">
        <w:trPr>
          <w:trHeight w:val="508"/>
          <w:jc w:val="center"/>
        </w:trPr>
        <w:tc>
          <w:tcPr>
            <w:tcW w:w="1470" w:type="dxa"/>
            <w:tcBorders>
              <w:bottom w:val="nil"/>
            </w:tcBorders>
            <w:vAlign w:val="center"/>
          </w:tcPr>
          <w:p w14:paraId="2A834972" w14:textId="1325F893" w:rsidR="005F0DDD" w:rsidRPr="005F0DDD" w:rsidRDefault="005F0DDD" w:rsidP="005F0DDD">
            <w:pPr>
              <w:jc w:val="right"/>
              <w:rPr>
                <w:i/>
                <w:iCs/>
              </w:rPr>
            </w:pPr>
            <w:r w:rsidRPr="005F0DDD">
              <w:rPr>
                <w:i/>
                <w:iCs/>
              </w:rPr>
              <w:t>2,422</w:t>
            </w:r>
          </w:p>
        </w:tc>
        <w:tc>
          <w:tcPr>
            <w:tcW w:w="5695" w:type="dxa"/>
            <w:tcBorders>
              <w:bottom w:val="nil"/>
            </w:tcBorders>
          </w:tcPr>
          <w:p w14:paraId="09A56B6A" w14:textId="77777777" w:rsidR="005F0DDD" w:rsidRPr="000127EF" w:rsidRDefault="005F0DDD" w:rsidP="005F0DDD">
            <w:r w:rsidRPr="000127EF">
              <w:t>Employers pensions contributions and direct payments to pensioners payable in the year</w:t>
            </w:r>
          </w:p>
        </w:tc>
        <w:tc>
          <w:tcPr>
            <w:tcW w:w="1551" w:type="dxa"/>
            <w:tcBorders>
              <w:bottom w:val="nil"/>
            </w:tcBorders>
            <w:shd w:val="clear" w:color="auto" w:fill="C5E0B3" w:themeFill="accent6" w:themeFillTint="66"/>
            <w:vAlign w:val="center"/>
          </w:tcPr>
          <w:p w14:paraId="2A16828C" w14:textId="7A65BF00" w:rsidR="005F0DDD" w:rsidRPr="00D433E6" w:rsidRDefault="00D433E6" w:rsidP="005F0DDD">
            <w:pPr>
              <w:jc w:val="right"/>
            </w:pPr>
            <w:r w:rsidRPr="00D433E6">
              <w:t>2,817</w:t>
            </w:r>
          </w:p>
        </w:tc>
      </w:tr>
      <w:tr w:rsidR="005F0DDD" w:rsidRPr="000127EF" w14:paraId="01A4A05F" w14:textId="77777777" w:rsidTr="00296430">
        <w:trPr>
          <w:trHeight w:val="264"/>
          <w:jc w:val="center"/>
        </w:trPr>
        <w:tc>
          <w:tcPr>
            <w:tcW w:w="1470" w:type="dxa"/>
            <w:tcBorders>
              <w:top w:val="single" w:sz="8" w:space="0" w:color="auto"/>
              <w:bottom w:val="single" w:sz="8" w:space="0" w:color="auto"/>
            </w:tcBorders>
          </w:tcPr>
          <w:p w14:paraId="21A150F2" w14:textId="255430B1" w:rsidR="005F0DDD" w:rsidRPr="005F0DDD" w:rsidRDefault="00D873AC" w:rsidP="005F0DDD">
            <w:pPr>
              <w:jc w:val="right"/>
              <w:rPr>
                <w:b/>
                <w:i/>
                <w:iCs/>
              </w:rPr>
            </w:pPr>
            <w:r>
              <w:rPr>
                <w:b/>
                <w:i/>
                <w:iCs/>
              </w:rPr>
              <w:fldChar w:fldCharType="begin"/>
            </w:r>
            <w:r>
              <w:rPr>
                <w:b/>
                <w:i/>
                <w:iCs/>
              </w:rPr>
              <w:instrText xml:space="preserve"> =SUM(a3:a6) </w:instrText>
            </w:r>
            <w:r>
              <w:rPr>
                <w:b/>
                <w:i/>
                <w:iCs/>
              </w:rPr>
              <w:fldChar w:fldCharType="separate"/>
            </w:r>
            <w:r>
              <w:rPr>
                <w:b/>
                <w:i/>
                <w:iCs/>
                <w:noProof/>
              </w:rPr>
              <w:t>(47,095)</w:t>
            </w:r>
            <w:r>
              <w:rPr>
                <w:b/>
                <w:i/>
                <w:iCs/>
              </w:rPr>
              <w:fldChar w:fldCharType="end"/>
            </w:r>
          </w:p>
        </w:tc>
        <w:tc>
          <w:tcPr>
            <w:tcW w:w="5695" w:type="dxa"/>
            <w:tcBorders>
              <w:bottom w:val="nil"/>
            </w:tcBorders>
          </w:tcPr>
          <w:p w14:paraId="44AB1939" w14:textId="77777777" w:rsidR="005F0DDD" w:rsidRPr="000127EF" w:rsidRDefault="005F0DDD" w:rsidP="005F0DDD">
            <w:pPr>
              <w:rPr>
                <w:b/>
              </w:rPr>
            </w:pPr>
            <w:r w:rsidRPr="000127EF">
              <w:rPr>
                <w:b/>
              </w:rPr>
              <w:t>Total</w:t>
            </w:r>
          </w:p>
        </w:tc>
        <w:tc>
          <w:tcPr>
            <w:tcW w:w="1551" w:type="dxa"/>
            <w:tcBorders>
              <w:top w:val="single" w:sz="8" w:space="0" w:color="auto"/>
              <w:bottom w:val="single" w:sz="8" w:space="0" w:color="auto"/>
            </w:tcBorders>
            <w:shd w:val="clear" w:color="auto" w:fill="C5E0B3" w:themeFill="accent6" w:themeFillTint="66"/>
          </w:tcPr>
          <w:p w14:paraId="72F37A38" w14:textId="43E482D9" w:rsidR="005F0DDD" w:rsidRPr="00D433E6" w:rsidRDefault="00D433E6" w:rsidP="005F0DDD">
            <w:pPr>
              <w:jc w:val="right"/>
              <w:rPr>
                <w:b/>
              </w:rPr>
            </w:pPr>
            <w:r w:rsidRPr="00D433E6">
              <w:rPr>
                <w:b/>
              </w:rPr>
              <w:t>(</w:t>
            </w:r>
            <w:r w:rsidR="00066317">
              <w:rPr>
                <w:b/>
              </w:rPr>
              <w:t>39</w:t>
            </w:r>
            <w:r w:rsidRPr="00D433E6">
              <w:rPr>
                <w:b/>
              </w:rPr>
              <w:t>,</w:t>
            </w:r>
            <w:r w:rsidR="00066317">
              <w:rPr>
                <w:b/>
              </w:rPr>
              <w:t>960</w:t>
            </w:r>
            <w:r w:rsidRPr="00D433E6">
              <w:rPr>
                <w:b/>
              </w:rPr>
              <w:t>)</w:t>
            </w:r>
          </w:p>
        </w:tc>
      </w:tr>
      <w:tr w:rsidR="007E76A0" w:rsidRPr="000127EF" w14:paraId="4FCC321F" w14:textId="77777777" w:rsidTr="00296430">
        <w:trPr>
          <w:trHeight w:hRule="exact" w:val="143"/>
          <w:jc w:val="center"/>
        </w:trPr>
        <w:tc>
          <w:tcPr>
            <w:tcW w:w="1470" w:type="dxa"/>
            <w:tcBorders>
              <w:top w:val="nil"/>
            </w:tcBorders>
          </w:tcPr>
          <w:p w14:paraId="23A910E3" w14:textId="77777777" w:rsidR="007E76A0" w:rsidRPr="000127EF" w:rsidRDefault="007E76A0" w:rsidP="007E76A0">
            <w:pPr>
              <w:jc w:val="right"/>
              <w:rPr>
                <w:i/>
              </w:rPr>
            </w:pPr>
          </w:p>
        </w:tc>
        <w:tc>
          <w:tcPr>
            <w:tcW w:w="5695" w:type="dxa"/>
            <w:tcBorders>
              <w:top w:val="nil"/>
            </w:tcBorders>
          </w:tcPr>
          <w:p w14:paraId="27F9AD08" w14:textId="77777777" w:rsidR="007E76A0" w:rsidRPr="000127EF" w:rsidRDefault="007E76A0" w:rsidP="007E76A0">
            <w:pPr>
              <w:jc w:val="both"/>
            </w:pPr>
          </w:p>
        </w:tc>
        <w:tc>
          <w:tcPr>
            <w:tcW w:w="1551" w:type="dxa"/>
            <w:tcBorders>
              <w:top w:val="nil"/>
            </w:tcBorders>
          </w:tcPr>
          <w:p w14:paraId="306FE5B6" w14:textId="77777777" w:rsidR="007E76A0" w:rsidRPr="00D433E6" w:rsidRDefault="007E76A0" w:rsidP="007E76A0">
            <w:pPr>
              <w:jc w:val="right"/>
            </w:pPr>
          </w:p>
        </w:tc>
      </w:tr>
    </w:tbl>
    <w:p w14:paraId="43EDAC64" w14:textId="77777777" w:rsidR="00D32330" w:rsidRPr="000127EF" w:rsidRDefault="00D32330">
      <w:pPr>
        <w:rPr>
          <w:b/>
        </w:rPr>
      </w:pPr>
      <w:r w:rsidRPr="000127EF">
        <w:rPr>
          <w:b/>
        </w:rPr>
        <w:br w:type="page"/>
      </w:r>
    </w:p>
    <w:p w14:paraId="67ABBDE4" w14:textId="7DD3DDB7" w:rsidR="0062246E" w:rsidRPr="000127EF" w:rsidRDefault="0062246E" w:rsidP="0062246E">
      <w:pPr>
        <w:spacing w:before="240" w:after="120"/>
        <w:rPr>
          <w:b/>
        </w:rPr>
      </w:pPr>
      <w:r w:rsidRPr="000127EF">
        <w:rPr>
          <w:b/>
        </w:rPr>
        <w:lastRenderedPageBreak/>
        <w:t>Collection Fund Adjustment Account</w:t>
      </w:r>
    </w:p>
    <w:p w14:paraId="42A0C844" w14:textId="77777777" w:rsidR="0062246E" w:rsidRPr="000127EF" w:rsidRDefault="0062246E" w:rsidP="0062246E">
      <w:pPr>
        <w:spacing w:after="120"/>
        <w:jc w:val="both"/>
      </w:pPr>
      <w:r w:rsidRPr="000127EF">
        <w:t>The Collection Fund Adjustment Account manages the differences arising from the recognition of council tax income in the CIES as it falls due from council tax payers and business rate payers compared with the statutory arrangements for paying across amounts to the General Fund from the Collection Fund.</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62246E" w:rsidRPr="000127EF" w14:paraId="6F4C8C4B" w14:textId="77777777" w:rsidTr="00140376">
        <w:trPr>
          <w:trHeight w:val="283"/>
          <w:jc w:val="center"/>
        </w:trPr>
        <w:tc>
          <w:tcPr>
            <w:tcW w:w="1454" w:type="dxa"/>
          </w:tcPr>
          <w:p w14:paraId="2D2FBCE2" w14:textId="1B7A6D62" w:rsidR="0062246E" w:rsidRPr="000127EF" w:rsidRDefault="004A1E42" w:rsidP="005E02A2">
            <w:pPr>
              <w:jc w:val="center"/>
              <w:rPr>
                <w:b/>
                <w:i/>
              </w:rPr>
            </w:pPr>
            <w:r w:rsidRPr="000127EF">
              <w:rPr>
                <w:b/>
                <w:i/>
              </w:rPr>
              <w:t>201</w:t>
            </w:r>
            <w:r w:rsidR="00015B74">
              <w:rPr>
                <w:b/>
                <w:i/>
              </w:rPr>
              <w:t>8/19</w:t>
            </w:r>
          </w:p>
        </w:tc>
        <w:tc>
          <w:tcPr>
            <w:tcW w:w="5634" w:type="dxa"/>
            <w:vAlign w:val="center"/>
          </w:tcPr>
          <w:p w14:paraId="1B6DFE53" w14:textId="77777777" w:rsidR="0062246E" w:rsidRPr="000127EF" w:rsidRDefault="0062246E" w:rsidP="00140376">
            <w:pPr>
              <w:jc w:val="center"/>
              <w:rPr>
                <w:b/>
              </w:rPr>
            </w:pPr>
            <w:r w:rsidRPr="000127EF">
              <w:rPr>
                <w:b/>
              </w:rPr>
              <w:t>Collection Fund Adjustment Account</w:t>
            </w:r>
          </w:p>
        </w:tc>
        <w:tc>
          <w:tcPr>
            <w:tcW w:w="1534" w:type="dxa"/>
          </w:tcPr>
          <w:p w14:paraId="65C26FEC" w14:textId="3C9CCAF9" w:rsidR="0062246E" w:rsidRPr="008C7117" w:rsidRDefault="00015B74" w:rsidP="005E02A2">
            <w:pPr>
              <w:jc w:val="center"/>
              <w:rPr>
                <w:b/>
              </w:rPr>
            </w:pPr>
            <w:r w:rsidRPr="008C7117">
              <w:rPr>
                <w:b/>
              </w:rPr>
              <w:t>2019/20</w:t>
            </w:r>
          </w:p>
        </w:tc>
      </w:tr>
      <w:tr w:rsidR="0062246E" w:rsidRPr="000127EF" w14:paraId="342C5917" w14:textId="77777777" w:rsidTr="00140376">
        <w:trPr>
          <w:jc w:val="center"/>
        </w:trPr>
        <w:tc>
          <w:tcPr>
            <w:tcW w:w="1454" w:type="dxa"/>
          </w:tcPr>
          <w:p w14:paraId="66AF1819" w14:textId="77777777" w:rsidR="0062246E" w:rsidRPr="000127EF" w:rsidRDefault="0062246E" w:rsidP="00140376">
            <w:pPr>
              <w:jc w:val="center"/>
              <w:rPr>
                <w:b/>
                <w:i/>
              </w:rPr>
            </w:pPr>
            <w:r w:rsidRPr="000127EF">
              <w:rPr>
                <w:b/>
                <w:i/>
              </w:rPr>
              <w:t>£000</w:t>
            </w:r>
          </w:p>
        </w:tc>
        <w:tc>
          <w:tcPr>
            <w:tcW w:w="5634" w:type="dxa"/>
          </w:tcPr>
          <w:p w14:paraId="663C64DA" w14:textId="77777777" w:rsidR="0062246E" w:rsidRPr="000127EF" w:rsidRDefault="0062246E" w:rsidP="00140376">
            <w:pPr>
              <w:jc w:val="center"/>
              <w:rPr>
                <w:b/>
              </w:rPr>
            </w:pPr>
          </w:p>
        </w:tc>
        <w:tc>
          <w:tcPr>
            <w:tcW w:w="1534" w:type="dxa"/>
            <w:shd w:val="clear" w:color="auto" w:fill="C5E0B3" w:themeFill="accent6" w:themeFillTint="66"/>
          </w:tcPr>
          <w:p w14:paraId="35F5DD02" w14:textId="77777777" w:rsidR="0062246E" w:rsidRPr="008C7117" w:rsidRDefault="0062246E" w:rsidP="00140376">
            <w:pPr>
              <w:jc w:val="center"/>
              <w:rPr>
                <w:b/>
              </w:rPr>
            </w:pPr>
            <w:r w:rsidRPr="008C7117">
              <w:rPr>
                <w:b/>
              </w:rPr>
              <w:t>£000</w:t>
            </w:r>
          </w:p>
        </w:tc>
      </w:tr>
      <w:tr w:rsidR="00015B74" w:rsidRPr="000127EF" w14:paraId="27A25861" w14:textId="77777777" w:rsidTr="00AA42C1">
        <w:trPr>
          <w:jc w:val="center"/>
        </w:trPr>
        <w:tc>
          <w:tcPr>
            <w:tcW w:w="1454" w:type="dxa"/>
            <w:vAlign w:val="center"/>
          </w:tcPr>
          <w:p w14:paraId="24628626" w14:textId="20B3BEBF" w:rsidR="00015B74" w:rsidRPr="00015B74" w:rsidRDefault="00015B74" w:rsidP="00015B74">
            <w:pPr>
              <w:jc w:val="right"/>
              <w:rPr>
                <w:i/>
              </w:rPr>
            </w:pPr>
            <w:r w:rsidRPr="00015B74">
              <w:rPr>
                <w:i/>
              </w:rPr>
              <w:t>(412)</w:t>
            </w:r>
          </w:p>
        </w:tc>
        <w:tc>
          <w:tcPr>
            <w:tcW w:w="5634" w:type="dxa"/>
            <w:vAlign w:val="center"/>
          </w:tcPr>
          <w:p w14:paraId="72C11B85" w14:textId="2692FECF" w:rsidR="00015B74" w:rsidRPr="000127EF" w:rsidRDefault="00015B74" w:rsidP="00015B74">
            <w:pPr>
              <w:rPr>
                <w:rFonts w:cs="Arial"/>
                <w:szCs w:val="22"/>
                <w:lang w:val="en-US"/>
              </w:rPr>
            </w:pPr>
            <w:r w:rsidRPr="000127EF">
              <w:rPr>
                <w:rFonts w:cs="Arial"/>
                <w:szCs w:val="22"/>
                <w:lang w:val="en-US"/>
              </w:rPr>
              <w:t xml:space="preserve">Balance 1 April </w:t>
            </w:r>
          </w:p>
        </w:tc>
        <w:tc>
          <w:tcPr>
            <w:tcW w:w="1534" w:type="dxa"/>
            <w:shd w:val="clear" w:color="auto" w:fill="C5E0B3" w:themeFill="accent6" w:themeFillTint="66"/>
            <w:vAlign w:val="center"/>
          </w:tcPr>
          <w:p w14:paraId="7549B499" w14:textId="6C98447D" w:rsidR="00015B74" w:rsidRPr="008C7117" w:rsidRDefault="008C7117" w:rsidP="00015B74">
            <w:pPr>
              <w:jc w:val="right"/>
            </w:pPr>
            <w:r w:rsidRPr="008C7117">
              <w:t>20</w:t>
            </w:r>
          </w:p>
        </w:tc>
      </w:tr>
      <w:tr w:rsidR="00015B74" w:rsidRPr="000127EF" w14:paraId="0AF74B79" w14:textId="77777777" w:rsidTr="00AA42C1">
        <w:trPr>
          <w:jc w:val="center"/>
        </w:trPr>
        <w:tc>
          <w:tcPr>
            <w:tcW w:w="1454" w:type="dxa"/>
            <w:tcBorders>
              <w:bottom w:val="nil"/>
            </w:tcBorders>
            <w:vAlign w:val="center"/>
          </w:tcPr>
          <w:p w14:paraId="1A255263" w14:textId="401E8CCD" w:rsidR="00015B74" w:rsidRPr="00015B74" w:rsidRDefault="00015B74" w:rsidP="00015B74">
            <w:pPr>
              <w:jc w:val="right"/>
              <w:rPr>
                <w:i/>
              </w:rPr>
            </w:pPr>
            <w:r w:rsidRPr="00015B74">
              <w:rPr>
                <w:i/>
              </w:rPr>
              <w:t>432</w:t>
            </w:r>
          </w:p>
        </w:tc>
        <w:tc>
          <w:tcPr>
            <w:tcW w:w="5634" w:type="dxa"/>
            <w:tcBorders>
              <w:bottom w:val="nil"/>
            </w:tcBorders>
          </w:tcPr>
          <w:p w14:paraId="24D66EF1" w14:textId="77777777" w:rsidR="00015B74" w:rsidRPr="000127EF" w:rsidRDefault="00015B74" w:rsidP="00015B74">
            <w:pPr>
              <w:rPr>
                <w:rFonts w:cs="Arial"/>
                <w:szCs w:val="22"/>
                <w:lang w:val="en-US"/>
              </w:rPr>
            </w:pPr>
            <w:r w:rsidRPr="000127EF">
              <w:rPr>
                <w:rFonts w:cs="Arial"/>
                <w:szCs w:val="22"/>
                <w:lang w:val="en-US"/>
              </w:rPr>
              <w:t>Amount by which council tax and non-domestic rates income credited to the CIES is different from council tax and non-domestic rates income calculated for the year in accordance with statutory requirements</w:t>
            </w:r>
          </w:p>
        </w:tc>
        <w:tc>
          <w:tcPr>
            <w:tcW w:w="1534" w:type="dxa"/>
            <w:tcBorders>
              <w:bottom w:val="nil"/>
            </w:tcBorders>
            <w:shd w:val="clear" w:color="auto" w:fill="C5E0B3" w:themeFill="accent6" w:themeFillTint="66"/>
            <w:vAlign w:val="center"/>
          </w:tcPr>
          <w:p w14:paraId="516AD842" w14:textId="38289719" w:rsidR="00015B74" w:rsidRPr="008C7117" w:rsidRDefault="008C7117" w:rsidP="00015B74">
            <w:pPr>
              <w:jc w:val="right"/>
            </w:pPr>
            <w:r w:rsidRPr="008C7117">
              <w:t>(44)</w:t>
            </w:r>
          </w:p>
        </w:tc>
      </w:tr>
      <w:tr w:rsidR="00015B74" w:rsidRPr="000127EF" w14:paraId="410176F7" w14:textId="77777777" w:rsidTr="00E165AE">
        <w:trPr>
          <w:jc w:val="center"/>
        </w:trPr>
        <w:tc>
          <w:tcPr>
            <w:tcW w:w="1454" w:type="dxa"/>
            <w:tcBorders>
              <w:top w:val="single" w:sz="8" w:space="0" w:color="auto"/>
              <w:bottom w:val="single" w:sz="8" w:space="0" w:color="auto"/>
            </w:tcBorders>
          </w:tcPr>
          <w:p w14:paraId="4C171F39" w14:textId="2E366E31" w:rsidR="00015B74" w:rsidRPr="00015B74" w:rsidRDefault="00D873AC" w:rsidP="00015B74">
            <w:pPr>
              <w:jc w:val="right"/>
              <w:rPr>
                <w:b/>
                <w:i/>
              </w:rPr>
            </w:pPr>
            <w:r>
              <w:rPr>
                <w:b/>
                <w:i/>
              </w:rPr>
              <w:fldChar w:fldCharType="begin"/>
            </w:r>
            <w:r>
              <w:rPr>
                <w:b/>
                <w:i/>
              </w:rPr>
              <w:instrText xml:space="preserve"> =SUM(a3,a4) </w:instrText>
            </w:r>
            <w:r>
              <w:rPr>
                <w:b/>
                <w:i/>
              </w:rPr>
              <w:fldChar w:fldCharType="separate"/>
            </w:r>
            <w:r>
              <w:rPr>
                <w:b/>
                <w:i/>
                <w:noProof/>
              </w:rPr>
              <w:t>20</w:t>
            </w:r>
            <w:r>
              <w:rPr>
                <w:b/>
                <w:i/>
              </w:rPr>
              <w:fldChar w:fldCharType="end"/>
            </w:r>
          </w:p>
        </w:tc>
        <w:tc>
          <w:tcPr>
            <w:tcW w:w="5634" w:type="dxa"/>
            <w:tcBorders>
              <w:bottom w:val="nil"/>
            </w:tcBorders>
          </w:tcPr>
          <w:p w14:paraId="2E15A560" w14:textId="77777777" w:rsidR="00015B74" w:rsidRPr="000127EF" w:rsidRDefault="00015B74" w:rsidP="00015B74">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0F761B49" w14:textId="42CEAC22" w:rsidR="00015B74" w:rsidRPr="008C7117" w:rsidRDefault="008C7117" w:rsidP="00015B74">
            <w:pPr>
              <w:jc w:val="right"/>
              <w:rPr>
                <w:b/>
              </w:rPr>
            </w:pPr>
            <w:r w:rsidRPr="008C7117">
              <w:rPr>
                <w:b/>
              </w:rPr>
              <w:t>(24)</w:t>
            </w:r>
          </w:p>
        </w:tc>
      </w:tr>
      <w:tr w:rsidR="007E76A0" w:rsidRPr="000127EF" w14:paraId="6E7A202D" w14:textId="77777777" w:rsidTr="00140376">
        <w:trPr>
          <w:trHeight w:hRule="exact" w:val="142"/>
          <w:jc w:val="center"/>
        </w:trPr>
        <w:tc>
          <w:tcPr>
            <w:tcW w:w="1454" w:type="dxa"/>
            <w:tcBorders>
              <w:top w:val="nil"/>
            </w:tcBorders>
          </w:tcPr>
          <w:p w14:paraId="703DCB74" w14:textId="77777777" w:rsidR="007E76A0" w:rsidRPr="000127EF" w:rsidRDefault="007E76A0" w:rsidP="007E76A0">
            <w:pPr>
              <w:jc w:val="right"/>
              <w:rPr>
                <w:i/>
              </w:rPr>
            </w:pPr>
          </w:p>
        </w:tc>
        <w:tc>
          <w:tcPr>
            <w:tcW w:w="5634" w:type="dxa"/>
            <w:tcBorders>
              <w:top w:val="nil"/>
            </w:tcBorders>
          </w:tcPr>
          <w:p w14:paraId="0DB3064C" w14:textId="77777777" w:rsidR="007E76A0" w:rsidRPr="000127EF" w:rsidRDefault="007E76A0" w:rsidP="007E76A0">
            <w:pPr>
              <w:jc w:val="both"/>
            </w:pPr>
          </w:p>
        </w:tc>
        <w:tc>
          <w:tcPr>
            <w:tcW w:w="1534" w:type="dxa"/>
            <w:tcBorders>
              <w:top w:val="nil"/>
            </w:tcBorders>
          </w:tcPr>
          <w:p w14:paraId="28054D7B" w14:textId="77777777" w:rsidR="007E76A0" w:rsidRPr="008C7117" w:rsidRDefault="007E76A0" w:rsidP="007E76A0">
            <w:pPr>
              <w:jc w:val="right"/>
            </w:pPr>
          </w:p>
        </w:tc>
      </w:tr>
    </w:tbl>
    <w:p w14:paraId="5E315CE6" w14:textId="77777777" w:rsidR="0062246E" w:rsidRPr="000127EF" w:rsidRDefault="0062246E" w:rsidP="0062246E">
      <w:pPr>
        <w:spacing w:before="240" w:after="120"/>
        <w:rPr>
          <w:b/>
        </w:rPr>
      </w:pPr>
      <w:r w:rsidRPr="000127EF">
        <w:rPr>
          <w:b/>
        </w:rPr>
        <w:t>Accumulated Absences Account</w:t>
      </w:r>
    </w:p>
    <w:p w14:paraId="26C5DBD1" w14:textId="77777777" w:rsidR="0062246E" w:rsidRPr="000127EF" w:rsidRDefault="0062246E" w:rsidP="0062246E">
      <w:pPr>
        <w:spacing w:after="120"/>
        <w:jc w:val="both"/>
      </w:pPr>
      <w:r w:rsidRPr="000127EF">
        <w:t>The Accumulated Absences Account absorbs the differences that would otherwise arise on the General Fund balance from accruing for compensated absences earned but not taken in the year, e.g. annual leave entitlement carried forward at 31 March.  Statutory arrangements require that the impact on the General Fund balance is neutralised by transfers to/from the Account.</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62246E" w:rsidRPr="000127EF" w14:paraId="312D211E" w14:textId="77777777" w:rsidTr="00140376">
        <w:trPr>
          <w:trHeight w:val="283"/>
          <w:jc w:val="center"/>
        </w:trPr>
        <w:tc>
          <w:tcPr>
            <w:tcW w:w="1454" w:type="dxa"/>
          </w:tcPr>
          <w:p w14:paraId="0F8EA8DC" w14:textId="011C0CE1" w:rsidR="0062246E" w:rsidRPr="000127EF" w:rsidRDefault="004A1E42" w:rsidP="000A7F8D">
            <w:pPr>
              <w:jc w:val="center"/>
              <w:rPr>
                <w:b/>
                <w:i/>
              </w:rPr>
            </w:pPr>
            <w:r w:rsidRPr="000127EF">
              <w:rPr>
                <w:b/>
                <w:i/>
              </w:rPr>
              <w:t>201</w:t>
            </w:r>
            <w:r w:rsidR="00015B74">
              <w:rPr>
                <w:b/>
                <w:i/>
              </w:rPr>
              <w:t>8/19</w:t>
            </w:r>
          </w:p>
        </w:tc>
        <w:tc>
          <w:tcPr>
            <w:tcW w:w="5634" w:type="dxa"/>
            <w:vAlign w:val="center"/>
          </w:tcPr>
          <w:p w14:paraId="6EF0C1C8" w14:textId="77777777" w:rsidR="0062246E" w:rsidRPr="000127EF" w:rsidRDefault="0062246E" w:rsidP="00140376">
            <w:pPr>
              <w:jc w:val="center"/>
              <w:rPr>
                <w:b/>
              </w:rPr>
            </w:pPr>
            <w:r w:rsidRPr="000127EF">
              <w:rPr>
                <w:b/>
              </w:rPr>
              <w:t>Accumulated Absences Account</w:t>
            </w:r>
          </w:p>
        </w:tc>
        <w:tc>
          <w:tcPr>
            <w:tcW w:w="1534" w:type="dxa"/>
          </w:tcPr>
          <w:p w14:paraId="254708E6" w14:textId="72C0D63C" w:rsidR="0062246E" w:rsidRPr="00007C2F" w:rsidRDefault="00783E0C" w:rsidP="00122F47">
            <w:pPr>
              <w:jc w:val="center"/>
              <w:rPr>
                <w:b/>
              </w:rPr>
            </w:pPr>
            <w:r w:rsidRPr="00007C2F">
              <w:rPr>
                <w:b/>
              </w:rPr>
              <w:t>201</w:t>
            </w:r>
            <w:r w:rsidR="00015B74" w:rsidRPr="00007C2F">
              <w:rPr>
                <w:b/>
              </w:rPr>
              <w:t>9/20</w:t>
            </w:r>
          </w:p>
        </w:tc>
      </w:tr>
      <w:tr w:rsidR="0062246E" w:rsidRPr="000127EF" w14:paraId="6BE73999" w14:textId="77777777" w:rsidTr="00140376">
        <w:trPr>
          <w:jc w:val="center"/>
        </w:trPr>
        <w:tc>
          <w:tcPr>
            <w:tcW w:w="1454" w:type="dxa"/>
          </w:tcPr>
          <w:p w14:paraId="2B5C5344" w14:textId="77777777" w:rsidR="0062246E" w:rsidRPr="000127EF" w:rsidRDefault="0062246E" w:rsidP="00140376">
            <w:pPr>
              <w:jc w:val="center"/>
              <w:rPr>
                <w:b/>
                <w:i/>
              </w:rPr>
            </w:pPr>
            <w:r w:rsidRPr="000127EF">
              <w:rPr>
                <w:b/>
                <w:i/>
              </w:rPr>
              <w:t>£000</w:t>
            </w:r>
          </w:p>
        </w:tc>
        <w:tc>
          <w:tcPr>
            <w:tcW w:w="5634" w:type="dxa"/>
          </w:tcPr>
          <w:p w14:paraId="0FF3299A" w14:textId="77777777" w:rsidR="0062246E" w:rsidRPr="000127EF" w:rsidRDefault="0062246E" w:rsidP="00140376">
            <w:pPr>
              <w:jc w:val="center"/>
              <w:rPr>
                <w:b/>
              </w:rPr>
            </w:pPr>
          </w:p>
        </w:tc>
        <w:tc>
          <w:tcPr>
            <w:tcW w:w="1534" w:type="dxa"/>
            <w:shd w:val="clear" w:color="auto" w:fill="C5E0B3" w:themeFill="accent6" w:themeFillTint="66"/>
          </w:tcPr>
          <w:p w14:paraId="7E8FC0DF" w14:textId="77777777" w:rsidR="0062246E" w:rsidRPr="00007C2F" w:rsidRDefault="0062246E" w:rsidP="00140376">
            <w:pPr>
              <w:jc w:val="center"/>
              <w:rPr>
                <w:b/>
              </w:rPr>
            </w:pPr>
            <w:r w:rsidRPr="00007C2F">
              <w:rPr>
                <w:b/>
              </w:rPr>
              <w:t>£000</w:t>
            </w:r>
          </w:p>
        </w:tc>
      </w:tr>
      <w:tr w:rsidR="00015B74" w:rsidRPr="000127EF" w14:paraId="4F05F88A" w14:textId="77777777" w:rsidTr="005C6D5A">
        <w:trPr>
          <w:jc w:val="center"/>
        </w:trPr>
        <w:tc>
          <w:tcPr>
            <w:tcW w:w="1454" w:type="dxa"/>
            <w:vAlign w:val="center"/>
          </w:tcPr>
          <w:p w14:paraId="209995E6" w14:textId="27BCE12D" w:rsidR="00015B74" w:rsidRPr="00015B74" w:rsidRDefault="00015B74" w:rsidP="00015B74">
            <w:pPr>
              <w:jc w:val="right"/>
              <w:rPr>
                <w:i/>
              </w:rPr>
            </w:pPr>
            <w:r w:rsidRPr="00015B74">
              <w:rPr>
                <w:i/>
              </w:rPr>
              <w:t>(262)</w:t>
            </w:r>
          </w:p>
        </w:tc>
        <w:tc>
          <w:tcPr>
            <w:tcW w:w="5634" w:type="dxa"/>
            <w:vAlign w:val="center"/>
          </w:tcPr>
          <w:p w14:paraId="3F186103" w14:textId="31B199C0" w:rsidR="00015B74" w:rsidRPr="000127EF" w:rsidRDefault="00015B74" w:rsidP="00015B74">
            <w:pPr>
              <w:rPr>
                <w:rFonts w:cs="Arial"/>
                <w:szCs w:val="22"/>
                <w:lang w:val="en-US"/>
              </w:rPr>
            </w:pPr>
            <w:r w:rsidRPr="000127EF">
              <w:rPr>
                <w:rFonts w:cs="Arial"/>
                <w:szCs w:val="22"/>
                <w:lang w:val="en-US"/>
              </w:rPr>
              <w:t>Balance 1 April</w:t>
            </w:r>
          </w:p>
        </w:tc>
        <w:tc>
          <w:tcPr>
            <w:tcW w:w="1534" w:type="dxa"/>
            <w:shd w:val="clear" w:color="auto" w:fill="C5E0B3" w:themeFill="accent6" w:themeFillTint="66"/>
            <w:vAlign w:val="center"/>
          </w:tcPr>
          <w:p w14:paraId="254E7C5E" w14:textId="1E0FC0C9" w:rsidR="00015B74" w:rsidRPr="00007C2F" w:rsidRDefault="00007C2F" w:rsidP="00015B74">
            <w:pPr>
              <w:jc w:val="right"/>
            </w:pPr>
            <w:r w:rsidRPr="00007C2F">
              <w:t>(166)</w:t>
            </w:r>
          </w:p>
        </w:tc>
      </w:tr>
      <w:tr w:rsidR="00015B74" w:rsidRPr="000127EF" w14:paraId="056980A2" w14:textId="77777777" w:rsidTr="005C6D5A">
        <w:trPr>
          <w:jc w:val="center"/>
        </w:trPr>
        <w:tc>
          <w:tcPr>
            <w:tcW w:w="1454" w:type="dxa"/>
            <w:tcBorders>
              <w:bottom w:val="nil"/>
            </w:tcBorders>
            <w:vAlign w:val="center"/>
          </w:tcPr>
          <w:p w14:paraId="5D2C0F9E" w14:textId="77777777" w:rsidR="00015B74" w:rsidRPr="00015B74" w:rsidRDefault="00015B74" w:rsidP="00015B74">
            <w:pPr>
              <w:jc w:val="right"/>
              <w:rPr>
                <w:i/>
              </w:rPr>
            </w:pPr>
            <w:r w:rsidRPr="00015B74">
              <w:rPr>
                <w:i/>
              </w:rPr>
              <w:t xml:space="preserve"> </w:t>
            </w:r>
          </w:p>
          <w:p w14:paraId="6EAD288C" w14:textId="7E600F4A" w:rsidR="00015B74" w:rsidRPr="00015B74" w:rsidRDefault="00015B74" w:rsidP="00015B74">
            <w:pPr>
              <w:jc w:val="right"/>
              <w:rPr>
                <w:i/>
              </w:rPr>
            </w:pPr>
            <w:r w:rsidRPr="00015B74">
              <w:rPr>
                <w:i/>
              </w:rPr>
              <w:t xml:space="preserve">262 </w:t>
            </w:r>
          </w:p>
        </w:tc>
        <w:tc>
          <w:tcPr>
            <w:tcW w:w="5634" w:type="dxa"/>
            <w:tcBorders>
              <w:bottom w:val="nil"/>
            </w:tcBorders>
          </w:tcPr>
          <w:p w14:paraId="03F96638" w14:textId="77777777" w:rsidR="00015B74" w:rsidRPr="000127EF" w:rsidRDefault="00015B74" w:rsidP="00015B74">
            <w:pPr>
              <w:rPr>
                <w:rFonts w:cs="Arial"/>
                <w:szCs w:val="22"/>
                <w:lang w:val="en-US"/>
              </w:rPr>
            </w:pPr>
            <w:r w:rsidRPr="000127EF">
              <w:rPr>
                <w:rFonts w:cs="Arial"/>
                <w:szCs w:val="22"/>
                <w:lang w:val="en-US"/>
              </w:rPr>
              <w:t>Settlement or cancellation of accrual made at the end of the preceding year</w:t>
            </w:r>
          </w:p>
        </w:tc>
        <w:tc>
          <w:tcPr>
            <w:tcW w:w="1534" w:type="dxa"/>
            <w:tcBorders>
              <w:bottom w:val="nil"/>
            </w:tcBorders>
            <w:shd w:val="clear" w:color="auto" w:fill="C5E0B3" w:themeFill="accent6" w:themeFillTint="66"/>
            <w:vAlign w:val="center"/>
          </w:tcPr>
          <w:p w14:paraId="6B8FC445" w14:textId="5D63A7B3" w:rsidR="00015B74" w:rsidRPr="00007C2F" w:rsidRDefault="00007C2F" w:rsidP="00015B74">
            <w:pPr>
              <w:jc w:val="right"/>
            </w:pPr>
            <w:r w:rsidRPr="00007C2F">
              <w:t>166</w:t>
            </w:r>
          </w:p>
        </w:tc>
      </w:tr>
      <w:tr w:rsidR="00015B74" w:rsidRPr="000127EF" w14:paraId="5BBC9ED5" w14:textId="77777777" w:rsidTr="005C6D5A">
        <w:trPr>
          <w:jc w:val="center"/>
        </w:trPr>
        <w:tc>
          <w:tcPr>
            <w:tcW w:w="1454" w:type="dxa"/>
            <w:tcBorders>
              <w:bottom w:val="nil"/>
            </w:tcBorders>
            <w:vAlign w:val="center"/>
          </w:tcPr>
          <w:p w14:paraId="3B787A2E" w14:textId="5ABC4B1E" w:rsidR="00015B74" w:rsidRPr="00015B74" w:rsidRDefault="00015B74" w:rsidP="00015B74">
            <w:pPr>
              <w:jc w:val="right"/>
              <w:rPr>
                <w:i/>
              </w:rPr>
            </w:pPr>
            <w:r w:rsidRPr="00015B74">
              <w:rPr>
                <w:i/>
              </w:rPr>
              <w:t xml:space="preserve">(166) </w:t>
            </w:r>
          </w:p>
        </w:tc>
        <w:tc>
          <w:tcPr>
            <w:tcW w:w="5634" w:type="dxa"/>
            <w:tcBorders>
              <w:bottom w:val="nil"/>
            </w:tcBorders>
          </w:tcPr>
          <w:p w14:paraId="17F3FA73" w14:textId="77777777" w:rsidR="00015B74" w:rsidRPr="000127EF" w:rsidRDefault="00015B74" w:rsidP="00015B74">
            <w:pPr>
              <w:rPr>
                <w:rFonts w:cs="Arial"/>
                <w:szCs w:val="22"/>
                <w:lang w:val="en-US"/>
              </w:rPr>
            </w:pPr>
            <w:r w:rsidRPr="000127EF">
              <w:rPr>
                <w:rFonts w:cs="Arial"/>
                <w:szCs w:val="22"/>
                <w:lang w:val="en-US"/>
              </w:rPr>
              <w:t>Amount by which officer remunerations charged to the CIES on an accruals basis is different from the remuneration chargeable in year</w:t>
            </w:r>
          </w:p>
        </w:tc>
        <w:tc>
          <w:tcPr>
            <w:tcW w:w="1534" w:type="dxa"/>
            <w:tcBorders>
              <w:bottom w:val="nil"/>
            </w:tcBorders>
            <w:shd w:val="clear" w:color="auto" w:fill="C5E0B3" w:themeFill="accent6" w:themeFillTint="66"/>
            <w:vAlign w:val="center"/>
          </w:tcPr>
          <w:p w14:paraId="05DBC90D" w14:textId="53255F35" w:rsidR="00015B74" w:rsidRPr="00007C2F" w:rsidRDefault="00007C2F" w:rsidP="00015B74">
            <w:pPr>
              <w:jc w:val="right"/>
            </w:pPr>
            <w:r w:rsidRPr="00007C2F">
              <w:t>(202)</w:t>
            </w:r>
          </w:p>
        </w:tc>
      </w:tr>
      <w:tr w:rsidR="00015B74" w:rsidRPr="000127EF" w14:paraId="7072C873" w14:textId="77777777" w:rsidTr="00E165AE">
        <w:trPr>
          <w:jc w:val="center"/>
        </w:trPr>
        <w:tc>
          <w:tcPr>
            <w:tcW w:w="1454" w:type="dxa"/>
            <w:tcBorders>
              <w:top w:val="single" w:sz="8" w:space="0" w:color="auto"/>
              <w:bottom w:val="single" w:sz="8" w:space="0" w:color="auto"/>
            </w:tcBorders>
          </w:tcPr>
          <w:p w14:paraId="6E264A89" w14:textId="0027957B" w:rsidR="00015B74" w:rsidRPr="00015B74" w:rsidRDefault="00D873AC" w:rsidP="00015B74">
            <w:pPr>
              <w:jc w:val="right"/>
              <w:rPr>
                <w:b/>
                <w:i/>
              </w:rPr>
            </w:pPr>
            <w:r>
              <w:rPr>
                <w:b/>
                <w:i/>
              </w:rPr>
              <w:fldChar w:fldCharType="begin"/>
            </w:r>
            <w:r>
              <w:rPr>
                <w:b/>
                <w:i/>
              </w:rPr>
              <w:instrText xml:space="preserve"> =SUM(a3:a5) </w:instrText>
            </w:r>
            <w:r>
              <w:rPr>
                <w:b/>
                <w:i/>
              </w:rPr>
              <w:fldChar w:fldCharType="separate"/>
            </w:r>
            <w:r>
              <w:rPr>
                <w:b/>
                <w:i/>
                <w:noProof/>
              </w:rPr>
              <w:t>(166)</w:t>
            </w:r>
            <w:r>
              <w:rPr>
                <w:b/>
                <w:i/>
              </w:rPr>
              <w:fldChar w:fldCharType="end"/>
            </w:r>
          </w:p>
        </w:tc>
        <w:tc>
          <w:tcPr>
            <w:tcW w:w="5634" w:type="dxa"/>
            <w:tcBorders>
              <w:bottom w:val="nil"/>
            </w:tcBorders>
          </w:tcPr>
          <w:p w14:paraId="4E065EF5" w14:textId="77777777" w:rsidR="00015B74" w:rsidRPr="000127EF" w:rsidRDefault="00015B74" w:rsidP="00015B74">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6575BA23" w14:textId="3FF9C9C7" w:rsidR="00015B74" w:rsidRPr="00007C2F" w:rsidRDefault="00007C2F" w:rsidP="00015B74">
            <w:pPr>
              <w:jc w:val="right"/>
              <w:rPr>
                <w:b/>
              </w:rPr>
            </w:pPr>
            <w:r w:rsidRPr="00007C2F">
              <w:rPr>
                <w:b/>
              </w:rPr>
              <w:t>(202)</w:t>
            </w:r>
          </w:p>
        </w:tc>
      </w:tr>
      <w:tr w:rsidR="007E76A0" w:rsidRPr="000127EF" w14:paraId="3C49A49E" w14:textId="77777777" w:rsidTr="00140376">
        <w:trPr>
          <w:trHeight w:hRule="exact" w:val="142"/>
          <w:jc w:val="center"/>
        </w:trPr>
        <w:tc>
          <w:tcPr>
            <w:tcW w:w="1454" w:type="dxa"/>
            <w:tcBorders>
              <w:top w:val="nil"/>
            </w:tcBorders>
          </w:tcPr>
          <w:p w14:paraId="7E80C7A7" w14:textId="77777777" w:rsidR="007E76A0" w:rsidRPr="000127EF" w:rsidRDefault="007E76A0" w:rsidP="007E76A0">
            <w:pPr>
              <w:jc w:val="right"/>
              <w:rPr>
                <w:i/>
              </w:rPr>
            </w:pPr>
          </w:p>
        </w:tc>
        <w:tc>
          <w:tcPr>
            <w:tcW w:w="5634" w:type="dxa"/>
            <w:tcBorders>
              <w:top w:val="nil"/>
            </w:tcBorders>
          </w:tcPr>
          <w:p w14:paraId="2D7856D1" w14:textId="77777777" w:rsidR="007E76A0" w:rsidRPr="000127EF" w:rsidRDefault="007E76A0" w:rsidP="007E76A0">
            <w:pPr>
              <w:jc w:val="both"/>
            </w:pPr>
          </w:p>
        </w:tc>
        <w:tc>
          <w:tcPr>
            <w:tcW w:w="1534" w:type="dxa"/>
            <w:tcBorders>
              <w:top w:val="nil"/>
            </w:tcBorders>
          </w:tcPr>
          <w:p w14:paraId="7CA76138" w14:textId="77777777" w:rsidR="007E76A0" w:rsidRPr="000127EF" w:rsidRDefault="007E76A0" w:rsidP="007E76A0">
            <w:pPr>
              <w:jc w:val="right"/>
            </w:pPr>
          </w:p>
        </w:tc>
      </w:tr>
    </w:tbl>
    <w:p w14:paraId="74A3B54F" w14:textId="14C255F3" w:rsidR="00C229D0" w:rsidRPr="000127EF" w:rsidRDefault="00C229D0" w:rsidP="00CE0021">
      <w:pPr>
        <w:pStyle w:val="Heading1"/>
        <w:numPr>
          <w:ilvl w:val="0"/>
          <w:numId w:val="8"/>
        </w:numPr>
        <w:spacing w:before="240"/>
        <w:ind w:left="425" w:hanging="357"/>
        <w:rPr>
          <w:sz w:val="22"/>
          <w:szCs w:val="22"/>
        </w:rPr>
      </w:pPr>
      <w:r w:rsidRPr="000127EF">
        <w:rPr>
          <w:sz w:val="22"/>
          <w:szCs w:val="22"/>
        </w:rPr>
        <w:t>Movement in Reserves Statement – Transfer to/from Earmarked Reserves</w:t>
      </w:r>
    </w:p>
    <w:p w14:paraId="476F9BCC" w14:textId="5CFF7933" w:rsidR="00C229D0" w:rsidRPr="000127EF" w:rsidRDefault="00C229D0" w:rsidP="00C229D0">
      <w:pPr>
        <w:spacing w:after="120"/>
      </w:pPr>
      <w:r w:rsidRPr="000127EF">
        <w:t>This note includes the amounts set aside from the General Fund in earmarked reserves to provide financing for future expenditure plans and the amounts posted back from earmarked reserves to meet General Fund expenditure in 201</w:t>
      </w:r>
      <w:r w:rsidR="00501FBE">
        <w:t>9</w:t>
      </w:r>
      <w:r w:rsidRPr="000127EF">
        <w:t>/</w:t>
      </w:r>
      <w:r w:rsidR="00501FBE">
        <w:t>20</w:t>
      </w:r>
      <w:r w:rsidR="00D74D02" w:rsidRPr="000127EF">
        <w:tab/>
      </w:r>
      <w:r w:rsidRPr="000127EF">
        <w:t>.</w:t>
      </w:r>
    </w:p>
    <w:tbl>
      <w:tblPr>
        <w:tblStyle w:val="TableGrid"/>
        <w:tblW w:w="8624"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ayout w:type="fixed"/>
        <w:tblLook w:val="04A0" w:firstRow="1" w:lastRow="0" w:firstColumn="1" w:lastColumn="0" w:noHBand="0" w:noVBand="1"/>
      </w:tblPr>
      <w:tblGrid>
        <w:gridCol w:w="3636"/>
        <w:gridCol w:w="1247"/>
        <w:gridCol w:w="1247"/>
        <w:gridCol w:w="1247"/>
        <w:gridCol w:w="1247"/>
      </w:tblGrid>
      <w:tr w:rsidR="00203D04" w:rsidRPr="000127EF" w14:paraId="18C4D8BF" w14:textId="77777777" w:rsidTr="00DE0C4D">
        <w:trPr>
          <w:tblHeader/>
          <w:jc w:val="center"/>
        </w:trPr>
        <w:tc>
          <w:tcPr>
            <w:tcW w:w="3636" w:type="dxa"/>
            <w:tcBorders>
              <w:top w:val="single" w:sz="18" w:space="0" w:color="A8D08D" w:themeColor="accent6" w:themeTint="99"/>
            </w:tcBorders>
          </w:tcPr>
          <w:p w14:paraId="1FB8C3F1" w14:textId="77777777" w:rsidR="00203D04" w:rsidRPr="000127EF" w:rsidRDefault="00203D04" w:rsidP="005C7627">
            <w:pPr>
              <w:rPr>
                <w:b/>
              </w:rPr>
            </w:pPr>
            <w:r w:rsidRPr="000127EF">
              <w:rPr>
                <w:b/>
              </w:rPr>
              <w:t>General Fund Earmarked Reserves</w:t>
            </w:r>
          </w:p>
        </w:tc>
        <w:tc>
          <w:tcPr>
            <w:tcW w:w="1247" w:type="dxa"/>
            <w:tcBorders>
              <w:top w:val="single" w:sz="18" w:space="0" w:color="A8D08D" w:themeColor="accent6" w:themeTint="99"/>
            </w:tcBorders>
          </w:tcPr>
          <w:p w14:paraId="0E41BE6F" w14:textId="3990137F" w:rsidR="00203D04" w:rsidRPr="00007C2F" w:rsidRDefault="00015B74" w:rsidP="005B7D68">
            <w:pPr>
              <w:jc w:val="center"/>
              <w:rPr>
                <w:b/>
              </w:rPr>
            </w:pPr>
            <w:r w:rsidRPr="00007C2F">
              <w:rPr>
                <w:b/>
              </w:rPr>
              <w:t>31 March 2019</w:t>
            </w:r>
          </w:p>
        </w:tc>
        <w:tc>
          <w:tcPr>
            <w:tcW w:w="1247" w:type="dxa"/>
            <w:tcBorders>
              <w:top w:val="single" w:sz="18" w:space="0" w:color="A8D08D" w:themeColor="accent6" w:themeTint="99"/>
            </w:tcBorders>
          </w:tcPr>
          <w:p w14:paraId="0B335F8D" w14:textId="77777777" w:rsidR="00203D04" w:rsidRPr="00007C2F" w:rsidRDefault="00203D04" w:rsidP="005C7627">
            <w:pPr>
              <w:jc w:val="center"/>
              <w:rPr>
                <w:b/>
              </w:rPr>
            </w:pPr>
            <w:r w:rsidRPr="00007C2F">
              <w:rPr>
                <w:b/>
              </w:rPr>
              <w:t>Transfers out</w:t>
            </w:r>
          </w:p>
        </w:tc>
        <w:tc>
          <w:tcPr>
            <w:tcW w:w="1247" w:type="dxa"/>
            <w:tcBorders>
              <w:top w:val="single" w:sz="18" w:space="0" w:color="A8D08D" w:themeColor="accent6" w:themeTint="99"/>
            </w:tcBorders>
          </w:tcPr>
          <w:p w14:paraId="4CE552AE" w14:textId="77777777" w:rsidR="00203D04" w:rsidRPr="00007C2F" w:rsidRDefault="00203D04" w:rsidP="005C7627">
            <w:pPr>
              <w:jc w:val="center"/>
              <w:rPr>
                <w:b/>
              </w:rPr>
            </w:pPr>
            <w:r w:rsidRPr="00007C2F">
              <w:rPr>
                <w:b/>
              </w:rPr>
              <w:t>Transfers In</w:t>
            </w:r>
          </w:p>
        </w:tc>
        <w:tc>
          <w:tcPr>
            <w:tcW w:w="1247" w:type="dxa"/>
            <w:tcBorders>
              <w:top w:val="single" w:sz="18" w:space="0" w:color="A8D08D" w:themeColor="accent6" w:themeTint="99"/>
            </w:tcBorders>
          </w:tcPr>
          <w:p w14:paraId="14A1A85E" w14:textId="6E0DF398" w:rsidR="00203D04" w:rsidRPr="00007C2F" w:rsidRDefault="00015B74" w:rsidP="005C7627">
            <w:pPr>
              <w:jc w:val="center"/>
              <w:rPr>
                <w:b/>
              </w:rPr>
            </w:pPr>
            <w:r w:rsidRPr="00007C2F">
              <w:rPr>
                <w:b/>
              </w:rPr>
              <w:t>31 March 2020</w:t>
            </w:r>
          </w:p>
        </w:tc>
      </w:tr>
      <w:tr w:rsidR="00203D04" w:rsidRPr="000127EF" w14:paraId="1630CF8D" w14:textId="77777777" w:rsidTr="00DE0C4D">
        <w:trPr>
          <w:tblHeader/>
          <w:jc w:val="center"/>
        </w:trPr>
        <w:tc>
          <w:tcPr>
            <w:tcW w:w="3636" w:type="dxa"/>
          </w:tcPr>
          <w:p w14:paraId="52BBCC83" w14:textId="77777777" w:rsidR="00203D04" w:rsidRPr="000127EF" w:rsidRDefault="00203D04" w:rsidP="005C7627">
            <w:pPr>
              <w:jc w:val="both"/>
            </w:pPr>
          </w:p>
        </w:tc>
        <w:tc>
          <w:tcPr>
            <w:tcW w:w="1247" w:type="dxa"/>
          </w:tcPr>
          <w:p w14:paraId="09A18F1E" w14:textId="77777777" w:rsidR="00203D04" w:rsidRPr="00007C2F" w:rsidRDefault="00203D04" w:rsidP="005B7D68">
            <w:pPr>
              <w:jc w:val="center"/>
              <w:rPr>
                <w:b/>
              </w:rPr>
            </w:pPr>
            <w:r w:rsidRPr="00007C2F">
              <w:rPr>
                <w:b/>
              </w:rPr>
              <w:t>£000</w:t>
            </w:r>
          </w:p>
        </w:tc>
        <w:tc>
          <w:tcPr>
            <w:tcW w:w="1247" w:type="dxa"/>
          </w:tcPr>
          <w:p w14:paraId="15FC16FE" w14:textId="77777777" w:rsidR="00203D04" w:rsidRPr="00007C2F" w:rsidRDefault="00203D04" w:rsidP="005C7627">
            <w:pPr>
              <w:jc w:val="center"/>
              <w:rPr>
                <w:b/>
              </w:rPr>
            </w:pPr>
            <w:r w:rsidRPr="00007C2F">
              <w:rPr>
                <w:b/>
              </w:rPr>
              <w:t>£000</w:t>
            </w:r>
          </w:p>
        </w:tc>
        <w:tc>
          <w:tcPr>
            <w:tcW w:w="1247" w:type="dxa"/>
          </w:tcPr>
          <w:p w14:paraId="030ABE62" w14:textId="77777777" w:rsidR="00203D04" w:rsidRPr="00007C2F" w:rsidRDefault="00203D04" w:rsidP="005C7627">
            <w:pPr>
              <w:jc w:val="center"/>
              <w:rPr>
                <w:b/>
              </w:rPr>
            </w:pPr>
            <w:r w:rsidRPr="00007C2F">
              <w:rPr>
                <w:b/>
              </w:rPr>
              <w:t>£000</w:t>
            </w:r>
          </w:p>
        </w:tc>
        <w:tc>
          <w:tcPr>
            <w:tcW w:w="1247" w:type="dxa"/>
            <w:shd w:val="clear" w:color="auto" w:fill="C5E0B3" w:themeFill="accent6" w:themeFillTint="66"/>
          </w:tcPr>
          <w:p w14:paraId="4E365A3E" w14:textId="77777777" w:rsidR="00203D04" w:rsidRPr="00007C2F" w:rsidRDefault="00203D04" w:rsidP="005C7627">
            <w:pPr>
              <w:jc w:val="center"/>
              <w:rPr>
                <w:b/>
              </w:rPr>
            </w:pPr>
            <w:r w:rsidRPr="00007C2F">
              <w:rPr>
                <w:b/>
              </w:rPr>
              <w:t>£000</w:t>
            </w:r>
          </w:p>
        </w:tc>
      </w:tr>
      <w:tr w:rsidR="00015B74" w:rsidRPr="000127EF" w14:paraId="1156758D" w14:textId="77777777" w:rsidTr="000E1C2E">
        <w:trPr>
          <w:jc w:val="center"/>
        </w:trPr>
        <w:tc>
          <w:tcPr>
            <w:tcW w:w="3636" w:type="dxa"/>
          </w:tcPr>
          <w:p w14:paraId="6997023A" w14:textId="77777777" w:rsidR="00015B74" w:rsidRPr="000127EF" w:rsidRDefault="00015B74" w:rsidP="00015B74">
            <w:r w:rsidRPr="000127EF">
              <w:t>Invest to Save</w:t>
            </w:r>
          </w:p>
        </w:tc>
        <w:tc>
          <w:tcPr>
            <w:tcW w:w="1247" w:type="dxa"/>
            <w:vAlign w:val="center"/>
          </w:tcPr>
          <w:p w14:paraId="613D5923" w14:textId="54D875B5" w:rsidR="00015B74" w:rsidRPr="00007C2F" w:rsidRDefault="00007C2F" w:rsidP="00015B74">
            <w:pPr>
              <w:ind w:right="92"/>
              <w:jc w:val="right"/>
            </w:pPr>
            <w:r w:rsidRPr="00007C2F">
              <w:t>(272)</w:t>
            </w:r>
          </w:p>
        </w:tc>
        <w:tc>
          <w:tcPr>
            <w:tcW w:w="1247" w:type="dxa"/>
            <w:vAlign w:val="bottom"/>
          </w:tcPr>
          <w:p w14:paraId="09918D67" w14:textId="5D404558" w:rsidR="00015B74" w:rsidRPr="00007C2F" w:rsidRDefault="00007C2F" w:rsidP="00015B74">
            <w:pPr>
              <w:ind w:right="149"/>
              <w:jc w:val="right"/>
            </w:pPr>
            <w:r w:rsidRPr="00007C2F">
              <w:t>-</w:t>
            </w:r>
          </w:p>
        </w:tc>
        <w:tc>
          <w:tcPr>
            <w:tcW w:w="1247" w:type="dxa"/>
            <w:vAlign w:val="bottom"/>
          </w:tcPr>
          <w:p w14:paraId="2FEA5B4C" w14:textId="3598B10B" w:rsidR="00015B74" w:rsidRPr="00007C2F" w:rsidRDefault="00007C2F" w:rsidP="00015B74">
            <w:pPr>
              <w:ind w:right="211"/>
              <w:jc w:val="right"/>
            </w:pPr>
            <w:r w:rsidRPr="00007C2F">
              <w:t>(27)</w:t>
            </w:r>
          </w:p>
        </w:tc>
        <w:tc>
          <w:tcPr>
            <w:tcW w:w="1247" w:type="dxa"/>
            <w:shd w:val="clear" w:color="auto" w:fill="C5E0B3" w:themeFill="accent6" w:themeFillTint="66"/>
            <w:vAlign w:val="center"/>
          </w:tcPr>
          <w:p w14:paraId="4CBD32E6" w14:textId="6A4BA616" w:rsidR="00015B74" w:rsidRPr="00007C2F" w:rsidRDefault="00007C2F" w:rsidP="00015B74">
            <w:pPr>
              <w:ind w:right="92"/>
              <w:jc w:val="right"/>
            </w:pPr>
            <w:r w:rsidRPr="00007C2F">
              <w:t>(299)</w:t>
            </w:r>
          </w:p>
        </w:tc>
      </w:tr>
      <w:tr w:rsidR="00007C2F" w:rsidRPr="000127EF" w14:paraId="38AD9910" w14:textId="77777777" w:rsidTr="000E1C2E">
        <w:trPr>
          <w:jc w:val="center"/>
        </w:trPr>
        <w:tc>
          <w:tcPr>
            <w:tcW w:w="3636" w:type="dxa"/>
          </w:tcPr>
          <w:p w14:paraId="3CE86D74" w14:textId="297BE1EF" w:rsidR="00007C2F" w:rsidRPr="000127EF" w:rsidRDefault="00007C2F" w:rsidP="00015B74">
            <w:r w:rsidRPr="000127EF">
              <w:t>Internal Audit</w:t>
            </w:r>
          </w:p>
        </w:tc>
        <w:tc>
          <w:tcPr>
            <w:tcW w:w="1247" w:type="dxa"/>
            <w:vAlign w:val="center"/>
          </w:tcPr>
          <w:p w14:paraId="3BBBBCB4" w14:textId="1AE0FCE6" w:rsidR="00007C2F" w:rsidRPr="00007C2F" w:rsidRDefault="00007C2F" w:rsidP="00015B74">
            <w:pPr>
              <w:ind w:right="92"/>
              <w:jc w:val="right"/>
            </w:pPr>
            <w:r w:rsidRPr="00007C2F">
              <w:t>(20)</w:t>
            </w:r>
          </w:p>
        </w:tc>
        <w:tc>
          <w:tcPr>
            <w:tcW w:w="1247" w:type="dxa"/>
            <w:vAlign w:val="bottom"/>
          </w:tcPr>
          <w:p w14:paraId="2C431CC2" w14:textId="365567C8" w:rsidR="00007C2F" w:rsidRPr="00007C2F" w:rsidRDefault="00007C2F" w:rsidP="00015B74">
            <w:pPr>
              <w:ind w:right="149"/>
              <w:jc w:val="right"/>
            </w:pPr>
            <w:r w:rsidRPr="00007C2F">
              <w:t>-</w:t>
            </w:r>
          </w:p>
        </w:tc>
        <w:tc>
          <w:tcPr>
            <w:tcW w:w="1247" w:type="dxa"/>
            <w:vAlign w:val="bottom"/>
          </w:tcPr>
          <w:p w14:paraId="25B31060" w14:textId="493A55A8" w:rsidR="00007C2F" w:rsidRPr="00007C2F" w:rsidRDefault="00007C2F" w:rsidP="00015B74">
            <w:pPr>
              <w:ind w:right="211"/>
              <w:jc w:val="right"/>
            </w:pPr>
          </w:p>
        </w:tc>
        <w:tc>
          <w:tcPr>
            <w:tcW w:w="1247" w:type="dxa"/>
            <w:shd w:val="clear" w:color="auto" w:fill="C5E0B3" w:themeFill="accent6" w:themeFillTint="66"/>
            <w:vAlign w:val="center"/>
          </w:tcPr>
          <w:p w14:paraId="6187FACE" w14:textId="057B460A" w:rsidR="00007C2F" w:rsidRPr="00007C2F" w:rsidRDefault="00007C2F" w:rsidP="00015B74">
            <w:pPr>
              <w:ind w:right="92"/>
              <w:jc w:val="right"/>
            </w:pPr>
            <w:r w:rsidRPr="00007C2F">
              <w:t>(20)</w:t>
            </w:r>
          </w:p>
        </w:tc>
      </w:tr>
      <w:tr w:rsidR="00007C2F" w:rsidRPr="000127EF" w14:paraId="73A2094B" w14:textId="77777777" w:rsidTr="005C7C31">
        <w:trPr>
          <w:jc w:val="center"/>
        </w:trPr>
        <w:tc>
          <w:tcPr>
            <w:tcW w:w="3636" w:type="dxa"/>
          </w:tcPr>
          <w:p w14:paraId="76D5C7B0" w14:textId="181AC021" w:rsidR="00007C2F" w:rsidRPr="000127EF" w:rsidRDefault="00007C2F" w:rsidP="00007C2F">
            <w:r w:rsidRPr="000127EF">
              <w:t>Training</w:t>
            </w:r>
          </w:p>
        </w:tc>
        <w:tc>
          <w:tcPr>
            <w:tcW w:w="1247" w:type="dxa"/>
            <w:vAlign w:val="center"/>
          </w:tcPr>
          <w:p w14:paraId="025A92B8" w14:textId="7AAF8472" w:rsidR="00007C2F" w:rsidRPr="00007C2F" w:rsidRDefault="00007C2F" w:rsidP="00007C2F">
            <w:pPr>
              <w:ind w:right="92"/>
              <w:jc w:val="right"/>
            </w:pPr>
            <w:r w:rsidRPr="00007C2F">
              <w:t>(75)</w:t>
            </w:r>
          </w:p>
        </w:tc>
        <w:tc>
          <w:tcPr>
            <w:tcW w:w="1247" w:type="dxa"/>
            <w:vAlign w:val="bottom"/>
          </w:tcPr>
          <w:p w14:paraId="67BB3FFC" w14:textId="4D0BCB41" w:rsidR="00007C2F" w:rsidRPr="00007C2F" w:rsidRDefault="00007C2F" w:rsidP="00007C2F">
            <w:pPr>
              <w:ind w:right="149"/>
              <w:jc w:val="right"/>
            </w:pPr>
            <w:r w:rsidRPr="00007C2F">
              <w:t>-</w:t>
            </w:r>
          </w:p>
        </w:tc>
        <w:tc>
          <w:tcPr>
            <w:tcW w:w="1247" w:type="dxa"/>
            <w:vAlign w:val="bottom"/>
          </w:tcPr>
          <w:p w14:paraId="159287A9" w14:textId="18F9F5F8" w:rsidR="00007C2F" w:rsidRPr="00007C2F" w:rsidRDefault="00007C2F" w:rsidP="00007C2F">
            <w:pPr>
              <w:ind w:right="211"/>
              <w:jc w:val="right"/>
            </w:pPr>
          </w:p>
        </w:tc>
        <w:tc>
          <w:tcPr>
            <w:tcW w:w="1247" w:type="dxa"/>
            <w:shd w:val="clear" w:color="auto" w:fill="C5E0B3" w:themeFill="accent6" w:themeFillTint="66"/>
          </w:tcPr>
          <w:p w14:paraId="316B1219" w14:textId="77F4EE3F" w:rsidR="00007C2F" w:rsidRPr="00007C2F" w:rsidRDefault="00007C2F" w:rsidP="00007C2F">
            <w:pPr>
              <w:ind w:right="92"/>
              <w:jc w:val="right"/>
            </w:pPr>
            <w:r w:rsidRPr="00007C2F">
              <w:t>(75)</w:t>
            </w:r>
          </w:p>
        </w:tc>
      </w:tr>
      <w:tr w:rsidR="00007C2F" w:rsidRPr="000127EF" w14:paraId="79EB7C77" w14:textId="77777777" w:rsidTr="005C7C31">
        <w:trPr>
          <w:jc w:val="center"/>
        </w:trPr>
        <w:tc>
          <w:tcPr>
            <w:tcW w:w="3636" w:type="dxa"/>
          </w:tcPr>
          <w:p w14:paraId="2A4B75A3" w14:textId="58D4B3A0" w:rsidR="00007C2F" w:rsidRPr="000127EF" w:rsidRDefault="00007C2F" w:rsidP="00007C2F">
            <w:r w:rsidRPr="000127EF">
              <w:t>Repairs</w:t>
            </w:r>
          </w:p>
        </w:tc>
        <w:tc>
          <w:tcPr>
            <w:tcW w:w="1247" w:type="dxa"/>
          </w:tcPr>
          <w:p w14:paraId="2BECBD91" w14:textId="45480DAB" w:rsidR="00007C2F" w:rsidRPr="00007C2F" w:rsidRDefault="00007C2F" w:rsidP="00007C2F">
            <w:pPr>
              <w:ind w:right="92"/>
              <w:jc w:val="right"/>
            </w:pPr>
            <w:r w:rsidRPr="00007C2F">
              <w:t>(110)</w:t>
            </w:r>
          </w:p>
        </w:tc>
        <w:tc>
          <w:tcPr>
            <w:tcW w:w="1247" w:type="dxa"/>
            <w:vAlign w:val="bottom"/>
          </w:tcPr>
          <w:p w14:paraId="343124DD" w14:textId="7613B2A4" w:rsidR="00007C2F" w:rsidRPr="00007C2F" w:rsidRDefault="00007C2F" w:rsidP="00007C2F">
            <w:pPr>
              <w:ind w:right="149"/>
              <w:jc w:val="right"/>
            </w:pPr>
            <w:r w:rsidRPr="00007C2F">
              <w:t>-</w:t>
            </w:r>
          </w:p>
        </w:tc>
        <w:tc>
          <w:tcPr>
            <w:tcW w:w="1247" w:type="dxa"/>
            <w:vAlign w:val="bottom"/>
          </w:tcPr>
          <w:p w14:paraId="5C600D2C" w14:textId="6CB947AB" w:rsidR="00007C2F" w:rsidRPr="00007C2F" w:rsidRDefault="00007C2F" w:rsidP="00007C2F">
            <w:pPr>
              <w:ind w:right="211"/>
              <w:jc w:val="right"/>
            </w:pPr>
            <w:r w:rsidRPr="00007C2F">
              <w:t>(17)</w:t>
            </w:r>
          </w:p>
        </w:tc>
        <w:tc>
          <w:tcPr>
            <w:tcW w:w="1247" w:type="dxa"/>
            <w:shd w:val="clear" w:color="auto" w:fill="C5E0B3" w:themeFill="accent6" w:themeFillTint="66"/>
            <w:vAlign w:val="center"/>
          </w:tcPr>
          <w:p w14:paraId="6BE6377C" w14:textId="526C306B" w:rsidR="00007C2F" w:rsidRPr="00007C2F" w:rsidRDefault="00007C2F" w:rsidP="00007C2F">
            <w:pPr>
              <w:ind w:right="92"/>
              <w:jc w:val="right"/>
            </w:pPr>
            <w:r w:rsidRPr="00007C2F">
              <w:t>(127)</w:t>
            </w:r>
          </w:p>
        </w:tc>
      </w:tr>
      <w:tr w:rsidR="00007C2F" w:rsidRPr="000127EF" w14:paraId="4BE90FFE" w14:textId="77777777" w:rsidTr="005C7C31">
        <w:trPr>
          <w:jc w:val="center"/>
        </w:trPr>
        <w:tc>
          <w:tcPr>
            <w:tcW w:w="3636" w:type="dxa"/>
          </w:tcPr>
          <w:p w14:paraId="5A12DB23" w14:textId="24ECFDC8" w:rsidR="00007C2F" w:rsidRPr="000127EF" w:rsidRDefault="00007C2F" w:rsidP="00007C2F">
            <w:r w:rsidRPr="000127EF">
              <w:t>Highways</w:t>
            </w:r>
          </w:p>
        </w:tc>
        <w:tc>
          <w:tcPr>
            <w:tcW w:w="1247" w:type="dxa"/>
            <w:vAlign w:val="center"/>
          </w:tcPr>
          <w:p w14:paraId="206DBBF0" w14:textId="0ABEBF72" w:rsidR="00007C2F" w:rsidRPr="00007C2F" w:rsidRDefault="00007C2F" w:rsidP="00007C2F">
            <w:pPr>
              <w:ind w:right="92"/>
              <w:jc w:val="right"/>
            </w:pPr>
            <w:r w:rsidRPr="00007C2F">
              <w:t>(608)</w:t>
            </w:r>
          </w:p>
        </w:tc>
        <w:tc>
          <w:tcPr>
            <w:tcW w:w="1247" w:type="dxa"/>
            <w:vAlign w:val="bottom"/>
          </w:tcPr>
          <w:p w14:paraId="2CCFA115" w14:textId="233E4999" w:rsidR="00007C2F" w:rsidRPr="00007C2F" w:rsidRDefault="00007C2F" w:rsidP="00007C2F">
            <w:pPr>
              <w:ind w:right="149"/>
              <w:jc w:val="right"/>
            </w:pPr>
            <w:r w:rsidRPr="00007C2F">
              <w:t>85</w:t>
            </w:r>
          </w:p>
        </w:tc>
        <w:tc>
          <w:tcPr>
            <w:tcW w:w="1247" w:type="dxa"/>
            <w:vAlign w:val="bottom"/>
          </w:tcPr>
          <w:p w14:paraId="346373A1" w14:textId="279A40CF" w:rsidR="00007C2F" w:rsidRPr="00007C2F" w:rsidRDefault="00007C2F" w:rsidP="00007C2F">
            <w:pPr>
              <w:ind w:right="211"/>
              <w:jc w:val="right"/>
            </w:pPr>
          </w:p>
        </w:tc>
        <w:tc>
          <w:tcPr>
            <w:tcW w:w="1247" w:type="dxa"/>
            <w:shd w:val="clear" w:color="auto" w:fill="C5E0B3" w:themeFill="accent6" w:themeFillTint="66"/>
            <w:vAlign w:val="center"/>
          </w:tcPr>
          <w:p w14:paraId="6657A886" w14:textId="34582C9E" w:rsidR="00007C2F" w:rsidRPr="00007C2F" w:rsidRDefault="00007C2F" w:rsidP="00007C2F">
            <w:pPr>
              <w:ind w:right="92"/>
              <w:jc w:val="right"/>
            </w:pPr>
            <w:r w:rsidRPr="00007C2F">
              <w:t>(523)</w:t>
            </w:r>
          </w:p>
        </w:tc>
      </w:tr>
      <w:tr w:rsidR="00007C2F" w:rsidRPr="000127EF" w14:paraId="64875FBF" w14:textId="77777777" w:rsidTr="000E1C2E">
        <w:trPr>
          <w:jc w:val="center"/>
        </w:trPr>
        <w:tc>
          <w:tcPr>
            <w:tcW w:w="3636" w:type="dxa"/>
          </w:tcPr>
          <w:p w14:paraId="47177204" w14:textId="6A29C0AC" w:rsidR="00007C2F" w:rsidRPr="000127EF" w:rsidRDefault="00007C2F" w:rsidP="00007C2F">
            <w:r w:rsidRPr="000127EF">
              <w:t>Public Health</w:t>
            </w:r>
          </w:p>
        </w:tc>
        <w:tc>
          <w:tcPr>
            <w:tcW w:w="1247" w:type="dxa"/>
            <w:vAlign w:val="center"/>
          </w:tcPr>
          <w:p w14:paraId="697DEF1F" w14:textId="2687E6DA" w:rsidR="00007C2F" w:rsidRPr="00007C2F" w:rsidRDefault="00007C2F" w:rsidP="00007C2F">
            <w:pPr>
              <w:ind w:right="92"/>
              <w:jc w:val="right"/>
            </w:pPr>
            <w:r w:rsidRPr="00007C2F">
              <w:t>(316)</w:t>
            </w:r>
          </w:p>
        </w:tc>
        <w:tc>
          <w:tcPr>
            <w:tcW w:w="1247" w:type="dxa"/>
            <w:vAlign w:val="bottom"/>
          </w:tcPr>
          <w:p w14:paraId="1F4B7924" w14:textId="6BDCD1AE" w:rsidR="00007C2F" w:rsidRPr="00007C2F" w:rsidRDefault="00007C2F" w:rsidP="00007C2F">
            <w:pPr>
              <w:ind w:right="149"/>
              <w:jc w:val="right"/>
            </w:pPr>
            <w:r w:rsidRPr="00007C2F">
              <w:t>188</w:t>
            </w:r>
          </w:p>
        </w:tc>
        <w:tc>
          <w:tcPr>
            <w:tcW w:w="1247" w:type="dxa"/>
            <w:vAlign w:val="bottom"/>
          </w:tcPr>
          <w:p w14:paraId="2D731DBD" w14:textId="1164F7BA" w:rsidR="00007C2F" w:rsidRPr="00007C2F" w:rsidRDefault="00007C2F" w:rsidP="00007C2F">
            <w:pPr>
              <w:ind w:right="211"/>
              <w:jc w:val="right"/>
            </w:pPr>
            <w:r w:rsidRPr="00007C2F">
              <w:t>(110)</w:t>
            </w:r>
          </w:p>
        </w:tc>
        <w:tc>
          <w:tcPr>
            <w:tcW w:w="1247" w:type="dxa"/>
            <w:shd w:val="clear" w:color="auto" w:fill="C5E0B3" w:themeFill="accent6" w:themeFillTint="66"/>
            <w:vAlign w:val="center"/>
          </w:tcPr>
          <w:p w14:paraId="3448B653" w14:textId="78A106A7" w:rsidR="00007C2F" w:rsidRPr="00007C2F" w:rsidRDefault="00007C2F" w:rsidP="00007C2F">
            <w:pPr>
              <w:ind w:right="92"/>
              <w:jc w:val="right"/>
            </w:pPr>
            <w:r w:rsidRPr="00007C2F">
              <w:t>(238)</w:t>
            </w:r>
          </w:p>
        </w:tc>
      </w:tr>
      <w:tr w:rsidR="00007C2F" w:rsidRPr="000127EF" w14:paraId="0D95FF10" w14:textId="77777777" w:rsidTr="005C7C31">
        <w:trPr>
          <w:jc w:val="center"/>
        </w:trPr>
        <w:tc>
          <w:tcPr>
            <w:tcW w:w="3636" w:type="dxa"/>
          </w:tcPr>
          <w:p w14:paraId="38711B2C" w14:textId="2B9F04B6" w:rsidR="00007C2F" w:rsidRPr="000127EF" w:rsidRDefault="00007C2F" w:rsidP="00007C2F">
            <w:r w:rsidRPr="000127EF">
              <w:t>Brexit</w:t>
            </w:r>
          </w:p>
        </w:tc>
        <w:tc>
          <w:tcPr>
            <w:tcW w:w="1247" w:type="dxa"/>
            <w:vAlign w:val="center"/>
          </w:tcPr>
          <w:p w14:paraId="662C3954" w14:textId="0F5DCD7B" w:rsidR="00007C2F" w:rsidRPr="00007C2F" w:rsidRDefault="00007C2F" w:rsidP="00007C2F">
            <w:pPr>
              <w:ind w:right="92"/>
              <w:jc w:val="right"/>
            </w:pPr>
            <w:r w:rsidRPr="00007C2F">
              <w:t>(105)</w:t>
            </w:r>
          </w:p>
        </w:tc>
        <w:tc>
          <w:tcPr>
            <w:tcW w:w="1247" w:type="dxa"/>
            <w:vAlign w:val="bottom"/>
          </w:tcPr>
          <w:p w14:paraId="49A03D42" w14:textId="595BDAD5" w:rsidR="00007C2F" w:rsidRPr="00007C2F" w:rsidRDefault="00007C2F" w:rsidP="00007C2F">
            <w:pPr>
              <w:ind w:right="149"/>
              <w:jc w:val="right"/>
            </w:pPr>
            <w:r w:rsidRPr="00007C2F">
              <w:t>-</w:t>
            </w:r>
          </w:p>
        </w:tc>
        <w:tc>
          <w:tcPr>
            <w:tcW w:w="1247" w:type="dxa"/>
            <w:vAlign w:val="bottom"/>
          </w:tcPr>
          <w:p w14:paraId="235ADC7A" w14:textId="3F114C3B" w:rsidR="00007C2F" w:rsidRPr="00007C2F" w:rsidRDefault="00007C2F" w:rsidP="00007C2F">
            <w:pPr>
              <w:ind w:right="211"/>
              <w:jc w:val="right"/>
            </w:pPr>
            <w:r w:rsidRPr="00007C2F">
              <w:t>(161)</w:t>
            </w:r>
          </w:p>
        </w:tc>
        <w:tc>
          <w:tcPr>
            <w:tcW w:w="1247" w:type="dxa"/>
            <w:shd w:val="clear" w:color="auto" w:fill="C5E0B3" w:themeFill="accent6" w:themeFillTint="66"/>
          </w:tcPr>
          <w:p w14:paraId="6FC90371" w14:textId="28036733" w:rsidR="00007C2F" w:rsidRPr="00007C2F" w:rsidRDefault="00007C2F" w:rsidP="00007C2F">
            <w:pPr>
              <w:ind w:right="92"/>
              <w:jc w:val="right"/>
            </w:pPr>
            <w:r w:rsidRPr="00007C2F">
              <w:t>(266)</w:t>
            </w:r>
          </w:p>
        </w:tc>
      </w:tr>
      <w:tr w:rsidR="00007C2F" w:rsidRPr="000127EF" w14:paraId="10F1A8AD" w14:textId="77777777" w:rsidTr="005C7C31">
        <w:trPr>
          <w:jc w:val="center"/>
        </w:trPr>
        <w:tc>
          <w:tcPr>
            <w:tcW w:w="3636" w:type="dxa"/>
          </w:tcPr>
          <w:p w14:paraId="4E66C9C6" w14:textId="3E939F63" w:rsidR="00007C2F" w:rsidRPr="000127EF" w:rsidRDefault="00007C2F" w:rsidP="00007C2F">
            <w:r w:rsidRPr="000127EF">
              <w:t>Tourism</w:t>
            </w:r>
          </w:p>
        </w:tc>
        <w:tc>
          <w:tcPr>
            <w:tcW w:w="1247" w:type="dxa"/>
          </w:tcPr>
          <w:p w14:paraId="58579D46" w14:textId="4F70BB27" w:rsidR="00007C2F" w:rsidRPr="00007C2F" w:rsidRDefault="00007C2F" w:rsidP="00007C2F">
            <w:pPr>
              <w:ind w:right="92"/>
              <w:jc w:val="right"/>
            </w:pPr>
            <w:r w:rsidRPr="00007C2F">
              <w:t>(31)</w:t>
            </w:r>
          </w:p>
        </w:tc>
        <w:tc>
          <w:tcPr>
            <w:tcW w:w="1247" w:type="dxa"/>
            <w:vAlign w:val="bottom"/>
          </w:tcPr>
          <w:p w14:paraId="3439794C" w14:textId="58DAD89C" w:rsidR="00007C2F" w:rsidRPr="00007C2F" w:rsidRDefault="00007C2F" w:rsidP="00007C2F">
            <w:pPr>
              <w:ind w:right="149"/>
              <w:jc w:val="right"/>
            </w:pPr>
            <w:r w:rsidRPr="00007C2F">
              <w:t>-</w:t>
            </w:r>
          </w:p>
        </w:tc>
        <w:tc>
          <w:tcPr>
            <w:tcW w:w="1247" w:type="dxa"/>
            <w:vAlign w:val="bottom"/>
          </w:tcPr>
          <w:p w14:paraId="1BEF1D8C" w14:textId="55B8372F" w:rsidR="00007C2F" w:rsidRPr="00007C2F" w:rsidRDefault="00007C2F" w:rsidP="00007C2F">
            <w:pPr>
              <w:ind w:right="211"/>
              <w:jc w:val="right"/>
            </w:pPr>
            <w:r w:rsidRPr="00007C2F">
              <w:t>-</w:t>
            </w:r>
          </w:p>
        </w:tc>
        <w:tc>
          <w:tcPr>
            <w:tcW w:w="1247" w:type="dxa"/>
            <w:shd w:val="clear" w:color="auto" w:fill="C5E0B3" w:themeFill="accent6" w:themeFillTint="66"/>
            <w:vAlign w:val="center"/>
          </w:tcPr>
          <w:p w14:paraId="3F4D3B88" w14:textId="3C26C9B0" w:rsidR="00007C2F" w:rsidRPr="00007C2F" w:rsidRDefault="00007C2F" w:rsidP="00007C2F">
            <w:pPr>
              <w:ind w:right="92"/>
              <w:jc w:val="right"/>
            </w:pPr>
            <w:r w:rsidRPr="00007C2F">
              <w:t>(31)</w:t>
            </w:r>
          </w:p>
        </w:tc>
      </w:tr>
      <w:tr w:rsidR="00007C2F" w:rsidRPr="000127EF" w14:paraId="3BCCD4F9" w14:textId="77777777" w:rsidTr="005C7C31">
        <w:trPr>
          <w:jc w:val="center"/>
        </w:trPr>
        <w:tc>
          <w:tcPr>
            <w:tcW w:w="3636" w:type="dxa"/>
          </w:tcPr>
          <w:p w14:paraId="21E0A747" w14:textId="208DB4E3" w:rsidR="00007C2F" w:rsidRPr="000127EF" w:rsidRDefault="00007C2F" w:rsidP="00007C2F">
            <w:r w:rsidRPr="000127EF">
              <w:t>Digital Rutland</w:t>
            </w:r>
          </w:p>
        </w:tc>
        <w:tc>
          <w:tcPr>
            <w:tcW w:w="1247" w:type="dxa"/>
            <w:vAlign w:val="center"/>
          </w:tcPr>
          <w:p w14:paraId="427E0BA3" w14:textId="6639FE89" w:rsidR="00007C2F" w:rsidRPr="00007C2F" w:rsidRDefault="00007C2F" w:rsidP="00007C2F">
            <w:pPr>
              <w:ind w:right="92"/>
              <w:jc w:val="right"/>
            </w:pPr>
            <w:r w:rsidRPr="00007C2F">
              <w:t>(26)</w:t>
            </w:r>
          </w:p>
        </w:tc>
        <w:tc>
          <w:tcPr>
            <w:tcW w:w="1247" w:type="dxa"/>
            <w:vAlign w:val="bottom"/>
          </w:tcPr>
          <w:p w14:paraId="78913292" w14:textId="0495B0DC" w:rsidR="00007C2F" w:rsidRPr="00007C2F" w:rsidRDefault="00007C2F" w:rsidP="00007C2F">
            <w:pPr>
              <w:ind w:right="149"/>
              <w:jc w:val="right"/>
            </w:pPr>
            <w:r w:rsidRPr="00007C2F">
              <w:t>-</w:t>
            </w:r>
          </w:p>
        </w:tc>
        <w:tc>
          <w:tcPr>
            <w:tcW w:w="1247" w:type="dxa"/>
            <w:vAlign w:val="bottom"/>
          </w:tcPr>
          <w:p w14:paraId="754DFA61" w14:textId="2EC02766" w:rsidR="00007C2F" w:rsidRPr="00007C2F" w:rsidRDefault="00007C2F" w:rsidP="00007C2F">
            <w:pPr>
              <w:ind w:right="211"/>
              <w:jc w:val="right"/>
            </w:pPr>
            <w:r w:rsidRPr="00007C2F">
              <w:t>-</w:t>
            </w:r>
          </w:p>
        </w:tc>
        <w:tc>
          <w:tcPr>
            <w:tcW w:w="1247" w:type="dxa"/>
            <w:shd w:val="clear" w:color="auto" w:fill="C5E0B3" w:themeFill="accent6" w:themeFillTint="66"/>
            <w:vAlign w:val="center"/>
          </w:tcPr>
          <w:p w14:paraId="4B8B5871" w14:textId="4C6D983E" w:rsidR="00007C2F" w:rsidRPr="00007C2F" w:rsidRDefault="00007C2F" w:rsidP="00007C2F">
            <w:pPr>
              <w:ind w:right="92"/>
              <w:jc w:val="right"/>
            </w:pPr>
            <w:r w:rsidRPr="00007C2F">
              <w:t>(26)</w:t>
            </w:r>
          </w:p>
        </w:tc>
      </w:tr>
      <w:tr w:rsidR="00007C2F" w:rsidRPr="000127EF" w14:paraId="1FB847E8" w14:textId="77777777" w:rsidTr="000E1C2E">
        <w:trPr>
          <w:jc w:val="center"/>
        </w:trPr>
        <w:tc>
          <w:tcPr>
            <w:tcW w:w="3636" w:type="dxa"/>
          </w:tcPr>
          <w:p w14:paraId="3C1319D7" w14:textId="0EA56EC1" w:rsidR="00007C2F" w:rsidRPr="000127EF" w:rsidRDefault="00007C2F" w:rsidP="00007C2F">
            <w:r w:rsidRPr="000127EF">
              <w:t>National Non Domestic Rates</w:t>
            </w:r>
          </w:p>
        </w:tc>
        <w:tc>
          <w:tcPr>
            <w:tcW w:w="1247" w:type="dxa"/>
            <w:vAlign w:val="center"/>
          </w:tcPr>
          <w:p w14:paraId="43D32E96" w14:textId="5B518F63" w:rsidR="00007C2F" w:rsidRPr="00007C2F" w:rsidRDefault="00007C2F" w:rsidP="00007C2F">
            <w:pPr>
              <w:ind w:right="92"/>
              <w:jc w:val="right"/>
            </w:pPr>
            <w:r w:rsidRPr="00007C2F">
              <w:t>(332)</w:t>
            </w:r>
          </w:p>
        </w:tc>
        <w:tc>
          <w:tcPr>
            <w:tcW w:w="1247" w:type="dxa"/>
            <w:vAlign w:val="bottom"/>
          </w:tcPr>
          <w:p w14:paraId="17AF1666" w14:textId="2E00E5C8" w:rsidR="00007C2F" w:rsidRPr="00007C2F" w:rsidRDefault="00007C2F" w:rsidP="00007C2F">
            <w:pPr>
              <w:ind w:right="149"/>
              <w:jc w:val="right"/>
            </w:pPr>
            <w:r w:rsidRPr="00007C2F">
              <w:t>-</w:t>
            </w:r>
          </w:p>
        </w:tc>
        <w:tc>
          <w:tcPr>
            <w:tcW w:w="1247" w:type="dxa"/>
            <w:vAlign w:val="bottom"/>
          </w:tcPr>
          <w:p w14:paraId="32FAFBBB" w14:textId="74A25335" w:rsidR="00007C2F" w:rsidRPr="00007C2F" w:rsidRDefault="00007C2F" w:rsidP="00007C2F">
            <w:pPr>
              <w:ind w:right="211"/>
              <w:jc w:val="right"/>
            </w:pPr>
            <w:r w:rsidRPr="00007C2F">
              <w:t>(106)</w:t>
            </w:r>
          </w:p>
        </w:tc>
        <w:tc>
          <w:tcPr>
            <w:tcW w:w="1247" w:type="dxa"/>
            <w:shd w:val="clear" w:color="auto" w:fill="C5E0B3" w:themeFill="accent6" w:themeFillTint="66"/>
            <w:vAlign w:val="center"/>
          </w:tcPr>
          <w:p w14:paraId="61980302" w14:textId="62B62F38" w:rsidR="00007C2F" w:rsidRPr="00007C2F" w:rsidRDefault="00007C2F" w:rsidP="00007C2F">
            <w:pPr>
              <w:ind w:right="92"/>
              <w:jc w:val="right"/>
            </w:pPr>
            <w:r w:rsidRPr="00007C2F">
              <w:t>(438)</w:t>
            </w:r>
          </w:p>
        </w:tc>
      </w:tr>
      <w:tr w:rsidR="00007C2F" w:rsidRPr="000127EF" w14:paraId="602B5E09" w14:textId="77777777" w:rsidTr="005C7C31">
        <w:trPr>
          <w:jc w:val="center"/>
        </w:trPr>
        <w:tc>
          <w:tcPr>
            <w:tcW w:w="3636" w:type="dxa"/>
          </w:tcPr>
          <w:p w14:paraId="59E13E9E" w14:textId="63135C9E" w:rsidR="00007C2F" w:rsidRPr="000127EF" w:rsidRDefault="00007C2F" w:rsidP="00007C2F">
            <w:r w:rsidRPr="000127EF">
              <w:t>Social Care Reserve</w:t>
            </w:r>
          </w:p>
        </w:tc>
        <w:tc>
          <w:tcPr>
            <w:tcW w:w="1247" w:type="dxa"/>
            <w:vAlign w:val="center"/>
          </w:tcPr>
          <w:p w14:paraId="312C0E5D" w14:textId="1C843CD6" w:rsidR="00007C2F" w:rsidRPr="00007C2F" w:rsidRDefault="00007C2F" w:rsidP="00007C2F">
            <w:pPr>
              <w:ind w:right="92"/>
              <w:jc w:val="right"/>
            </w:pPr>
            <w:r w:rsidRPr="00007C2F">
              <w:t>(1,035)</w:t>
            </w:r>
          </w:p>
        </w:tc>
        <w:tc>
          <w:tcPr>
            <w:tcW w:w="1247" w:type="dxa"/>
            <w:vAlign w:val="bottom"/>
          </w:tcPr>
          <w:p w14:paraId="022FCCE5" w14:textId="67AA6388" w:rsidR="00007C2F" w:rsidRPr="00007C2F" w:rsidRDefault="00007C2F" w:rsidP="00007C2F">
            <w:pPr>
              <w:ind w:right="149"/>
              <w:jc w:val="right"/>
            </w:pPr>
            <w:r w:rsidRPr="00007C2F">
              <w:t>-</w:t>
            </w:r>
          </w:p>
        </w:tc>
        <w:tc>
          <w:tcPr>
            <w:tcW w:w="1247" w:type="dxa"/>
            <w:vAlign w:val="bottom"/>
          </w:tcPr>
          <w:p w14:paraId="7ED42F20" w14:textId="0EB94249" w:rsidR="00007C2F" w:rsidRPr="00007C2F" w:rsidRDefault="00007C2F" w:rsidP="00007C2F">
            <w:pPr>
              <w:ind w:right="211"/>
              <w:jc w:val="right"/>
            </w:pPr>
            <w:r w:rsidRPr="00007C2F">
              <w:t>(330)</w:t>
            </w:r>
          </w:p>
        </w:tc>
        <w:tc>
          <w:tcPr>
            <w:tcW w:w="1247" w:type="dxa"/>
            <w:shd w:val="clear" w:color="auto" w:fill="C5E0B3" w:themeFill="accent6" w:themeFillTint="66"/>
            <w:vAlign w:val="center"/>
          </w:tcPr>
          <w:p w14:paraId="2D20D8D6" w14:textId="743090E1" w:rsidR="00007C2F" w:rsidRPr="00007C2F" w:rsidRDefault="00007C2F" w:rsidP="00007C2F">
            <w:pPr>
              <w:ind w:right="92"/>
              <w:jc w:val="right"/>
            </w:pPr>
            <w:r w:rsidRPr="00007C2F">
              <w:t>(1,365)</w:t>
            </w:r>
          </w:p>
        </w:tc>
      </w:tr>
      <w:tr w:rsidR="00007C2F" w:rsidRPr="000127EF" w14:paraId="47F7129F" w14:textId="77777777" w:rsidTr="000E1C2E">
        <w:trPr>
          <w:jc w:val="center"/>
        </w:trPr>
        <w:tc>
          <w:tcPr>
            <w:tcW w:w="3636" w:type="dxa"/>
          </w:tcPr>
          <w:p w14:paraId="36C2940F" w14:textId="6EC47A4C" w:rsidR="00007C2F" w:rsidRPr="000127EF" w:rsidRDefault="00007C2F" w:rsidP="00007C2F">
            <w:r w:rsidRPr="000127EF">
              <w:t>Insurance</w:t>
            </w:r>
          </w:p>
        </w:tc>
        <w:tc>
          <w:tcPr>
            <w:tcW w:w="1247" w:type="dxa"/>
            <w:vAlign w:val="center"/>
          </w:tcPr>
          <w:p w14:paraId="61B6CD8D" w14:textId="194A155A" w:rsidR="00007C2F" w:rsidRPr="00007C2F" w:rsidRDefault="00007C2F" w:rsidP="00007C2F">
            <w:pPr>
              <w:ind w:right="92"/>
              <w:jc w:val="right"/>
            </w:pPr>
            <w:r w:rsidRPr="00007C2F">
              <w:t>(180)</w:t>
            </w:r>
          </w:p>
        </w:tc>
        <w:tc>
          <w:tcPr>
            <w:tcW w:w="1247" w:type="dxa"/>
            <w:vAlign w:val="bottom"/>
          </w:tcPr>
          <w:p w14:paraId="3CF88CB7" w14:textId="0E6B0D46" w:rsidR="00007C2F" w:rsidRPr="00007C2F" w:rsidRDefault="00007C2F" w:rsidP="00007C2F">
            <w:pPr>
              <w:ind w:right="149"/>
              <w:jc w:val="right"/>
            </w:pPr>
            <w:r w:rsidRPr="00007C2F">
              <w:t>-</w:t>
            </w:r>
          </w:p>
        </w:tc>
        <w:tc>
          <w:tcPr>
            <w:tcW w:w="1247" w:type="dxa"/>
            <w:vAlign w:val="bottom"/>
          </w:tcPr>
          <w:p w14:paraId="263B10F0" w14:textId="3BE8FA64" w:rsidR="00007C2F" w:rsidRPr="00007C2F" w:rsidRDefault="00007C2F" w:rsidP="00007C2F">
            <w:pPr>
              <w:ind w:right="211"/>
              <w:jc w:val="right"/>
            </w:pPr>
          </w:p>
        </w:tc>
        <w:tc>
          <w:tcPr>
            <w:tcW w:w="1247" w:type="dxa"/>
            <w:shd w:val="clear" w:color="auto" w:fill="C5E0B3" w:themeFill="accent6" w:themeFillTint="66"/>
            <w:vAlign w:val="center"/>
          </w:tcPr>
          <w:p w14:paraId="43059377" w14:textId="24FF7BFA" w:rsidR="00007C2F" w:rsidRPr="00007C2F" w:rsidRDefault="00007C2F" w:rsidP="00007C2F">
            <w:pPr>
              <w:ind w:right="92"/>
              <w:jc w:val="right"/>
            </w:pPr>
            <w:r w:rsidRPr="00007C2F">
              <w:t>(180)</w:t>
            </w:r>
          </w:p>
        </w:tc>
      </w:tr>
      <w:tr w:rsidR="00007C2F" w:rsidRPr="000127EF" w14:paraId="29CE991A" w14:textId="77777777" w:rsidTr="000E1C2E">
        <w:trPr>
          <w:jc w:val="center"/>
        </w:trPr>
        <w:tc>
          <w:tcPr>
            <w:tcW w:w="3636" w:type="dxa"/>
          </w:tcPr>
          <w:p w14:paraId="6C924828" w14:textId="62D39227" w:rsidR="00007C2F" w:rsidRPr="000127EF" w:rsidRDefault="00007C2F" w:rsidP="00007C2F">
            <w:r w:rsidRPr="000127EF">
              <w:t>Welfare Reserve</w:t>
            </w:r>
          </w:p>
        </w:tc>
        <w:tc>
          <w:tcPr>
            <w:tcW w:w="1247" w:type="dxa"/>
            <w:vAlign w:val="center"/>
          </w:tcPr>
          <w:p w14:paraId="42E72409" w14:textId="7247D215" w:rsidR="00007C2F" w:rsidRPr="00007C2F" w:rsidRDefault="00007C2F" w:rsidP="00007C2F">
            <w:pPr>
              <w:ind w:right="92"/>
              <w:jc w:val="right"/>
            </w:pPr>
            <w:r w:rsidRPr="00007C2F">
              <w:t>(162)</w:t>
            </w:r>
          </w:p>
        </w:tc>
        <w:tc>
          <w:tcPr>
            <w:tcW w:w="1247" w:type="dxa"/>
            <w:vAlign w:val="bottom"/>
          </w:tcPr>
          <w:p w14:paraId="385E50B3" w14:textId="42C55DD6" w:rsidR="00007C2F" w:rsidRPr="00007C2F" w:rsidRDefault="00007C2F" w:rsidP="00007C2F">
            <w:pPr>
              <w:ind w:right="149"/>
              <w:jc w:val="right"/>
            </w:pPr>
            <w:r w:rsidRPr="00007C2F">
              <w:t>-</w:t>
            </w:r>
          </w:p>
        </w:tc>
        <w:tc>
          <w:tcPr>
            <w:tcW w:w="1247" w:type="dxa"/>
            <w:vAlign w:val="bottom"/>
          </w:tcPr>
          <w:p w14:paraId="154ABE4B" w14:textId="43C0D1C8" w:rsidR="00007C2F" w:rsidRPr="00007C2F" w:rsidRDefault="00007C2F" w:rsidP="00007C2F">
            <w:pPr>
              <w:ind w:right="211"/>
              <w:jc w:val="right"/>
            </w:pPr>
          </w:p>
        </w:tc>
        <w:tc>
          <w:tcPr>
            <w:tcW w:w="1247" w:type="dxa"/>
            <w:shd w:val="clear" w:color="auto" w:fill="C5E0B3" w:themeFill="accent6" w:themeFillTint="66"/>
            <w:vAlign w:val="center"/>
          </w:tcPr>
          <w:p w14:paraId="6F72FFDC" w14:textId="28690729" w:rsidR="00007C2F" w:rsidRPr="00007C2F" w:rsidRDefault="00007C2F" w:rsidP="00007C2F">
            <w:pPr>
              <w:ind w:right="92"/>
              <w:jc w:val="right"/>
            </w:pPr>
            <w:r w:rsidRPr="00007C2F">
              <w:t>(162)</w:t>
            </w:r>
          </w:p>
        </w:tc>
      </w:tr>
      <w:tr w:rsidR="00007C2F" w:rsidRPr="000127EF" w14:paraId="3058F47F" w14:textId="77777777" w:rsidTr="005C7C31">
        <w:trPr>
          <w:jc w:val="center"/>
        </w:trPr>
        <w:tc>
          <w:tcPr>
            <w:tcW w:w="3636" w:type="dxa"/>
          </w:tcPr>
          <w:p w14:paraId="75D44FC9" w14:textId="3CCA0C7C" w:rsidR="00007C2F" w:rsidRPr="000127EF" w:rsidRDefault="00007C2F" w:rsidP="00007C2F">
            <w:r w:rsidRPr="000127EF">
              <w:t>Better Care Fund</w:t>
            </w:r>
          </w:p>
        </w:tc>
        <w:tc>
          <w:tcPr>
            <w:tcW w:w="1247" w:type="dxa"/>
          </w:tcPr>
          <w:p w14:paraId="6D05CDF3" w14:textId="76623B2E" w:rsidR="00007C2F" w:rsidRPr="00007C2F" w:rsidRDefault="00007C2F" w:rsidP="00007C2F">
            <w:pPr>
              <w:ind w:right="92"/>
              <w:jc w:val="right"/>
            </w:pPr>
            <w:r w:rsidRPr="00007C2F">
              <w:t>(439)</w:t>
            </w:r>
          </w:p>
        </w:tc>
        <w:tc>
          <w:tcPr>
            <w:tcW w:w="1247" w:type="dxa"/>
            <w:vAlign w:val="bottom"/>
          </w:tcPr>
          <w:p w14:paraId="12BACDE7" w14:textId="6383A33B" w:rsidR="00007C2F" w:rsidRPr="00007C2F" w:rsidRDefault="00007C2F" w:rsidP="00007C2F">
            <w:pPr>
              <w:ind w:right="149"/>
              <w:jc w:val="right"/>
            </w:pPr>
            <w:r w:rsidRPr="00007C2F">
              <w:t>236</w:t>
            </w:r>
          </w:p>
        </w:tc>
        <w:tc>
          <w:tcPr>
            <w:tcW w:w="1247" w:type="dxa"/>
            <w:vAlign w:val="bottom"/>
          </w:tcPr>
          <w:p w14:paraId="2379DCAE" w14:textId="4C1A09C4" w:rsidR="00007C2F" w:rsidRPr="00007C2F" w:rsidRDefault="00007C2F" w:rsidP="00007C2F">
            <w:pPr>
              <w:ind w:right="211"/>
              <w:jc w:val="right"/>
            </w:pPr>
            <w:r w:rsidRPr="00007C2F">
              <w:t>(224)</w:t>
            </w:r>
          </w:p>
        </w:tc>
        <w:tc>
          <w:tcPr>
            <w:tcW w:w="1247" w:type="dxa"/>
            <w:shd w:val="clear" w:color="auto" w:fill="C5E0B3" w:themeFill="accent6" w:themeFillTint="66"/>
          </w:tcPr>
          <w:p w14:paraId="1513B6D0" w14:textId="6DD47EF5" w:rsidR="00007C2F" w:rsidRPr="00007C2F" w:rsidRDefault="00007C2F" w:rsidP="00007C2F">
            <w:pPr>
              <w:ind w:right="92"/>
              <w:jc w:val="right"/>
            </w:pPr>
            <w:r w:rsidRPr="00007C2F">
              <w:t>(427)</w:t>
            </w:r>
          </w:p>
        </w:tc>
      </w:tr>
      <w:tr w:rsidR="00007C2F" w:rsidRPr="000127EF" w14:paraId="51104C9D" w14:textId="77777777" w:rsidTr="005C7C31">
        <w:trPr>
          <w:jc w:val="center"/>
        </w:trPr>
        <w:tc>
          <w:tcPr>
            <w:tcW w:w="3636" w:type="dxa"/>
          </w:tcPr>
          <w:p w14:paraId="5FA8890C" w14:textId="7C8727DC" w:rsidR="00007C2F" w:rsidRPr="000127EF" w:rsidRDefault="00007C2F" w:rsidP="00007C2F">
            <w:r w:rsidRPr="000127EF">
              <w:t>Pressure Reserve</w:t>
            </w:r>
          </w:p>
        </w:tc>
        <w:tc>
          <w:tcPr>
            <w:tcW w:w="1247" w:type="dxa"/>
            <w:vAlign w:val="center"/>
          </w:tcPr>
          <w:p w14:paraId="5F9E7430" w14:textId="72F38629" w:rsidR="00007C2F" w:rsidRPr="00007C2F" w:rsidRDefault="00007C2F" w:rsidP="00007C2F">
            <w:pPr>
              <w:ind w:right="92"/>
              <w:jc w:val="right"/>
            </w:pPr>
            <w:r w:rsidRPr="00007C2F">
              <w:t>(475)</w:t>
            </w:r>
          </w:p>
        </w:tc>
        <w:tc>
          <w:tcPr>
            <w:tcW w:w="1247" w:type="dxa"/>
            <w:vAlign w:val="bottom"/>
          </w:tcPr>
          <w:p w14:paraId="5CDC45AE" w14:textId="4E09D360" w:rsidR="00007C2F" w:rsidRPr="00007C2F" w:rsidRDefault="00007C2F" w:rsidP="00007C2F">
            <w:pPr>
              <w:ind w:right="149"/>
              <w:jc w:val="right"/>
            </w:pPr>
            <w:r w:rsidRPr="00007C2F">
              <w:t>-</w:t>
            </w:r>
          </w:p>
        </w:tc>
        <w:tc>
          <w:tcPr>
            <w:tcW w:w="1247" w:type="dxa"/>
            <w:vAlign w:val="bottom"/>
          </w:tcPr>
          <w:p w14:paraId="096A01CD" w14:textId="69FEFA6A" w:rsidR="00007C2F" w:rsidRPr="00007C2F" w:rsidRDefault="00007C2F" w:rsidP="00007C2F">
            <w:pPr>
              <w:ind w:right="211"/>
              <w:jc w:val="right"/>
            </w:pPr>
          </w:p>
        </w:tc>
        <w:tc>
          <w:tcPr>
            <w:tcW w:w="1247" w:type="dxa"/>
            <w:shd w:val="clear" w:color="auto" w:fill="C5E0B3" w:themeFill="accent6" w:themeFillTint="66"/>
            <w:vAlign w:val="center"/>
          </w:tcPr>
          <w:p w14:paraId="42D3C3EE" w14:textId="3AF3C76E" w:rsidR="00007C2F" w:rsidRPr="00007C2F" w:rsidRDefault="00007C2F" w:rsidP="00007C2F">
            <w:pPr>
              <w:ind w:right="92"/>
              <w:jc w:val="right"/>
            </w:pPr>
            <w:r w:rsidRPr="00007C2F">
              <w:t>(475)</w:t>
            </w:r>
          </w:p>
        </w:tc>
      </w:tr>
      <w:tr w:rsidR="00007C2F" w:rsidRPr="000127EF" w14:paraId="7304B4B1" w14:textId="77777777" w:rsidTr="000E1C2E">
        <w:trPr>
          <w:jc w:val="center"/>
        </w:trPr>
        <w:tc>
          <w:tcPr>
            <w:tcW w:w="3636" w:type="dxa"/>
          </w:tcPr>
          <w:p w14:paraId="795803FD" w14:textId="09C9C0E9" w:rsidR="00007C2F" w:rsidRPr="000127EF" w:rsidRDefault="00007C2F" w:rsidP="00007C2F">
            <w:r w:rsidRPr="000127EF">
              <w:lastRenderedPageBreak/>
              <w:t>Commuted Sums</w:t>
            </w:r>
          </w:p>
        </w:tc>
        <w:tc>
          <w:tcPr>
            <w:tcW w:w="1247" w:type="dxa"/>
            <w:vAlign w:val="center"/>
          </w:tcPr>
          <w:p w14:paraId="409E02C3" w14:textId="6E5E63EA" w:rsidR="00007C2F" w:rsidRPr="00007C2F" w:rsidRDefault="00007C2F" w:rsidP="00007C2F">
            <w:pPr>
              <w:ind w:right="92"/>
              <w:jc w:val="right"/>
            </w:pPr>
            <w:r w:rsidRPr="00007C2F">
              <w:t>(382)</w:t>
            </w:r>
          </w:p>
        </w:tc>
        <w:tc>
          <w:tcPr>
            <w:tcW w:w="1247" w:type="dxa"/>
            <w:vAlign w:val="bottom"/>
          </w:tcPr>
          <w:p w14:paraId="08DCC471" w14:textId="510D5F55" w:rsidR="00007C2F" w:rsidRPr="00007C2F" w:rsidRDefault="00007C2F" w:rsidP="00007C2F">
            <w:pPr>
              <w:ind w:right="149"/>
              <w:jc w:val="right"/>
            </w:pPr>
            <w:r w:rsidRPr="00007C2F">
              <w:t>-</w:t>
            </w:r>
          </w:p>
        </w:tc>
        <w:tc>
          <w:tcPr>
            <w:tcW w:w="1247" w:type="dxa"/>
            <w:vAlign w:val="bottom"/>
          </w:tcPr>
          <w:p w14:paraId="1868CF1D" w14:textId="090F10F4" w:rsidR="00007C2F" w:rsidRPr="00007C2F" w:rsidRDefault="00007C2F" w:rsidP="00007C2F">
            <w:pPr>
              <w:ind w:right="211"/>
              <w:jc w:val="right"/>
            </w:pPr>
            <w:r w:rsidRPr="00007C2F">
              <w:t>(12)</w:t>
            </w:r>
          </w:p>
        </w:tc>
        <w:tc>
          <w:tcPr>
            <w:tcW w:w="1247" w:type="dxa"/>
            <w:shd w:val="clear" w:color="auto" w:fill="C5E0B3" w:themeFill="accent6" w:themeFillTint="66"/>
            <w:vAlign w:val="center"/>
          </w:tcPr>
          <w:p w14:paraId="07DE3786" w14:textId="7AC63122" w:rsidR="00007C2F" w:rsidRPr="00007C2F" w:rsidRDefault="00007C2F" w:rsidP="00007C2F">
            <w:pPr>
              <w:ind w:right="92"/>
              <w:jc w:val="right"/>
            </w:pPr>
            <w:r w:rsidRPr="00007C2F">
              <w:t>(394)</w:t>
            </w:r>
          </w:p>
        </w:tc>
      </w:tr>
      <w:tr w:rsidR="00007C2F" w:rsidRPr="000127EF" w14:paraId="459E90B6" w14:textId="77777777" w:rsidTr="000E1C2E">
        <w:trPr>
          <w:jc w:val="center"/>
        </w:trPr>
        <w:tc>
          <w:tcPr>
            <w:tcW w:w="3636" w:type="dxa"/>
          </w:tcPr>
          <w:p w14:paraId="1694E02A" w14:textId="647EE7D1" w:rsidR="00007C2F" w:rsidRPr="000127EF" w:rsidRDefault="00007C2F" w:rsidP="00007C2F">
            <w:r>
              <w:t>Rutland Adult Learning</w:t>
            </w:r>
          </w:p>
        </w:tc>
        <w:tc>
          <w:tcPr>
            <w:tcW w:w="1247" w:type="dxa"/>
            <w:vAlign w:val="center"/>
          </w:tcPr>
          <w:p w14:paraId="68687A74" w14:textId="7D94A308" w:rsidR="00007C2F" w:rsidRPr="00007C2F" w:rsidRDefault="00007C2F" w:rsidP="00007C2F">
            <w:pPr>
              <w:ind w:right="92"/>
              <w:jc w:val="right"/>
            </w:pPr>
            <w:r w:rsidRPr="00007C2F">
              <w:t>-</w:t>
            </w:r>
          </w:p>
        </w:tc>
        <w:tc>
          <w:tcPr>
            <w:tcW w:w="1247" w:type="dxa"/>
            <w:vAlign w:val="bottom"/>
          </w:tcPr>
          <w:p w14:paraId="0B2EB41F" w14:textId="7B63E21C" w:rsidR="00007C2F" w:rsidRPr="00007C2F" w:rsidRDefault="00007C2F" w:rsidP="00007C2F">
            <w:pPr>
              <w:ind w:right="149"/>
              <w:jc w:val="right"/>
            </w:pPr>
            <w:r w:rsidRPr="00007C2F">
              <w:t>-</w:t>
            </w:r>
          </w:p>
        </w:tc>
        <w:tc>
          <w:tcPr>
            <w:tcW w:w="1247" w:type="dxa"/>
            <w:vAlign w:val="bottom"/>
          </w:tcPr>
          <w:p w14:paraId="19C0C608" w14:textId="38AE4BD6" w:rsidR="00007C2F" w:rsidRPr="00007C2F" w:rsidRDefault="00007C2F" w:rsidP="00007C2F">
            <w:pPr>
              <w:ind w:right="211"/>
              <w:jc w:val="right"/>
            </w:pPr>
            <w:r w:rsidRPr="00007C2F">
              <w:t>(20)</w:t>
            </w:r>
          </w:p>
        </w:tc>
        <w:tc>
          <w:tcPr>
            <w:tcW w:w="1247" w:type="dxa"/>
            <w:shd w:val="clear" w:color="auto" w:fill="C5E0B3" w:themeFill="accent6" w:themeFillTint="66"/>
            <w:vAlign w:val="center"/>
          </w:tcPr>
          <w:p w14:paraId="1379E04C" w14:textId="46919EB1" w:rsidR="00007C2F" w:rsidRPr="00007C2F" w:rsidRDefault="00007C2F" w:rsidP="00007C2F">
            <w:pPr>
              <w:ind w:right="92"/>
              <w:jc w:val="right"/>
            </w:pPr>
            <w:r w:rsidRPr="00007C2F">
              <w:t>(20)</w:t>
            </w:r>
          </w:p>
        </w:tc>
      </w:tr>
      <w:tr w:rsidR="00007C2F" w:rsidRPr="000127EF" w14:paraId="7BA041F7" w14:textId="77777777" w:rsidTr="000E1C2E">
        <w:trPr>
          <w:jc w:val="center"/>
        </w:trPr>
        <w:tc>
          <w:tcPr>
            <w:tcW w:w="3636" w:type="dxa"/>
          </w:tcPr>
          <w:p w14:paraId="7927028E" w14:textId="1C9E04A0" w:rsidR="00007C2F" w:rsidRPr="000127EF" w:rsidRDefault="00007C2F" w:rsidP="00007C2F">
            <w:r>
              <w:t>Covid</w:t>
            </w:r>
          </w:p>
        </w:tc>
        <w:tc>
          <w:tcPr>
            <w:tcW w:w="1247" w:type="dxa"/>
            <w:vAlign w:val="center"/>
          </w:tcPr>
          <w:p w14:paraId="6899F772" w14:textId="057A8A83" w:rsidR="00007C2F" w:rsidRPr="00007C2F" w:rsidRDefault="00007C2F" w:rsidP="00007C2F">
            <w:pPr>
              <w:ind w:right="92"/>
              <w:jc w:val="right"/>
            </w:pPr>
            <w:r w:rsidRPr="00007C2F">
              <w:t>-</w:t>
            </w:r>
          </w:p>
        </w:tc>
        <w:tc>
          <w:tcPr>
            <w:tcW w:w="1247" w:type="dxa"/>
            <w:vAlign w:val="bottom"/>
          </w:tcPr>
          <w:p w14:paraId="75B6C5F9" w14:textId="7AE3F71B" w:rsidR="00007C2F" w:rsidRPr="00007C2F" w:rsidRDefault="00007C2F" w:rsidP="00007C2F">
            <w:pPr>
              <w:ind w:right="149"/>
              <w:jc w:val="right"/>
            </w:pPr>
            <w:r w:rsidRPr="00007C2F">
              <w:t>-</w:t>
            </w:r>
          </w:p>
        </w:tc>
        <w:tc>
          <w:tcPr>
            <w:tcW w:w="1247" w:type="dxa"/>
            <w:vAlign w:val="bottom"/>
          </w:tcPr>
          <w:p w14:paraId="7FD5E16E" w14:textId="0C168790" w:rsidR="00007C2F" w:rsidRPr="00007C2F" w:rsidRDefault="00007C2F" w:rsidP="00007C2F">
            <w:pPr>
              <w:ind w:right="211"/>
              <w:jc w:val="right"/>
            </w:pPr>
            <w:r w:rsidRPr="00007C2F">
              <w:t>(848)</w:t>
            </w:r>
          </w:p>
        </w:tc>
        <w:tc>
          <w:tcPr>
            <w:tcW w:w="1247" w:type="dxa"/>
            <w:shd w:val="clear" w:color="auto" w:fill="C5E0B3" w:themeFill="accent6" w:themeFillTint="66"/>
            <w:vAlign w:val="center"/>
          </w:tcPr>
          <w:p w14:paraId="4B364274" w14:textId="6735ED86" w:rsidR="00007C2F" w:rsidRPr="00007C2F" w:rsidRDefault="00007C2F" w:rsidP="00007C2F">
            <w:pPr>
              <w:ind w:right="92"/>
              <w:jc w:val="right"/>
            </w:pPr>
            <w:r w:rsidRPr="00007C2F">
              <w:t>(848)</w:t>
            </w:r>
          </w:p>
        </w:tc>
      </w:tr>
      <w:tr w:rsidR="00007C2F" w:rsidRPr="000127EF" w14:paraId="73F50535" w14:textId="77777777" w:rsidTr="000E1C2E">
        <w:trPr>
          <w:jc w:val="center"/>
        </w:trPr>
        <w:tc>
          <w:tcPr>
            <w:tcW w:w="3636" w:type="dxa"/>
          </w:tcPr>
          <w:p w14:paraId="4E0F9B2A" w14:textId="0A24F82B" w:rsidR="00007C2F" w:rsidRPr="000127EF" w:rsidRDefault="00007C2F" w:rsidP="00007C2F">
            <w:r>
              <w:t>Neighbourhood</w:t>
            </w:r>
          </w:p>
        </w:tc>
        <w:tc>
          <w:tcPr>
            <w:tcW w:w="1247" w:type="dxa"/>
            <w:vAlign w:val="center"/>
          </w:tcPr>
          <w:p w14:paraId="47C06C9B" w14:textId="115168E3" w:rsidR="00007C2F" w:rsidRPr="00007C2F" w:rsidRDefault="00007C2F" w:rsidP="00007C2F">
            <w:pPr>
              <w:ind w:right="92"/>
              <w:jc w:val="right"/>
            </w:pPr>
            <w:r w:rsidRPr="00007C2F">
              <w:t>-</w:t>
            </w:r>
          </w:p>
        </w:tc>
        <w:tc>
          <w:tcPr>
            <w:tcW w:w="1247" w:type="dxa"/>
            <w:vAlign w:val="bottom"/>
          </w:tcPr>
          <w:p w14:paraId="3C1341B0" w14:textId="38394D5E" w:rsidR="00007C2F" w:rsidRPr="00007C2F" w:rsidRDefault="00007C2F" w:rsidP="00007C2F">
            <w:pPr>
              <w:ind w:right="149"/>
              <w:jc w:val="right"/>
            </w:pPr>
            <w:r w:rsidRPr="00007C2F">
              <w:t>-</w:t>
            </w:r>
          </w:p>
        </w:tc>
        <w:tc>
          <w:tcPr>
            <w:tcW w:w="1247" w:type="dxa"/>
            <w:vAlign w:val="bottom"/>
          </w:tcPr>
          <w:p w14:paraId="49CBCC70" w14:textId="55B42CF7" w:rsidR="00007C2F" w:rsidRPr="00007C2F" w:rsidRDefault="00007C2F" w:rsidP="00007C2F">
            <w:pPr>
              <w:ind w:right="211"/>
              <w:jc w:val="right"/>
            </w:pPr>
            <w:r w:rsidRPr="00007C2F">
              <w:t>(12)</w:t>
            </w:r>
          </w:p>
        </w:tc>
        <w:tc>
          <w:tcPr>
            <w:tcW w:w="1247" w:type="dxa"/>
            <w:shd w:val="clear" w:color="auto" w:fill="C5E0B3" w:themeFill="accent6" w:themeFillTint="66"/>
            <w:vAlign w:val="center"/>
          </w:tcPr>
          <w:p w14:paraId="2A6EB3D0" w14:textId="08172FA9" w:rsidR="00007C2F" w:rsidRPr="00007C2F" w:rsidRDefault="00007C2F" w:rsidP="00007C2F">
            <w:pPr>
              <w:ind w:right="92"/>
              <w:jc w:val="right"/>
            </w:pPr>
            <w:r w:rsidRPr="00007C2F">
              <w:t>(12)</w:t>
            </w:r>
          </w:p>
        </w:tc>
      </w:tr>
      <w:tr w:rsidR="00007C2F" w:rsidRPr="000127EF" w14:paraId="03D18E38" w14:textId="77777777" w:rsidTr="000E1C2E">
        <w:trPr>
          <w:jc w:val="center"/>
        </w:trPr>
        <w:tc>
          <w:tcPr>
            <w:tcW w:w="3636" w:type="dxa"/>
          </w:tcPr>
          <w:p w14:paraId="19D5A982" w14:textId="25D4D12B" w:rsidR="00007C2F" w:rsidRPr="000127EF" w:rsidRDefault="00007C2F" w:rsidP="00007C2F">
            <w:r w:rsidRPr="000127EF">
              <w:t>Section 106</w:t>
            </w:r>
          </w:p>
        </w:tc>
        <w:tc>
          <w:tcPr>
            <w:tcW w:w="1247" w:type="dxa"/>
            <w:vAlign w:val="center"/>
          </w:tcPr>
          <w:p w14:paraId="34D49F64" w14:textId="0D23F583" w:rsidR="00007C2F" w:rsidRPr="00007C2F" w:rsidRDefault="00007C2F" w:rsidP="00007C2F">
            <w:pPr>
              <w:ind w:right="92"/>
              <w:jc w:val="right"/>
            </w:pPr>
            <w:r w:rsidRPr="00007C2F">
              <w:t>(3,924)</w:t>
            </w:r>
          </w:p>
        </w:tc>
        <w:tc>
          <w:tcPr>
            <w:tcW w:w="1247" w:type="dxa"/>
            <w:vAlign w:val="bottom"/>
          </w:tcPr>
          <w:p w14:paraId="5BF39DE3" w14:textId="6AD91839" w:rsidR="00007C2F" w:rsidRPr="00007C2F" w:rsidRDefault="00007C2F" w:rsidP="00007C2F">
            <w:pPr>
              <w:ind w:right="149"/>
              <w:jc w:val="right"/>
            </w:pPr>
            <w:r w:rsidRPr="00007C2F">
              <w:t>215</w:t>
            </w:r>
          </w:p>
        </w:tc>
        <w:tc>
          <w:tcPr>
            <w:tcW w:w="1247" w:type="dxa"/>
            <w:vAlign w:val="bottom"/>
          </w:tcPr>
          <w:p w14:paraId="2BFCF026" w14:textId="378DF7AF" w:rsidR="00007C2F" w:rsidRPr="00007C2F" w:rsidRDefault="00007C2F" w:rsidP="00007C2F">
            <w:pPr>
              <w:ind w:right="211"/>
              <w:jc w:val="right"/>
            </w:pPr>
            <w:r w:rsidRPr="00007C2F">
              <w:t>(895)</w:t>
            </w:r>
          </w:p>
        </w:tc>
        <w:tc>
          <w:tcPr>
            <w:tcW w:w="1247" w:type="dxa"/>
            <w:shd w:val="clear" w:color="auto" w:fill="C5E0B3" w:themeFill="accent6" w:themeFillTint="66"/>
            <w:vAlign w:val="center"/>
          </w:tcPr>
          <w:p w14:paraId="21959DC0" w14:textId="7D59DA03" w:rsidR="00007C2F" w:rsidRPr="00007C2F" w:rsidRDefault="00007C2F" w:rsidP="00007C2F">
            <w:pPr>
              <w:ind w:right="92"/>
              <w:jc w:val="right"/>
            </w:pPr>
            <w:r w:rsidRPr="00007C2F">
              <w:t>(4,604)</w:t>
            </w:r>
          </w:p>
        </w:tc>
      </w:tr>
      <w:tr w:rsidR="00007C2F" w:rsidRPr="000127EF" w14:paraId="10818E6D" w14:textId="77777777" w:rsidTr="005C7C31">
        <w:trPr>
          <w:jc w:val="center"/>
        </w:trPr>
        <w:tc>
          <w:tcPr>
            <w:tcW w:w="3636" w:type="dxa"/>
          </w:tcPr>
          <w:p w14:paraId="6F226C6F" w14:textId="53043D2A" w:rsidR="00007C2F" w:rsidRPr="000127EF" w:rsidRDefault="00007C2F" w:rsidP="00007C2F">
            <w:r w:rsidRPr="000127EF">
              <w:t>Oakham North Agreement</w:t>
            </w:r>
          </w:p>
        </w:tc>
        <w:tc>
          <w:tcPr>
            <w:tcW w:w="1247" w:type="dxa"/>
          </w:tcPr>
          <w:p w14:paraId="16A6C1C2" w14:textId="1DE24419" w:rsidR="00007C2F" w:rsidRPr="00007C2F" w:rsidRDefault="00007C2F" w:rsidP="00007C2F">
            <w:pPr>
              <w:ind w:right="92"/>
              <w:jc w:val="right"/>
            </w:pPr>
            <w:r w:rsidRPr="00007C2F">
              <w:t>(2,661)</w:t>
            </w:r>
          </w:p>
        </w:tc>
        <w:tc>
          <w:tcPr>
            <w:tcW w:w="1247" w:type="dxa"/>
            <w:vAlign w:val="bottom"/>
          </w:tcPr>
          <w:p w14:paraId="1663E474" w14:textId="2108406F" w:rsidR="00007C2F" w:rsidRPr="00007C2F" w:rsidRDefault="00007C2F" w:rsidP="00007C2F">
            <w:pPr>
              <w:ind w:right="149"/>
              <w:jc w:val="right"/>
            </w:pPr>
            <w:r w:rsidRPr="00007C2F">
              <w:t>-</w:t>
            </w:r>
          </w:p>
        </w:tc>
        <w:tc>
          <w:tcPr>
            <w:tcW w:w="1247" w:type="dxa"/>
            <w:vAlign w:val="bottom"/>
          </w:tcPr>
          <w:p w14:paraId="113FF9BB" w14:textId="1659A914" w:rsidR="00007C2F" w:rsidRPr="00007C2F" w:rsidRDefault="00007C2F" w:rsidP="00007C2F">
            <w:pPr>
              <w:ind w:right="211"/>
              <w:jc w:val="right"/>
            </w:pPr>
            <w:r w:rsidRPr="00007C2F">
              <w:t>(551)</w:t>
            </w:r>
          </w:p>
        </w:tc>
        <w:tc>
          <w:tcPr>
            <w:tcW w:w="1247" w:type="dxa"/>
            <w:shd w:val="clear" w:color="auto" w:fill="C5E0B3" w:themeFill="accent6" w:themeFillTint="66"/>
          </w:tcPr>
          <w:p w14:paraId="5E5C2844" w14:textId="1B0053DA" w:rsidR="00007C2F" w:rsidRPr="00007C2F" w:rsidRDefault="00007C2F" w:rsidP="00007C2F">
            <w:pPr>
              <w:ind w:right="92"/>
              <w:jc w:val="right"/>
            </w:pPr>
            <w:r w:rsidRPr="00007C2F">
              <w:t>(3,212)</w:t>
            </w:r>
          </w:p>
        </w:tc>
      </w:tr>
      <w:tr w:rsidR="00007C2F" w:rsidRPr="000127EF" w14:paraId="044CFF67" w14:textId="77777777" w:rsidTr="005C7C31">
        <w:trPr>
          <w:jc w:val="center"/>
        </w:trPr>
        <w:tc>
          <w:tcPr>
            <w:tcW w:w="3636" w:type="dxa"/>
          </w:tcPr>
          <w:p w14:paraId="55419748" w14:textId="150F5E4C" w:rsidR="00007C2F" w:rsidRPr="000127EF" w:rsidRDefault="00007C2F" w:rsidP="00007C2F">
            <w:r w:rsidRPr="000127EF">
              <w:t>Budget Carry Forward</w:t>
            </w:r>
          </w:p>
        </w:tc>
        <w:tc>
          <w:tcPr>
            <w:tcW w:w="1247" w:type="dxa"/>
            <w:vAlign w:val="center"/>
          </w:tcPr>
          <w:p w14:paraId="50557B06" w14:textId="098348BD" w:rsidR="00007C2F" w:rsidRPr="00007C2F" w:rsidRDefault="00007C2F" w:rsidP="00007C2F">
            <w:pPr>
              <w:ind w:right="92"/>
              <w:jc w:val="right"/>
            </w:pPr>
            <w:r w:rsidRPr="00007C2F">
              <w:t>(780)</w:t>
            </w:r>
          </w:p>
        </w:tc>
        <w:tc>
          <w:tcPr>
            <w:tcW w:w="1247" w:type="dxa"/>
            <w:vAlign w:val="bottom"/>
          </w:tcPr>
          <w:p w14:paraId="7A5D7529" w14:textId="2A6999CA" w:rsidR="00007C2F" w:rsidRPr="00007C2F" w:rsidRDefault="00007C2F" w:rsidP="00007C2F">
            <w:pPr>
              <w:ind w:right="149"/>
              <w:jc w:val="right"/>
            </w:pPr>
            <w:r w:rsidRPr="00007C2F">
              <w:t>780</w:t>
            </w:r>
          </w:p>
        </w:tc>
        <w:tc>
          <w:tcPr>
            <w:tcW w:w="1247" w:type="dxa"/>
            <w:vAlign w:val="bottom"/>
          </w:tcPr>
          <w:p w14:paraId="6E6499E2" w14:textId="450D7BDE" w:rsidR="00007C2F" w:rsidRPr="00007C2F" w:rsidRDefault="00007C2F" w:rsidP="00007C2F">
            <w:pPr>
              <w:ind w:right="211"/>
              <w:jc w:val="right"/>
            </w:pPr>
            <w:r w:rsidRPr="00007C2F">
              <w:t>(337)</w:t>
            </w:r>
          </w:p>
        </w:tc>
        <w:tc>
          <w:tcPr>
            <w:tcW w:w="1247" w:type="dxa"/>
            <w:shd w:val="clear" w:color="auto" w:fill="C5E0B3" w:themeFill="accent6" w:themeFillTint="66"/>
            <w:vAlign w:val="center"/>
          </w:tcPr>
          <w:p w14:paraId="247053D6" w14:textId="46092B71" w:rsidR="00007C2F" w:rsidRPr="00007C2F" w:rsidRDefault="00007C2F" w:rsidP="00007C2F">
            <w:pPr>
              <w:ind w:right="92"/>
              <w:jc w:val="right"/>
            </w:pPr>
            <w:r w:rsidRPr="00007C2F">
              <w:t>(337)</w:t>
            </w:r>
          </w:p>
        </w:tc>
      </w:tr>
      <w:tr w:rsidR="00007C2F" w:rsidRPr="000127EF" w14:paraId="051BC142" w14:textId="77777777" w:rsidTr="005C7C31">
        <w:trPr>
          <w:jc w:val="center"/>
        </w:trPr>
        <w:tc>
          <w:tcPr>
            <w:tcW w:w="3636" w:type="dxa"/>
          </w:tcPr>
          <w:p w14:paraId="18EED0E9" w14:textId="36D370D0" w:rsidR="00007C2F" w:rsidRPr="000127EF" w:rsidRDefault="00007C2F" w:rsidP="00007C2F">
            <w:r w:rsidRPr="000127EF">
              <w:rPr>
                <w:b/>
              </w:rPr>
              <w:t>Total</w:t>
            </w:r>
          </w:p>
        </w:tc>
        <w:tc>
          <w:tcPr>
            <w:tcW w:w="1247" w:type="dxa"/>
            <w:tcBorders>
              <w:top w:val="single" w:sz="4" w:space="0" w:color="auto"/>
              <w:bottom w:val="single" w:sz="4" w:space="0" w:color="auto"/>
            </w:tcBorders>
            <w:vAlign w:val="center"/>
          </w:tcPr>
          <w:p w14:paraId="1CD140DB" w14:textId="36F2D474" w:rsidR="00007C2F" w:rsidRPr="00007C2F" w:rsidRDefault="00007C2F" w:rsidP="00007C2F">
            <w:pPr>
              <w:ind w:right="92"/>
              <w:jc w:val="right"/>
            </w:pPr>
            <w:r w:rsidRPr="00007C2F">
              <w:t>(11,933)</w:t>
            </w:r>
          </w:p>
        </w:tc>
        <w:tc>
          <w:tcPr>
            <w:tcW w:w="1247" w:type="dxa"/>
            <w:tcBorders>
              <w:top w:val="single" w:sz="4" w:space="0" w:color="auto"/>
              <w:bottom w:val="single" w:sz="4" w:space="0" w:color="auto"/>
            </w:tcBorders>
            <w:vAlign w:val="bottom"/>
          </w:tcPr>
          <w:p w14:paraId="22B1CC9B" w14:textId="0A80C1D3" w:rsidR="00007C2F" w:rsidRPr="00007C2F" w:rsidRDefault="00007C2F" w:rsidP="00007C2F">
            <w:pPr>
              <w:ind w:right="149"/>
              <w:jc w:val="right"/>
            </w:pPr>
            <w:r w:rsidRPr="00007C2F">
              <w:t>1,504</w:t>
            </w:r>
          </w:p>
        </w:tc>
        <w:tc>
          <w:tcPr>
            <w:tcW w:w="1247" w:type="dxa"/>
            <w:tcBorders>
              <w:top w:val="single" w:sz="4" w:space="0" w:color="auto"/>
              <w:bottom w:val="single" w:sz="4" w:space="0" w:color="auto"/>
            </w:tcBorders>
            <w:vAlign w:val="bottom"/>
          </w:tcPr>
          <w:p w14:paraId="1A030EE2" w14:textId="59036CA5" w:rsidR="00007C2F" w:rsidRPr="00007C2F" w:rsidRDefault="00007C2F" w:rsidP="00007C2F">
            <w:pPr>
              <w:ind w:right="211"/>
              <w:jc w:val="right"/>
            </w:pPr>
            <w:r w:rsidRPr="00007C2F">
              <w:t>(3,650)</w:t>
            </w:r>
          </w:p>
        </w:tc>
        <w:tc>
          <w:tcPr>
            <w:tcW w:w="1247" w:type="dxa"/>
            <w:tcBorders>
              <w:top w:val="single" w:sz="4" w:space="0" w:color="auto"/>
              <w:bottom w:val="single" w:sz="4" w:space="0" w:color="auto"/>
            </w:tcBorders>
            <w:shd w:val="clear" w:color="auto" w:fill="C5E0B3" w:themeFill="accent6" w:themeFillTint="66"/>
            <w:vAlign w:val="center"/>
          </w:tcPr>
          <w:p w14:paraId="025EACE7" w14:textId="0B7EECC7" w:rsidR="00007C2F" w:rsidRPr="00007C2F" w:rsidRDefault="00007C2F" w:rsidP="00007C2F">
            <w:pPr>
              <w:ind w:right="92"/>
              <w:jc w:val="right"/>
            </w:pPr>
            <w:r w:rsidRPr="00007C2F">
              <w:t>(14,079)</w:t>
            </w:r>
          </w:p>
        </w:tc>
      </w:tr>
      <w:tr w:rsidR="00007C2F" w:rsidRPr="000127EF" w14:paraId="3C180E87" w14:textId="77777777" w:rsidTr="005C7C31">
        <w:trPr>
          <w:jc w:val="center"/>
        </w:trPr>
        <w:tc>
          <w:tcPr>
            <w:tcW w:w="3636" w:type="dxa"/>
            <w:tcBorders>
              <w:bottom w:val="single" w:sz="18" w:space="0" w:color="A8D08D" w:themeColor="accent6" w:themeTint="99"/>
            </w:tcBorders>
          </w:tcPr>
          <w:p w14:paraId="14D1C252" w14:textId="1F4E4B10" w:rsidR="00007C2F" w:rsidRPr="000127EF" w:rsidRDefault="00007C2F" w:rsidP="00007C2F"/>
        </w:tc>
        <w:tc>
          <w:tcPr>
            <w:tcW w:w="1247" w:type="dxa"/>
            <w:tcBorders>
              <w:top w:val="single" w:sz="4" w:space="0" w:color="auto"/>
              <w:bottom w:val="single" w:sz="18" w:space="0" w:color="A8D08D" w:themeColor="accent6" w:themeTint="99"/>
            </w:tcBorders>
            <w:vAlign w:val="bottom"/>
          </w:tcPr>
          <w:p w14:paraId="4E1876E1" w14:textId="19A26434" w:rsidR="00007C2F" w:rsidRPr="00007C2F" w:rsidRDefault="00007C2F" w:rsidP="00007C2F">
            <w:pPr>
              <w:ind w:right="92"/>
              <w:jc w:val="right"/>
            </w:pPr>
          </w:p>
        </w:tc>
        <w:tc>
          <w:tcPr>
            <w:tcW w:w="1247" w:type="dxa"/>
            <w:tcBorders>
              <w:top w:val="single" w:sz="4" w:space="0" w:color="auto"/>
              <w:bottom w:val="single" w:sz="18" w:space="0" w:color="A8D08D" w:themeColor="accent6" w:themeTint="99"/>
            </w:tcBorders>
            <w:vAlign w:val="bottom"/>
          </w:tcPr>
          <w:p w14:paraId="1B95820D" w14:textId="05EAEBFF" w:rsidR="00007C2F" w:rsidRPr="00007C2F" w:rsidRDefault="00007C2F" w:rsidP="00007C2F">
            <w:pPr>
              <w:ind w:right="149"/>
              <w:jc w:val="right"/>
            </w:pPr>
          </w:p>
        </w:tc>
        <w:tc>
          <w:tcPr>
            <w:tcW w:w="1247" w:type="dxa"/>
            <w:tcBorders>
              <w:top w:val="single" w:sz="4" w:space="0" w:color="auto"/>
              <w:bottom w:val="single" w:sz="18" w:space="0" w:color="A8D08D" w:themeColor="accent6" w:themeTint="99"/>
            </w:tcBorders>
            <w:vAlign w:val="bottom"/>
          </w:tcPr>
          <w:p w14:paraId="51AAE285" w14:textId="206C4598" w:rsidR="00007C2F" w:rsidRPr="00007C2F" w:rsidRDefault="00007C2F" w:rsidP="00007C2F">
            <w:pPr>
              <w:ind w:right="211"/>
              <w:jc w:val="right"/>
            </w:pPr>
          </w:p>
        </w:tc>
        <w:tc>
          <w:tcPr>
            <w:tcW w:w="1247" w:type="dxa"/>
            <w:tcBorders>
              <w:top w:val="single" w:sz="4" w:space="0" w:color="auto"/>
              <w:bottom w:val="single" w:sz="18" w:space="0" w:color="A8D08D" w:themeColor="accent6" w:themeTint="99"/>
            </w:tcBorders>
            <w:shd w:val="clear" w:color="auto" w:fill="C5E0B3" w:themeFill="accent6" w:themeFillTint="66"/>
            <w:vAlign w:val="bottom"/>
          </w:tcPr>
          <w:p w14:paraId="23C0F231" w14:textId="74B69548" w:rsidR="00007C2F" w:rsidRPr="00007C2F" w:rsidRDefault="00007C2F" w:rsidP="00007C2F">
            <w:pPr>
              <w:ind w:right="92"/>
              <w:jc w:val="right"/>
            </w:pPr>
          </w:p>
        </w:tc>
      </w:tr>
    </w:tbl>
    <w:p w14:paraId="30D13AB6" w14:textId="77777777" w:rsidR="00AE4FE6" w:rsidRPr="000127EF" w:rsidRDefault="00AE4FE6" w:rsidP="005A457F">
      <w:pPr>
        <w:pStyle w:val="Heading1"/>
        <w:numPr>
          <w:ilvl w:val="0"/>
          <w:numId w:val="8"/>
        </w:numPr>
        <w:ind w:left="426"/>
        <w:rPr>
          <w:sz w:val="22"/>
          <w:szCs w:val="22"/>
        </w:rPr>
      </w:pPr>
      <w:r w:rsidRPr="000127EF">
        <w:rPr>
          <w:sz w:val="22"/>
          <w:szCs w:val="22"/>
        </w:rPr>
        <w:t>Financial Instruments</w:t>
      </w:r>
    </w:p>
    <w:p w14:paraId="65C61302" w14:textId="77777777" w:rsidR="005A457F" w:rsidRPr="000127EF" w:rsidRDefault="005A457F" w:rsidP="005A457F">
      <w:pPr>
        <w:spacing w:after="120"/>
        <w:rPr>
          <w:b/>
          <w:szCs w:val="22"/>
        </w:rPr>
      </w:pPr>
      <w:r w:rsidRPr="000127EF">
        <w:rPr>
          <w:b/>
          <w:szCs w:val="22"/>
        </w:rPr>
        <w:t>Categories of Financial Instruments</w:t>
      </w:r>
    </w:p>
    <w:tbl>
      <w:tblPr>
        <w:tblW w:w="10800" w:type="dxa"/>
        <w:tblLook w:val="04A0" w:firstRow="1" w:lastRow="0" w:firstColumn="1" w:lastColumn="0" w:noHBand="0" w:noVBand="1"/>
      </w:tblPr>
      <w:tblGrid>
        <w:gridCol w:w="10800"/>
      </w:tblGrid>
      <w:tr w:rsidR="00941D66" w:rsidRPr="000127EF" w14:paraId="3820B4A0" w14:textId="77777777" w:rsidTr="00941D66">
        <w:trPr>
          <w:trHeight w:val="323"/>
        </w:trPr>
        <w:tc>
          <w:tcPr>
            <w:tcW w:w="10800" w:type="dxa"/>
            <w:vMerge w:val="restart"/>
            <w:tcBorders>
              <w:top w:val="nil"/>
              <w:left w:val="nil"/>
              <w:bottom w:val="nil"/>
              <w:right w:val="nil"/>
            </w:tcBorders>
            <w:shd w:val="clear" w:color="auto" w:fill="auto"/>
            <w:vAlign w:val="bottom"/>
            <w:hideMark/>
          </w:tcPr>
          <w:p w14:paraId="41DF8C93" w14:textId="436BAFD4" w:rsidR="00E5155D" w:rsidRPr="000127EF" w:rsidRDefault="00941D66" w:rsidP="00941D66">
            <w:pPr>
              <w:rPr>
                <w:rFonts w:cs="Arial"/>
                <w:szCs w:val="22"/>
                <w:lang w:eastAsia="en-GB"/>
              </w:rPr>
            </w:pPr>
            <w:r w:rsidRPr="000127EF">
              <w:rPr>
                <w:rFonts w:cs="Arial"/>
                <w:szCs w:val="22"/>
                <w:lang w:eastAsia="en-GB"/>
              </w:rPr>
              <w:t>Allowances for impairment losses have been calculated for amortised cost assets applying the expected credit loss model. Any material changes in loss allowances are debited/credited to the Financing and Investment Income and Expenditure line in the CIES. In 201</w:t>
            </w:r>
            <w:r w:rsidR="00656352">
              <w:rPr>
                <w:rFonts w:cs="Arial"/>
                <w:szCs w:val="22"/>
                <w:lang w:eastAsia="en-GB"/>
              </w:rPr>
              <w:t>9</w:t>
            </w:r>
            <w:r w:rsidRPr="000127EF">
              <w:rPr>
                <w:rFonts w:cs="Arial"/>
                <w:szCs w:val="22"/>
                <w:lang w:eastAsia="en-GB"/>
              </w:rPr>
              <w:t>/</w:t>
            </w:r>
            <w:r w:rsidR="00656352">
              <w:rPr>
                <w:rFonts w:cs="Arial"/>
                <w:szCs w:val="22"/>
                <w:lang w:eastAsia="en-GB"/>
              </w:rPr>
              <w:t>20</w:t>
            </w:r>
            <w:r w:rsidRPr="000127EF">
              <w:rPr>
                <w:rFonts w:cs="Arial"/>
                <w:szCs w:val="22"/>
                <w:lang w:eastAsia="en-GB"/>
              </w:rPr>
              <w:t xml:space="preserve"> the impairment losses are not considered material</w:t>
            </w:r>
            <w:r w:rsidR="00E5155D" w:rsidRPr="000127EF">
              <w:rPr>
                <w:rFonts w:cs="Arial"/>
                <w:szCs w:val="22"/>
                <w:lang w:eastAsia="en-GB"/>
              </w:rPr>
              <w:t>.</w:t>
            </w:r>
          </w:p>
        </w:tc>
      </w:tr>
      <w:tr w:rsidR="00941D66" w:rsidRPr="000127EF" w14:paraId="70E05720" w14:textId="77777777" w:rsidTr="00941D66">
        <w:trPr>
          <w:trHeight w:val="253"/>
        </w:trPr>
        <w:tc>
          <w:tcPr>
            <w:tcW w:w="10800" w:type="dxa"/>
            <w:vMerge/>
            <w:tcBorders>
              <w:top w:val="nil"/>
              <w:left w:val="nil"/>
              <w:bottom w:val="nil"/>
              <w:right w:val="nil"/>
            </w:tcBorders>
            <w:vAlign w:val="center"/>
            <w:hideMark/>
          </w:tcPr>
          <w:p w14:paraId="59BE3411" w14:textId="77777777" w:rsidR="00941D66" w:rsidRPr="000127EF" w:rsidRDefault="00941D66" w:rsidP="00941D66">
            <w:pPr>
              <w:rPr>
                <w:rFonts w:cs="Arial"/>
                <w:szCs w:val="22"/>
                <w:lang w:eastAsia="en-GB"/>
              </w:rPr>
            </w:pPr>
          </w:p>
        </w:tc>
      </w:tr>
      <w:tr w:rsidR="00941D66" w:rsidRPr="000127EF" w14:paraId="3BB200F5" w14:textId="77777777" w:rsidTr="00941D66">
        <w:trPr>
          <w:trHeight w:val="253"/>
        </w:trPr>
        <w:tc>
          <w:tcPr>
            <w:tcW w:w="10800" w:type="dxa"/>
            <w:vMerge/>
            <w:tcBorders>
              <w:top w:val="nil"/>
              <w:left w:val="nil"/>
              <w:bottom w:val="nil"/>
              <w:right w:val="nil"/>
            </w:tcBorders>
            <w:vAlign w:val="center"/>
            <w:hideMark/>
          </w:tcPr>
          <w:p w14:paraId="697B567E" w14:textId="77777777" w:rsidR="00941D66" w:rsidRPr="000127EF" w:rsidRDefault="00941D66" w:rsidP="00941D66">
            <w:pPr>
              <w:rPr>
                <w:rFonts w:cs="Arial"/>
                <w:szCs w:val="22"/>
                <w:lang w:eastAsia="en-GB"/>
              </w:rPr>
            </w:pPr>
          </w:p>
        </w:tc>
      </w:tr>
    </w:tbl>
    <w:tbl>
      <w:tblPr>
        <w:tblStyle w:val="TableGrid"/>
        <w:tblW w:w="10751"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500"/>
        <w:gridCol w:w="417"/>
        <w:gridCol w:w="777"/>
        <w:gridCol w:w="621"/>
        <w:gridCol w:w="882"/>
        <w:gridCol w:w="795"/>
        <w:gridCol w:w="1021"/>
        <w:gridCol w:w="508"/>
        <w:gridCol w:w="1330"/>
        <w:gridCol w:w="170"/>
        <w:gridCol w:w="130"/>
        <w:gridCol w:w="1067"/>
        <w:gridCol w:w="622"/>
        <w:gridCol w:w="198"/>
        <w:gridCol w:w="472"/>
        <w:gridCol w:w="234"/>
        <w:gridCol w:w="7"/>
      </w:tblGrid>
      <w:tr w:rsidR="007875AD" w:rsidRPr="000127EF" w14:paraId="02C66B97" w14:textId="77777777" w:rsidTr="008450A2">
        <w:trPr>
          <w:trHeight w:val="183"/>
          <w:jc w:val="center"/>
        </w:trPr>
        <w:tc>
          <w:tcPr>
            <w:tcW w:w="3315" w:type="dxa"/>
            <w:gridSpan w:val="4"/>
          </w:tcPr>
          <w:p w14:paraId="6AD2D214" w14:textId="2E7CEDDD" w:rsidR="007875AD" w:rsidRPr="000127EF" w:rsidRDefault="00015B74" w:rsidP="00E5155D">
            <w:pPr>
              <w:jc w:val="right"/>
              <w:rPr>
                <w:b/>
              </w:rPr>
            </w:pPr>
            <w:r>
              <w:rPr>
                <w:b/>
              </w:rPr>
              <w:t>2018/19</w:t>
            </w:r>
          </w:p>
        </w:tc>
        <w:tc>
          <w:tcPr>
            <w:tcW w:w="4836" w:type="dxa"/>
            <w:gridSpan w:val="7"/>
          </w:tcPr>
          <w:p w14:paraId="3A5A46AB" w14:textId="5D68E164" w:rsidR="007875AD" w:rsidRPr="00E51E22" w:rsidRDefault="007875AD" w:rsidP="007875AD">
            <w:pPr>
              <w:jc w:val="center"/>
              <w:rPr>
                <w:b/>
              </w:rPr>
            </w:pPr>
            <w:r w:rsidRPr="00E51E22">
              <w:rPr>
                <w:b/>
              </w:rPr>
              <w:t>Financial Instruments Balances</w:t>
            </w:r>
          </w:p>
        </w:tc>
        <w:tc>
          <w:tcPr>
            <w:tcW w:w="1689" w:type="dxa"/>
            <w:gridSpan w:val="2"/>
          </w:tcPr>
          <w:p w14:paraId="3455ED0E" w14:textId="59482574" w:rsidR="007875AD" w:rsidRPr="00E51E22" w:rsidRDefault="00015B74" w:rsidP="00E5155D">
            <w:pPr>
              <w:jc w:val="right"/>
              <w:rPr>
                <w:b/>
              </w:rPr>
            </w:pPr>
            <w:r w:rsidRPr="00E51E22">
              <w:rPr>
                <w:b/>
              </w:rPr>
              <w:t>2019/20</w:t>
            </w:r>
          </w:p>
        </w:tc>
        <w:tc>
          <w:tcPr>
            <w:tcW w:w="911" w:type="dxa"/>
            <w:gridSpan w:val="4"/>
          </w:tcPr>
          <w:p w14:paraId="5F74113E" w14:textId="77777777" w:rsidR="007875AD" w:rsidRPr="00E51E22" w:rsidRDefault="007875AD" w:rsidP="00AE5580">
            <w:pPr>
              <w:rPr>
                <w:b/>
              </w:rPr>
            </w:pPr>
          </w:p>
        </w:tc>
      </w:tr>
      <w:tr w:rsidR="00B842B3" w:rsidRPr="00E51E22" w14:paraId="5ADFE954" w14:textId="77777777" w:rsidTr="008450A2">
        <w:trPr>
          <w:gridAfter w:val="1"/>
          <w:wAfter w:w="7" w:type="dxa"/>
          <w:trHeight w:val="183"/>
          <w:jc w:val="center"/>
        </w:trPr>
        <w:tc>
          <w:tcPr>
            <w:tcW w:w="1500" w:type="dxa"/>
            <w:shd w:val="clear" w:color="auto" w:fill="auto"/>
            <w:vAlign w:val="center"/>
          </w:tcPr>
          <w:p w14:paraId="056BA06C" w14:textId="77777777" w:rsidR="00183D82" w:rsidRPr="000127EF" w:rsidRDefault="00183D82" w:rsidP="00B842B3">
            <w:pPr>
              <w:jc w:val="right"/>
              <w:rPr>
                <w:b/>
                <w:i/>
              </w:rPr>
            </w:pPr>
            <w:r w:rsidRPr="000127EF">
              <w:rPr>
                <w:b/>
                <w:i/>
              </w:rPr>
              <w:t xml:space="preserve">Non Current </w:t>
            </w:r>
          </w:p>
          <w:p w14:paraId="0CF60988" w14:textId="77777777" w:rsidR="00183D82" w:rsidRPr="000127EF" w:rsidRDefault="00183D82" w:rsidP="00B842B3">
            <w:pPr>
              <w:jc w:val="right"/>
              <w:rPr>
                <w:b/>
                <w:i/>
              </w:rPr>
            </w:pPr>
            <w:r w:rsidRPr="000127EF">
              <w:rPr>
                <w:b/>
                <w:i/>
              </w:rPr>
              <w:t>Borrowings</w:t>
            </w:r>
          </w:p>
        </w:tc>
        <w:tc>
          <w:tcPr>
            <w:tcW w:w="1194" w:type="dxa"/>
            <w:gridSpan w:val="2"/>
            <w:shd w:val="clear" w:color="auto" w:fill="auto"/>
            <w:vAlign w:val="center"/>
          </w:tcPr>
          <w:p w14:paraId="461F7CB3" w14:textId="77777777" w:rsidR="00183D82" w:rsidRPr="000127EF" w:rsidRDefault="00183D82" w:rsidP="00B842B3">
            <w:pPr>
              <w:jc w:val="right"/>
              <w:rPr>
                <w:b/>
                <w:i/>
              </w:rPr>
            </w:pPr>
            <w:r w:rsidRPr="000127EF">
              <w:rPr>
                <w:b/>
                <w:i/>
              </w:rPr>
              <w:t>Non Current</w:t>
            </w:r>
          </w:p>
          <w:p w14:paraId="55D86605" w14:textId="2FDC51DF" w:rsidR="00183D82" w:rsidRPr="000127EF" w:rsidRDefault="00183D82" w:rsidP="00B842B3">
            <w:pPr>
              <w:jc w:val="right"/>
              <w:rPr>
                <w:b/>
                <w:i/>
              </w:rPr>
            </w:pPr>
            <w:r w:rsidRPr="000127EF">
              <w:rPr>
                <w:b/>
                <w:i/>
              </w:rPr>
              <w:t>Creditors</w:t>
            </w:r>
          </w:p>
        </w:tc>
        <w:tc>
          <w:tcPr>
            <w:tcW w:w="1503" w:type="dxa"/>
            <w:gridSpan w:val="2"/>
            <w:shd w:val="clear" w:color="auto" w:fill="auto"/>
            <w:vAlign w:val="center"/>
          </w:tcPr>
          <w:p w14:paraId="2FC9226A" w14:textId="77777777" w:rsidR="00183D82" w:rsidRPr="00E51E22" w:rsidRDefault="00183D82" w:rsidP="00B842B3">
            <w:pPr>
              <w:jc w:val="right"/>
              <w:rPr>
                <w:b/>
                <w:i/>
              </w:rPr>
            </w:pPr>
            <w:r w:rsidRPr="00E51E22">
              <w:rPr>
                <w:b/>
                <w:i/>
              </w:rPr>
              <w:t>Current</w:t>
            </w:r>
          </w:p>
          <w:p w14:paraId="69CEAFD2" w14:textId="2CE39148" w:rsidR="00183D82" w:rsidRPr="00E51E22" w:rsidRDefault="00183D82" w:rsidP="00B842B3">
            <w:pPr>
              <w:jc w:val="right"/>
              <w:rPr>
                <w:b/>
                <w:i/>
              </w:rPr>
            </w:pPr>
            <w:r w:rsidRPr="00E51E22">
              <w:rPr>
                <w:b/>
                <w:i/>
              </w:rPr>
              <w:t>Borrowings</w:t>
            </w:r>
          </w:p>
        </w:tc>
        <w:tc>
          <w:tcPr>
            <w:tcW w:w="2324" w:type="dxa"/>
            <w:gridSpan w:val="3"/>
            <w:shd w:val="clear" w:color="auto" w:fill="auto"/>
          </w:tcPr>
          <w:p w14:paraId="4D304DDD" w14:textId="77777777" w:rsidR="00183D82" w:rsidRPr="00E51E22" w:rsidRDefault="00183D82" w:rsidP="00E5155D">
            <w:pPr>
              <w:jc w:val="center"/>
            </w:pPr>
          </w:p>
        </w:tc>
        <w:tc>
          <w:tcPr>
            <w:tcW w:w="1500" w:type="dxa"/>
            <w:gridSpan w:val="2"/>
            <w:shd w:val="clear" w:color="auto" w:fill="C5E0B3" w:themeFill="accent6" w:themeFillTint="66"/>
            <w:vAlign w:val="center"/>
          </w:tcPr>
          <w:p w14:paraId="2CD60822" w14:textId="15677C75" w:rsidR="00183D82" w:rsidRPr="00E51E22" w:rsidRDefault="00183D82" w:rsidP="00B842B3">
            <w:pPr>
              <w:jc w:val="right"/>
              <w:rPr>
                <w:b/>
              </w:rPr>
            </w:pPr>
            <w:r w:rsidRPr="00E51E22">
              <w:rPr>
                <w:b/>
              </w:rPr>
              <w:t xml:space="preserve">Non Current </w:t>
            </w:r>
          </w:p>
          <w:p w14:paraId="02FB7A14" w14:textId="2A02CEF4" w:rsidR="00183D82" w:rsidRPr="00E51E22" w:rsidRDefault="00183D82" w:rsidP="00B842B3">
            <w:pPr>
              <w:jc w:val="right"/>
              <w:rPr>
                <w:b/>
              </w:rPr>
            </w:pPr>
            <w:r w:rsidRPr="00E51E22">
              <w:rPr>
                <w:b/>
              </w:rPr>
              <w:t>Borrowings</w:t>
            </w:r>
          </w:p>
        </w:tc>
        <w:tc>
          <w:tcPr>
            <w:tcW w:w="1197" w:type="dxa"/>
            <w:gridSpan w:val="2"/>
            <w:shd w:val="clear" w:color="auto" w:fill="C5E0B3" w:themeFill="accent6" w:themeFillTint="66"/>
            <w:vAlign w:val="center"/>
          </w:tcPr>
          <w:p w14:paraId="0F74FEC0" w14:textId="77777777" w:rsidR="00183D82" w:rsidRPr="00E51E22" w:rsidRDefault="00183D82" w:rsidP="00B842B3">
            <w:pPr>
              <w:jc w:val="right"/>
              <w:rPr>
                <w:b/>
              </w:rPr>
            </w:pPr>
            <w:r w:rsidRPr="00E51E22">
              <w:rPr>
                <w:b/>
              </w:rPr>
              <w:t>Non Current</w:t>
            </w:r>
          </w:p>
          <w:p w14:paraId="04870858" w14:textId="165DC825" w:rsidR="00183D82" w:rsidRPr="00E51E22" w:rsidRDefault="00183D82" w:rsidP="00B842B3">
            <w:pPr>
              <w:jc w:val="right"/>
              <w:rPr>
                <w:b/>
              </w:rPr>
            </w:pPr>
            <w:r w:rsidRPr="00E51E22">
              <w:rPr>
                <w:b/>
              </w:rPr>
              <w:t>Creditors</w:t>
            </w:r>
          </w:p>
        </w:tc>
        <w:tc>
          <w:tcPr>
            <w:tcW w:w="1526" w:type="dxa"/>
            <w:gridSpan w:val="4"/>
            <w:shd w:val="clear" w:color="auto" w:fill="C5E0B3" w:themeFill="accent6" w:themeFillTint="66"/>
            <w:vAlign w:val="center"/>
          </w:tcPr>
          <w:p w14:paraId="26D3F65B" w14:textId="77777777" w:rsidR="00183D82" w:rsidRPr="00E51E22" w:rsidRDefault="00183D82" w:rsidP="00B842B3">
            <w:pPr>
              <w:jc w:val="right"/>
              <w:rPr>
                <w:b/>
              </w:rPr>
            </w:pPr>
            <w:r w:rsidRPr="00E51E22">
              <w:rPr>
                <w:b/>
              </w:rPr>
              <w:t>Current</w:t>
            </w:r>
          </w:p>
          <w:p w14:paraId="4B57B87D" w14:textId="2C9EBC67" w:rsidR="00183D82" w:rsidRPr="00E51E22" w:rsidRDefault="00183D82" w:rsidP="00B842B3">
            <w:pPr>
              <w:jc w:val="right"/>
              <w:rPr>
                <w:b/>
              </w:rPr>
            </w:pPr>
            <w:r w:rsidRPr="00E51E22">
              <w:rPr>
                <w:b/>
              </w:rPr>
              <w:t>Borrowings</w:t>
            </w:r>
          </w:p>
        </w:tc>
      </w:tr>
      <w:tr w:rsidR="00B842B3" w:rsidRPr="00E51E22" w14:paraId="0946B528" w14:textId="77777777" w:rsidTr="008450A2">
        <w:trPr>
          <w:gridAfter w:val="1"/>
          <w:wAfter w:w="7" w:type="dxa"/>
          <w:trHeight w:val="85"/>
          <w:jc w:val="center"/>
        </w:trPr>
        <w:tc>
          <w:tcPr>
            <w:tcW w:w="1500" w:type="dxa"/>
            <w:shd w:val="clear" w:color="auto" w:fill="auto"/>
          </w:tcPr>
          <w:p w14:paraId="5B071CD9" w14:textId="0E5451D7" w:rsidR="00183D82" w:rsidRPr="000127EF" w:rsidRDefault="00183D82" w:rsidP="00E5155D">
            <w:pPr>
              <w:jc w:val="right"/>
              <w:rPr>
                <w:b/>
                <w:i/>
              </w:rPr>
            </w:pPr>
            <w:r w:rsidRPr="000127EF">
              <w:rPr>
                <w:b/>
                <w:i/>
              </w:rPr>
              <w:t>£000</w:t>
            </w:r>
          </w:p>
        </w:tc>
        <w:tc>
          <w:tcPr>
            <w:tcW w:w="1194" w:type="dxa"/>
            <w:gridSpan w:val="2"/>
            <w:shd w:val="clear" w:color="auto" w:fill="auto"/>
          </w:tcPr>
          <w:p w14:paraId="3AEA88CC" w14:textId="53D46744" w:rsidR="00183D82" w:rsidRPr="000127EF" w:rsidRDefault="00183D82" w:rsidP="00E5155D">
            <w:pPr>
              <w:jc w:val="right"/>
              <w:rPr>
                <w:b/>
                <w:i/>
              </w:rPr>
            </w:pPr>
            <w:r w:rsidRPr="000127EF">
              <w:rPr>
                <w:b/>
                <w:i/>
              </w:rPr>
              <w:t>£000</w:t>
            </w:r>
          </w:p>
        </w:tc>
        <w:tc>
          <w:tcPr>
            <w:tcW w:w="1503" w:type="dxa"/>
            <w:gridSpan w:val="2"/>
            <w:shd w:val="clear" w:color="auto" w:fill="auto"/>
          </w:tcPr>
          <w:p w14:paraId="528EDD63" w14:textId="77777777" w:rsidR="00183D82" w:rsidRPr="00E51E22" w:rsidRDefault="00183D82" w:rsidP="00E5155D">
            <w:pPr>
              <w:jc w:val="right"/>
              <w:rPr>
                <w:b/>
                <w:i/>
              </w:rPr>
            </w:pPr>
            <w:r w:rsidRPr="00E51E22">
              <w:rPr>
                <w:b/>
                <w:i/>
              </w:rPr>
              <w:t>£000</w:t>
            </w:r>
          </w:p>
        </w:tc>
        <w:tc>
          <w:tcPr>
            <w:tcW w:w="2324" w:type="dxa"/>
            <w:gridSpan w:val="3"/>
            <w:shd w:val="clear" w:color="auto" w:fill="auto"/>
          </w:tcPr>
          <w:p w14:paraId="42687BE4" w14:textId="4A6C439C" w:rsidR="00183D82" w:rsidRPr="00E51E22" w:rsidRDefault="00183D82" w:rsidP="00E5155D">
            <w:pPr>
              <w:rPr>
                <w:rFonts w:cs="Arial"/>
                <w:szCs w:val="22"/>
                <w:u w:val="single"/>
                <w:lang w:eastAsia="en-GB"/>
              </w:rPr>
            </w:pPr>
            <w:r w:rsidRPr="00E51E22">
              <w:rPr>
                <w:rFonts w:cs="Arial"/>
                <w:szCs w:val="22"/>
                <w:u w:val="single"/>
              </w:rPr>
              <w:t>Financial liabilities</w:t>
            </w:r>
          </w:p>
        </w:tc>
        <w:tc>
          <w:tcPr>
            <w:tcW w:w="1500" w:type="dxa"/>
            <w:gridSpan w:val="2"/>
            <w:shd w:val="clear" w:color="auto" w:fill="C5E0B3" w:themeFill="accent6" w:themeFillTint="66"/>
          </w:tcPr>
          <w:p w14:paraId="3D65B0E5" w14:textId="430E2601" w:rsidR="00183D82" w:rsidRPr="00E51E22" w:rsidRDefault="00183D82" w:rsidP="00E5155D">
            <w:pPr>
              <w:jc w:val="right"/>
              <w:rPr>
                <w:b/>
              </w:rPr>
            </w:pPr>
            <w:r w:rsidRPr="00E51E22">
              <w:rPr>
                <w:b/>
              </w:rPr>
              <w:t>£000</w:t>
            </w:r>
          </w:p>
        </w:tc>
        <w:tc>
          <w:tcPr>
            <w:tcW w:w="1197" w:type="dxa"/>
            <w:gridSpan w:val="2"/>
            <w:shd w:val="clear" w:color="auto" w:fill="C5E0B3" w:themeFill="accent6" w:themeFillTint="66"/>
          </w:tcPr>
          <w:p w14:paraId="01401D95" w14:textId="4C0094B4" w:rsidR="00183D82" w:rsidRPr="00E51E22" w:rsidRDefault="00183D82" w:rsidP="00E5155D">
            <w:pPr>
              <w:jc w:val="right"/>
              <w:rPr>
                <w:b/>
              </w:rPr>
            </w:pPr>
            <w:r w:rsidRPr="00E51E22">
              <w:rPr>
                <w:b/>
              </w:rPr>
              <w:t>£000</w:t>
            </w:r>
          </w:p>
        </w:tc>
        <w:tc>
          <w:tcPr>
            <w:tcW w:w="1526" w:type="dxa"/>
            <w:gridSpan w:val="4"/>
            <w:shd w:val="clear" w:color="auto" w:fill="C5E0B3" w:themeFill="accent6" w:themeFillTint="66"/>
          </w:tcPr>
          <w:p w14:paraId="13BB8F2F" w14:textId="4D55A491" w:rsidR="00183D82" w:rsidRPr="00E51E22" w:rsidRDefault="00183D82" w:rsidP="00E5155D">
            <w:pPr>
              <w:jc w:val="right"/>
              <w:rPr>
                <w:b/>
              </w:rPr>
            </w:pPr>
            <w:r w:rsidRPr="00E51E22">
              <w:rPr>
                <w:b/>
              </w:rPr>
              <w:t>£000</w:t>
            </w:r>
          </w:p>
        </w:tc>
      </w:tr>
      <w:tr w:rsidR="00EC2194" w:rsidRPr="00E51E22" w14:paraId="79235705" w14:textId="77777777" w:rsidTr="008450A2">
        <w:trPr>
          <w:gridAfter w:val="1"/>
          <w:wAfter w:w="7" w:type="dxa"/>
          <w:trHeight w:hRule="exact" w:val="57"/>
          <w:jc w:val="center"/>
        </w:trPr>
        <w:tc>
          <w:tcPr>
            <w:tcW w:w="1500" w:type="dxa"/>
            <w:shd w:val="clear" w:color="auto" w:fill="auto"/>
          </w:tcPr>
          <w:p w14:paraId="362C6B84" w14:textId="77777777" w:rsidR="00EC2194" w:rsidRPr="000127EF" w:rsidRDefault="00EC2194" w:rsidP="00E5155D">
            <w:pPr>
              <w:jc w:val="right"/>
              <w:rPr>
                <w:i/>
              </w:rPr>
            </w:pPr>
          </w:p>
        </w:tc>
        <w:tc>
          <w:tcPr>
            <w:tcW w:w="1194" w:type="dxa"/>
            <w:gridSpan w:val="2"/>
            <w:shd w:val="clear" w:color="auto" w:fill="auto"/>
          </w:tcPr>
          <w:p w14:paraId="61257E3E" w14:textId="77777777" w:rsidR="00EC2194" w:rsidRPr="000127EF" w:rsidRDefault="00EC2194" w:rsidP="00E5155D">
            <w:pPr>
              <w:jc w:val="right"/>
              <w:rPr>
                <w:i/>
              </w:rPr>
            </w:pPr>
          </w:p>
        </w:tc>
        <w:tc>
          <w:tcPr>
            <w:tcW w:w="1503" w:type="dxa"/>
            <w:gridSpan w:val="2"/>
            <w:shd w:val="clear" w:color="auto" w:fill="auto"/>
          </w:tcPr>
          <w:p w14:paraId="766901D0" w14:textId="77777777" w:rsidR="00EC2194" w:rsidRPr="00E51E22" w:rsidRDefault="00EC2194" w:rsidP="00E5155D">
            <w:pPr>
              <w:jc w:val="right"/>
              <w:rPr>
                <w:i/>
              </w:rPr>
            </w:pPr>
          </w:p>
        </w:tc>
        <w:tc>
          <w:tcPr>
            <w:tcW w:w="2324" w:type="dxa"/>
            <w:gridSpan w:val="3"/>
            <w:shd w:val="clear" w:color="auto" w:fill="auto"/>
          </w:tcPr>
          <w:p w14:paraId="35777AFB" w14:textId="77777777" w:rsidR="00EC2194" w:rsidRPr="00E51E22" w:rsidRDefault="00EC2194" w:rsidP="00E5155D">
            <w:pPr>
              <w:rPr>
                <w:rFonts w:cs="Arial"/>
                <w:szCs w:val="22"/>
                <w:u w:val="single"/>
              </w:rPr>
            </w:pPr>
          </w:p>
        </w:tc>
        <w:tc>
          <w:tcPr>
            <w:tcW w:w="1500" w:type="dxa"/>
            <w:gridSpan w:val="2"/>
            <w:shd w:val="clear" w:color="auto" w:fill="C5E0B3" w:themeFill="accent6" w:themeFillTint="66"/>
          </w:tcPr>
          <w:p w14:paraId="43B5B0BF" w14:textId="77777777" w:rsidR="00EC2194" w:rsidRPr="00E51E22" w:rsidRDefault="00EC2194" w:rsidP="00E5155D">
            <w:pPr>
              <w:jc w:val="right"/>
            </w:pPr>
          </w:p>
        </w:tc>
        <w:tc>
          <w:tcPr>
            <w:tcW w:w="1197" w:type="dxa"/>
            <w:gridSpan w:val="2"/>
            <w:shd w:val="clear" w:color="auto" w:fill="C5E0B3" w:themeFill="accent6" w:themeFillTint="66"/>
          </w:tcPr>
          <w:p w14:paraId="2C4A66C1" w14:textId="77777777" w:rsidR="00EC2194" w:rsidRPr="00E51E22" w:rsidRDefault="00EC2194" w:rsidP="00E5155D">
            <w:pPr>
              <w:jc w:val="right"/>
            </w:pPr>
          </w:p>
        </w:tc>
        <w:tc>
          <w:tcPr>
            <w:tcW w:w="1526" w:type="dxa"/>
            <w:gridSpan w:val="4"/>
            <w:shd w:val="clear" w:color="auto" w:fill="C5E0B3" w:themeFill="accent6" w:themeFillTint="66"/>
          </w:tcPr>
          <w:p w14:paraId="3D54CC03" w14:textId="77777777" w:rsidR="00EC2194" w:rsidRPr="00E51E22" w:rsidRDefault="00EC2194" w:rsidP="00E5155D">
            <w:pPr>
              <w:jc w:val="right"/>
            </w:pPr>
          </w:p>
        </w:tc>
      </w:tr>
      <w:tr w:rsidR="00015B74" w:rsidRPr="00E51E22" w14:paraId="5AC7AB0F" w14:textId="77777777" w:rsidTr="008450A2">
        <w:trPr>
          <w:gridAfter w:val="1"/>
          <w:wAfter w:w="7" w:type="dxa"/>
          <w:trHeight w:val="90"/>
          <w:jc w:val="center"/>
        </w:trPr>
        <w:tc>
          <w:tcPr>
            <w:tcW w:w="1500" w:type="dxa"/>
            <w:tcBorders>
              <w:bottom w:val="single" w:sz="4" w:space="0" w:color="auto"/>
            </w:tcBorders>
            <w:shd w:val="clear" w:color="auto" w:fill="auto"/>
          </w:tcPr>
          <w:p w14:paraId="453CE977" w14:textId="7F48BC67" w:rsidR="00015B74" w:rsidRPr="00015B74" w:rsidRDefault="00015B74" w:rsidP="00D2580B">
            <w:pPr>
              <w:jc w:val="right"/>
              <w:rPr>
                <w:i/>
              </w:rPr>
            </w:pPr>
            <w:r w:rsidRPr="00015B74">
              <w:rPr>
                <w:i/>
              </w:rPr>
              <w:t>(22,</w:t>
            </w:r>
            <w:r w:rsidR="00D2580B">
              <w:rPr>
                <w:i/>
              </w:rPr>
              <w:t>437</w:t>
            </w:r>
            <w:r w:rsidRPr="00015B74">
              <w:rPr>
                <w:i/>
              </w:rPr>
              <w:t>)</w:t>
            </w:r>
          </w:p>
        </w:tc>
        <w:tc>
          <w:tcPr>
            <w:tcW w:w="1194" w:type="dxa"/>
            <w:gridSpan w:val="2"/>
            <w:tcBorders>
              <w:bottom w:val="single" w:sz="4" w:space="0" w:color="auto"/>
            </w:tcBorders>
            <w:shd w:val="clear" w:color="auto" w:fill="auto"/>
          </w:tcPr>
          <w:p w14:paraId="4CD54934" w14:textId="747AE277" w:rsidR="00015B74" w:rsidRPr="00015B74" w:rsidRDefault="00015B74" w:rsidP="00015B74">
            <w:pPr>
              <w:jc w:val="right"/>
              <w:rPr>
                <w:i/>
              </w:rPr>
            </w:pPr>
            <w:r w:rsidRPr="00015B74">
              <w:rPr>
                <w:i/>
              </w:rPr>
              <w:t>-</w:t>
            </w:r>
          </w:p>
        </w:tc>
        <w:tc>
          <w:tcPr>
            <w:tcW w:w="1503" w:type="dxa"/>
            <w:gridSpan w:val="2"/>
            <w:tcBorders>
              <w:bottom w:val="single" w:sz="4" w:space="0" w:color="auto"/>
            </w:tcBorders>
            <w:shd w:val="clear" w:color="auto" w:fill="auto"/>
          </w:tcPr>
          <w:p w14:paraId="2D663AF7" w14:textId="5563BA23" w:rsidR="00015B74" w:rsidRPr="00E51E22" w:rsidRDefault="00015B74" w:rsidP="00015B74">
            <w:pPr>
              <w:jc w:val="right"/>
              <w:rPr>
                <w:i/>
              </w:rPr>
            </w:pPr>
            <w:r w:rsidRPr="00E51E22">
              <w:rPr>
                <w:i/>
              </w:rPr>
              <w:t>(6,738)</w:t>
            </w:r>
          </w:p>
        </w:tc>
        <w:tc>
          <w:tcPr>
            <w:tcW w:w="2324" w:type="dxa"/>
            <w:gridSpan w:val="3"/>
            <w:tcBorders>
              <w:bottom w:val="nil"/>
            </w:tcBorders>
            <w:shd w:val="clear" w:color="auto" w:fill="auto"/>
          </w:tcPr>
          <w:p w14:paraId="44A2828D" w14:textId="5B75E456" w:rsidR="00015B74" w:rsidRPr="00E51E22" w:rsidRDefault="00015B74" w:rsidP="00015B74">
            <w:pPr>
              <w:rPr>
                <w:rFonts w:cs="Arial"/>
                <w:szCs w:val="22"/>
                <w:lang w:val="en-US"/>
              </w:rPr>
            </w:pPr>
            <w:r w:rsidRPr="00E51E22">
              <w:rPr>
                <w:rFonts w:cs="Arial"/>
                <w:szCs w:val="22"/>
              </w:rPr>
              <w:t>Amortised</w:t>
            </w:r>
            <w:r w:rsidRPr="00E51E22">
              <w:rPr>
                <w:rFonts w:cs="Arial"/>
                <w:szCs w:val="22"/>
                <w:lang w:val="en-US"/>
              </w:rPr>
              <w:t xml:space="preserve"> cost</w:t>
            </w:r>
          </w:p>
        </w:tc>
        <w:tc>
          <w:tcPr>
            <w:tcW w:w="1500" w:type="dxa"/>
            <w:gridSpan w:val="2"/>
            <w:tcBorders>
              <w:bottom w:val="single" w:sz="4" w:space="0" w:color="auto"/>
            </w:tcBorders>
            <w:shd w:val="clear" w:color="auto" w:fill="C5E0B3" w:themeFill="accent6" w:themeFillTint="66"/>
          </w:tcPr>
          <w:p w14:paraId="297732E4" w14:textId="27B3D145" w:rsidR="00015B74" w:rsidRPr="00E51E22" w:rsidRDefault="00E51E22" w:rsidP="00015B74">
            <w:pPr>
              <w:jc w:val="right"/>
            </w:pPr>
            <w:r w:rsidRPr="00E51E22">
              <w:t>(22,369)</w:t>
            </w:r>
          </w:p>
        </w:tc>
        <w:tc>
          <w:tcPr>
            <w:tcW w:w="1197" w:type="dxa"/>
            <w:gridSpan w:val="2"/>
            <w:tcBorders>
              <w:bottom w:val="single" w:sz="4" w:space="0" w:color="auto"/>
            </w:tcBorders>
            <w:shd w:val="clear" w:color="auto" w:fill="C5E0B3" w:themeFill="accent6" w:themeFillTint="66"/>
          </w:tcPr>
          <w:p w14:paraId="5CE81C3C" w14:textId="7A91054A" w:rsidR="00015B74" w:rsidRPr="00E51E22" w:rsidRDefault="00015B74" w:rsidP="00015B74">
            <w:pPr>
              <w:jc w:val="right"/>
            </w:pPr>
          </w:p>
        </w:tc>
        <w:tc>
          <w:tcPr>
            <w:tcW w:w="1526" w:type="dxa"/>
            <w:gridSpan w:val="4"/>
            <w:tcBorders>
              <w:bottom w:val="single" w:sz="4" w:space="0" w:color="auto"/>
            </w:tcBorders>
            <w:shd w:val="clear" w:color="auto" w:fill="C5E0B3" w:themeFill="accent6" w:themeFillTint="66"/>
          </w:tcPr>
          <w:p w14:paraId="4F90079B" w14:textId="5C039262" w:rsidR="00015B74" w:rsidRPr="00E51E22" w:rsidRDefault="00E51E22" w:rsidP="00015B74">
            <w:pPr>
              <w:jc w:val="right"/>
            </w:pPr>
            <w:r w:rsidRPr="00E51E22">
              <w:t>(6,942)</w:t>
            </w:r>
          </w:p>
        </w:tc>
      </w:tr>
      <w:tr w:rsidR="00015B74" w:rsidRPr="00E51E22" w14:paraId="11EC5D43" w14:textId="77777777" w:rsidTr="00C822D1">
        <w:trPr>
          <w:gridAfter w:val="1"/>
          <w:wAfter w:w="7" w:type="dxa"/>
          <w:trHeight w:val="243"/>
          <w:jc w:val="center"/>
        </w:trPr>
        <w:tc>
          <w:tcPr>
            <w:tcW w:w="1500" w:type="dxa"/>
            <w:tcBorders>
              <w:top w:val="single" w:sz="4" w:space="0" w:color="auto"/>
              <w:bottom w:val="single" w:sz="4" w:space="0" w:color="auto"/>
            </w:tcBorders>
            <w:shd w:val="clear" w:color="auto" w:fill="auto"/>
            <w:vAlign w:val="center"/>
          </w:tcPr>
          <w:p w14:paraId="38FA4088" w14:textId="05D67438" w:rsidR="00015B74" w:rsidRPr="00015B74" w:rsidRDefault="00015B74" w:rsidP="00D2580B">
            <w:pPr>
              <w:jc w:val="right"/>
              <w:rPr>
                <w:b/>
                <w:i/>
              </w:rPr>
            </w:pPr>
            <w:r w:rsidRPr="00015B74">
              <w:rPr>
                <w:b/>
                <w:i/>
              </w:rPr>
              <w:fldChar w:fldCharType="begin"/>
            </w:r>
            <w:r w:rsidRPr="00015B74">
              <w:rPr>
                <w:b/>
                <w:i/>
              </w:rPr>
              <w:instrText xml:space="preserve"> =SUM(f4:f4) </w:instrText>
            </w:r>
            <w:r w:rsidRPr="00015B74">
              <w:rPr>
                <w:b/>
                <w:i/>
              </w:rPr>
              <w:fldChar w:fldCharType="separate"/>
            </w:r>
            <w:r w:rsidRPr="00015B74">
              <w:rPr>
                <w:b/>
                <w:i/>
                <w:noProof/>
              </w:rPr>
              <w:t>(22,</w:t>
            </w:r>
            <w:r w:rsidR="00D2580B">
              <w:rPr>
                <w:b/>
                <w:i/>
                <w:noProof/>
              </w:rPr>
              <w:t>437</w:t>
            </w:r>
            <w:r w:rsidRPr="00015B74">
              <w:rPr>
                <w:b/>
                <w:i/>
                <w:noProof/>
              </w:rPr>
              <w:t>)</w:t>
            </w:r>
            <w:r w:rsidRPr="00015B74">
              <w:rPr>
                <w:b/>
                <w:i/>
              </w:rPr>
              <w:fldChar w:fldCharType="end"/>
            </w:r>
          </w:p>
        </w:tc>
        <w:tc>
          <w:tcPr>
            <w:tcW w:w="1194" w:type="dxa"/>
            <w:gridSpan w:val="2"/>
            <w:tcBorders>
              <w:top w:val="single" w:sz="4" w:space="0" w:color="auto"/>
              <w:bottom w:val="single" w:sz="4" w:space="0" w:color="auto"/>
            </w:tcBorders>
            <w:shd w:val="clear" w:color="auto" w:fill="auto"/>
            <w:vAlign w:val="center"/>
          </w:tcPr>
          <w:p w14:paraId="738A7253" w14:textId="4E4CFCA6" w:rsidR="00015B74" w:rsidRPr="00015B74" w:rsidRDefault="00015B74" w:rsidP="00015B74">
            <w:pPr>
              <w:jc w:val="right"/>
              <w:rPr>
                <w:b/>
                <w:i/>
              </w:rPr>
            </w:pPr>
            <w:r w:rsidRPr="00015B74">
              <w:rPr>
                <w:b/>
                <w:i/>
              </w:rPr>
              <w:t>-</w:t>
            </w:r>
          </w:p>
        </w:tc>
        <w:tc>
          <w:tcPr>
            <w:tcW w:w="1503" w:type="dxa"/>
            <w:gridSpan w:val="2"/>
            <w:tcBorders>
              <w:top w:val="single" w:sz="4" w:space="0" w:color="auto"/>
              <w:bottom w:val="single" w:sz="4" w:space="0" w:color="auto"/>
            </w:tcBorders>
            <w:shd w:val="clear" w:color="auto" w:fill="auto"/>
            <w:vAlign w:val="center"/>
          </w:tcPr>
          <w:p w14:paraId="2150E0F3" w14:textId="684DAF2D" w:rsidR="00015B74" w:rsidRPr="00E51E22" w:rsidRDefault="00015B74" w:rsidP="00015B74">
            <w:pPr>
              <w:jc w:val="right"/>
              <w:rPr>
                <w:b/>
                <w:i/>
              </w:rPr>
            </w:pPr>
            <w:r w:rsidRPr="00E51E22">
              <w:rPr>
                <w:b/>
                <w:i/>
              </w:rPr>
              <w:fldChar w:fldCharType="begin"/>
            </w:r>
            <w:r w:rsidRPr="00E51E22">
              <w:rPr>
                <w:b/>
                <w:i/>
              </w:rPr>
              <w:instrText xml:space="preserve"> =SUM(h4:h4) </w:instrText>
            </w:r>
            <w:r w:rsidRPr="00E51E22">
              <w:rPr>
                <w:b/>
                <w:i/>
              </w:rPr>
              <w:fldChar w:fldCharType="separate"/>
            </w:r>
            <w:r w:rsidRPr="00E51E22">
              <w:rPr>
                <w:b/>
                <w:i/>
                <w:noProof/>
              </w:rPr>
              <w:t>(6,738)</w:t>
            </w:r>
            <w:r w:rsidRPr="00E51E22">
              <w:rPr>
                <w:b/>
                <w:i/>
              </w:rPr>
              <w:fldChar w:fldCharType="end"/>
            </w:r>
          </w:p>
        </w:tc>
        <w:tc>
          <w:tcPr>
            <w:tcW w:w="2324" w:type="dxa"/>
            <w:gridSpan w:val="3"/>
            <w:tcBorders>
              <w:bottom w:val="nil"/>
            </w:tcBorders>
            <w:shd w:val="clear" w:color="auto" w:fill="auto"/>
            <w:vAlign w:val="center"/>
          </w:tcPr>
          <w:p w14:paraId="48A17392" w14:textId="074DF6FC" w:rsidR="00015B74" w:rsidRPr="00E51E22" w:rsidRDefault="00015B74" w:rsidP="00015B74">
            <w:pPr>
              <w:rPr>
                <w:rFonts w:cs="Arial"/>
                <w:b/>
                <w:szCs w:val="22"/>
                <w:lang w:val="en-US"/>
              </w:rPr>
            </w:pPr>
            <w:r w:rsidRPr="00E51E22">
              <w:rPr>
                <w:rFonts w:cs="Arial"/>
                <w:b/>
                <w:szCs w:val="22"/>
                <w:lang w:val="en-US"/>
              </w:rPr>
              <w:t>Total Financial Liabilities</w:t>
            </w:r>
          </w:p>
        </w:tc>
        <w:tc>
          <w:tcPr>
            <w:tcW w:w="1500" w:type="dxa"/>
            <w:gridSpan w:val="2"/>
            <w:tcBorders>
              <w:top w:val="single" w:sz="4" w:space="0" w:color="auto"/>
              <w:bottom w:val="single" w:sz="4" w:space="0" w:color="auto"/>
            </w:tcBorders>
            <w:shd w:val="clear" w:color="auto" w:fill="C5E0B3" w:themeFill="accent6" w:themeFillTint="66"/>
            <w:vAlign w:val="center"/>
          </w:tcPr>
          <w:p w14:paraId="74DB931C" w14:textId="3A044E45" w:rsidR="00015B74" w:rsidRPr="00E51E22" w:rsidRDefault="00E51E22" w:rsidP="00015B74">
            <w:pPr>
              <w:jc w:val="right"/>
              <w:rPr>
                <w:b/>
              </w:rPr>
            </w:pPr>
            <w:r w:rsidRPr="00E51E22">
              <w:rPr>
                <w:b/>
              </w:rPr>
              <w:t>(22,369)</w:t>
            </w:r>
          </w:p>
        </w:tc>
        <w:tc>
          <w:tcPr>
            <w:tcW w:w="1197" w:type="dxa"/>
            <w:gridSpan w:val="2"/>
            <w:tcBorders>
              <w:top w:val="single" w:sz="4" w:space="0" w:color="auto"/>
              <w:bottom w:val="single" w:sz="4" w:space="0" w:color="auto"/>
            </w:tcBorders>
            <w:shd w:val="clear" w:color="auto" w:fill="C5E0B3" w:themeFill="accent6" w:themeFillTint="66"/>
            <w:vAlign w:val="center"/>
          </w:tcPr>
          <w:p w14:paraId="26A788AB" w14:textId="3AC7D30E" w:rsidR="00015B74" w:rsidRPr="00E51E22" w:rsidRDefault="00015B74" w:rsidP="00015B74">
            <w:pPr>
              <w:jc w:val="right"/>
              <w:rPr>
                <w:b/>
              </w:rPr>
            </w:pPr>
          </w:p>
        </w:tc>
        <w:tc>
          <w:tcPr>
            <w:tcW w:w="1526" w:type="dxa"/>
            <w:gridSpan w:val="4"/>
            <w:tcBorders>
              <w:top w:val="single" w:sz="4" w:space="0" w:color="auto"/>
              <w:bottom w:val="single" w:sz="4" w:space="0" w:color="auto"/>
            </w:tcBorders>
            <w:shd w:val="clear" w:color="auto" w:fill="C5E0B3" w:themeFill="accent6" w:themeFillTint="66"/>
            <w:vAlign w:val="center"/>
          </w:tcPr>
          <w:p w14:paraId="0432C664" w14:textId="25142BF2" w:rsidR="00015B74" w:rsidRPr="00E51E22" w:rsidRDefault="00E51E22" w:rsidP="00015B74">
            <w:pPr>
              <w:jc w:val="right"/>
              <w:rPr>
                <w:b/>
              </w:rPr>
            </w:pPr>
            <w:r w:rsidRPr="00E51E22">
              <w:rPr>
                <w:b/>
              </w:rPr>
              <w:t>(6,942)</w:t>
            </w:r>
          </w:p>
        </w:tc>
      </w:tr>
      <w:tr w:rsidR="00B842B3" w:rsidRPr="00E51E22" w14:paraId="1D59F9DE" w14:textId="77777777" w:rsidTr="008450A2">
        <w:trPr>
          <w:gridAfter w:val="1"/>
          <w:wAfter w:w="7" w:type="dxa"/>
          <w:trHeight w:val="127"/>
          <w:jc w:val="center"/>
        </w:trPr>
        <w:tc>
          <w:tcPr>
            <w:tcW w:w="1500" w:type="dxa"/>
            <w:tcBorders>
              <w:bottom w:val="nil"/>
            </w:tcBorders>
            <w:shd w:val="clear" w:color="auto" w:fill="auto"/>
            <w:vAlign w:val="center"/>
          </w:tcPr>
          <w:p w14:paraId="7FE2615A" w14:textId="0EC9E305" w:rsidR="00183D82" w:rsidRPr="000127EF" w:rsidRDefault="00183D82" w:rsidP="00B842B3">
            <w:pPr>
              <w:jc w:val="right"/>
              <w:rPr>
                <w:b/>
                <w:i/>
              </w:rPr>
            </w:pPr>
            <w:r w:rsidRPr="000127EF">
              <w:rPr>
                <w:b/>
                <w:i/>
              </w:rPr>
              <w:t xml:space="preserve">Non Current </w:t>
            </w:r>
          </w:p>
          <w:p w14:paraId="4E1E66E2" w14:textId="2B79F0BB" w:rsidR="00183D82" w:rsidRPr="000127EF" w:rsidRDefault="00183D82" w:rsidP="00B842B3">
            <w:pPr>
              <w:jc w:val="right"/>
              <w:rPr>
                <w:b/>
                <w:i/>
              </w:rPr>
            </w:pPr>
            <w:r w:rsidRPr="000127EF">
              <w:rPr>
                <w:b/>
                <w:i/>
              </w:rPr>
              <w:t>Investments</w:t>
            </w:r>
          </w:p>
        </w:tc>
        <w:tc>
          <w:tcPr>
            <w:tcW w:w="1194" w:type="dxa"/>
            <w:gridSpan w:val="2"/>
            <w:tcBorders>
              <w:bottom w:val="nil"/>
            </w:tcBorders>
            <w:shd w:val="clear" w:color="auto" w:fill="auto"/>
            <w:vAlign w:val="center"/>
          </w:tcPr>
          <w:p w14:paraId="1B83294F" w14:textId="7216F049" w:rsidR="00183D82" w:rsidRPr="000127EF" w:rsidRDefault="00183D82" w:rsidP="00B842B3">
            <w:pPr>
              <w:jc w:val="right"/>
              <w:rPr>
                <w:b/>
                <w:i/>
              </w:rPr>
            </w:pPr>
            <w:r w:rsidRPr="000127EF">
              <w:rPr>
                <w:b/>
                <w:i/>
              </w:rPr>
              <w:t xml:space="preserve">Non Current </w:t>
            </w:r>
          </w:p>
          <w:p w14:paraId="7F5DD85F" w14:textId="1F634FE2" w:rsidR="00183D82" w:rsidRPr="000127EF" w:rsidRDefault="00183D82" w:rsidP="00B842B3">
            <w:pPr>
              <w:jc w:val="right"/>
              <w:rPr>
                <w:b/>
                <w:i/>
              </w:rPr>
            </w:pPr>
            <w:r w:rsidRPr="000127EF">
              <w:rPr>
                <w:b/>
                <w:i/>
              </w:rPr>
              <w:t>Debtors</w:t>
            </w:r>
          </w:p>
        </w:tc>
        <w:tc>
          <w:tcPr>
            <w:tcW w:w="1503" w:type="dxa"/>
            <w:gridSpan w:val="2"/>
            <w:tcBorders>
              <w:bottom w:val="nil"/>
            </w:tcBorders>
            <w:shd w:val="clear" w:color="auto" w:fill="auto"/>
            <w:vAlign w:val="center"/>
          </w:tcPr>
          <w:p w14:paraId="39609BD2" w14:textId="77777777" w:rsidR="00183D82" w:rsidRPr="00E51E22" w:rsidRDefault="00183D82" w:rsidP="00B842B3">
            <w:pPr>
              <w:jc w:val="right"/>
              <w:rPr>
                <w:b/>
                <w:i/>
              </w:rPr>
            </w:pPr>
            <w:r w:rsidRPr="00E51E22">
              <w:rPr>
                <w:b/>
                <w:i/>
              </w:rPr>
              <w:t>Current</w:t>
            </w:r>
          </w:p>
          <w:p w14:paraId="4E42A068" w14:textId="0F3C27B8" w:rsidR="00183D82" w:rsidRPr="00E51E22" w:rsidRDefault="00183D82" w:rsidP="00B842B3">
            <w:pPr>
              <w:jc w:val="right"/>
              <w:rPr>
                <w:b/>
                <w:i/>
              </w:rPr>
            </w:pPr>
            <w:r w:rsidRPr="00E51E22">
              <w:rPr>
                <w:b/>
                <w:i/>
              </w:rPr>
              <w:t>Investments</w:t>
            </w:r>
          </w:p>
        </w:tc>
        <w:tc>
          <w:tcPr>
            <w:tcW w:w="2324" w:type="dxa"/>
            <w:gridSpan w:val="3"/>
            <w:tcBorders>
              <w:bottom w:val="nil"/>
            </w:tcBorders>
            <w:shd w:val="clear" w:color="auto" w:fill="auto"/>
          </w:tcPr>
          <w:p w14:paraId="023465EA" w14:textId="77777777" w:rsidR="00183D82" w:rsidRPr="00E51E22" w:rsidRDefault="00183D82" w:rsidP="00E5155D">
            <w:pPr>
              <w:jc w:val="center"/>
              <w:rPr>
                <w:rFonts w:cs="Arial"/>
                <w:szCs w:val="22"/>
                <w:lang w:val="en-US"/>
              </w:rPr>
            </w:pPr>
          </w:p>
          <w:p w14:paraId="329E7330" w14:textId="66D9ACF6" w:rsidR="00183D82" w:rsidRPr="00E51E22" w:rsidRDefault="00183D82" w:rsidP="00E5155D">
            <w:pPr>
              <w:rPr>
                <w:rFonts w:cs="Arial"/>
                <w:szCs w:val="22"/>
                <w:u w:val="single"/>
                <w:lang w:val="en-US"/>
              </w:rPr>
            </w:pPr>
          </w:p>
        </w:tc>
        <w:tc>
          <w:tcPr>
            <w:tcW w:w="1500" w:type="dxa"/>
            <w:gridSpan w:val="2"/>
            <w:tcBorders>
              <w:bottom w:val="nil"/>
            </w:tcBorders>
            <w:shd w:val="clear" w:color="auto" w:fill="C5E0B3" w:themeFill="accent6" w:themeFillTint="66"/>
            <w:vAlign w:val="center"/>
          </w:tcPr>
          <w:p w14:paraId="27DBB7E5" w14:textId="0FC1F82B" w:rsidR="00183D82" w:rsidRPr="00E51E22" w:rsidRDefault="00183D82" w:rsidP="00B842B3">
            <w:pPr>
              <w:jc w:val="right"/>
              <w:rPr>
                <w:b/>
              </w:rPr>
            </w:pPr>
            <w:r w:rsidRPr="00E51E22">
              <w:rPr>
                <w:b/>
              </w:rPr>
              <w:t xml:space="preserve">Non Current </w:t>
            </w:r>
          </w:p>
          <w:p w14:paraId="03B5D461" w14:textId="729AE1D7" w:rsidR="00183D82" w:rsidRPr="00E51E22" w:rsidRDefault="00183D82" w:rsidP="00B842B3">
            <w:pPr>
              <w:jc w:val="right"/>
              <w:rPr>
                <w:b/>
              </w:rPr>
            </w:pPr>
            <w:r w:rsidRPr="00E51E22">
              <w:rPr>
                <w:b/>
              </w:rPr>
              <w:t>Investments</w:t>
            </w:r>
          </w:p>
        </w:tc>
        <w:tc>
          <w:tcPr>
            <w:tcW w:w="1197" w:type="dxa"/>
            <w:gridSpan w:val="2"/>
            <w:tcBorders>
              <w:bottom w:val="nil"/>
            </w:tcBorders>
            <w:shd w:val="clear" w:color="auto" w:fill="C5E0B3" w:themeFill="accent6" w:themeFillTint="66"/>
            <w:vAlign w:val="center"/>
          </w:tcPr>
          <w:p w14:paraId="011D0D0A" w14:textId="750D0692" w:rsidR="00183D82" w:rsidRPr="00E51E22" w:rsidRDefault="00183D82" w:rsidP="00B842B3">
            <w:pPr>
              <w:jc w:val="right"/>
              <w:rPr>
                <w:b/>
              </w:rPr>
            </w:pPr>
            <w:r w:rsidRPr="00E51E22">
              <w:rPr>
                <w:b/>
              </w:rPr>
              <w:t xml:space="preserve">Non Current </w:t>
            </w:r>
          </w:p>
          <w:p w14:paraId="71A13BD7" w14:textId="5289DA93" w:rsidR="00183D82" w:rsidRPr="00E51E22" w:rsidRDefault="00183D82" w:rsidP="00B842B3">
            <w:pPr>
              <w:jc w:val="right"/>
              <w:rPr>
                <w:b/>
              </w:rPr>
            </w:pPr>
            <w:r w:rsidRPr="00E51E22">
              <w:rPr>
                <w:b/>
              </w:rPr>
              <w:t>Debtors</w:t>
            </w:r>
          </w:p>
        </w:tc>
        <w:tc>
          <w:tcPr>
            <w:tcW w:w="1526" w:type="dxa"/>
            <w:gridSpan w:val="4"/>
            <w:tcBorders>
              <w:bottom w:val="nil"/>
            </w:tcBorders>
            <w:shd w:val="clear" w:color="auto" w:fill="C5E0B3" w:themeFill="accent6" w:themeFillTint="66"/>
            <w:vAlign w:val="center"/>
          </w:tcPr>
          <w:p w14:paraId="0D931E1C" w14:textId="77777777" w:rsidR="00183D82" w:rsidRPr="00E51E22" w:rsidRDefault="00183D82" w:rsidP="00B842B3">
            <w:pPr>
              <w:jc w:val="right"/>
              <w:rPr>
                <w:b/>
              </w:rPr>
            </w:pPr>
            <w:r w:rsidRPr="00E51E22">
              <w:rPr>
                <w:b/>
              </w:rPr>
              <w:t>Current</w:t>
            </w:r>
          </w:p>
          <w:p w14:paraId="5181A68F" w14:textId="5FF6DBE8" w:rsidR="00183D82" w:rsidRPr="00E51E22" w:rsidRDefault="00183D82" w:rsidP="00B842B3">
            <w:pPr>
              <w:jc w:val="right"/>
              <w:rPr>
                <w:b/>
              </w:rPr>
            </w:pPr>
            <w:r w:rsidRPr="00E51E22">
              <w:rPr>
                <w:b/>
              </w:rPr>
              <w:t>Investments</w:t>
            </w:r>
          </w:p>
        </w:tc>
      </w:tr>
      <w:tr w:rsidR="00EC2194" w:rsidRPr="00E51E22" w14:paraId="6EFB0A98" w14:textId="77777777" w:rsidTr="008450A2">
        <w:trPr>
          <w:gridAfter w:val="1"/>
          <w:wAfter w:w="7" w:type="dxa"/>
          <w:trHeight w:val="127"/>
          <w:jc w:val="center"/>
        </w:trPr>
        <w:tc>
          <w:tcPr>
            <w:tcW w:w="1500" w:type="dxa"/>
            <w:tcBorders>
              <w:bottom w:val="nil"/>
            </w:tcBorders>
            <w:shd w:val="clear" w:color="auto" w:fill="auto"/>
          </w:tcPr>
          <w:p w14:paraId="7E1A93CA" w14:textId="1BB6D52C" w:rsidR="00EC2194" w:rsidRPr="000127EF" w:rsidRDefault="00EC2194" w:rsidP="00EC2194">
            <w:pPr>
              <w:jc w:val="right"/>
              <w:rPr>
                <w:b/>
                <w:i/>
              </w:rPr>
            </w:pPr>
            <w:r w:rsidRPr="000127EF">
              <w:rPr>
                <w:b/>
                <w:i/>
              </w:rPr>
              <w:t>£000</w:t>
            </w:r>
          </w:p>
        </w:tc>
        <w:tc>
          <w:tcPr>
            <w:tcW w:w="1194" w:type="dxa"/>
            <w:gridSpan w:val="2"/>
            <w:tcBorders>
              <w:bottom w:val="nil"/>
            </w:tcBorders>
            <w:shd w:val="clear" w:color="auto" w:fill="auto"/>
          </w:tcPr>
          <w:p w14:paraId="5CA4BB0B" w14:textId="501CBA52" w:rsidR="00EC2194" w:rsidRPr="000127EF" w:rsidRDefault="00EC2194" w:rsidP="00EC2194">
            <w:pPr>
              <w:jc w:val="right"/>
              <w:rPr>
                <w:b/>
                <w:i/>
              </w:rPr>
            </w:pPr>
            <w:r w:rsidRPr="000127EF">
              <w:rPr>
                <w:b/>
                <w:i/>
              </w:rPr>
              <w:t>£000</w:t>
            </w:r>
          </w:p>
        </w:tc>
        <w:tc>
          <w:tcPr>
            <w:tcW w:w="1503" w:type="dxa"/>
            <w:gridSpan w:val="2"/>
            <w:tcBorders>
              <w:bottom w:val="nil"/>
            </w:tcBorders>
            <w:shd w:val="clear" w:color="auto" w:fill="auto"/>
          </w:tcPr>
          <w:p w14:paraId="36A88F34" w14:textId="7924C49C" w:rsidR="00EC2194" w:rsidRPr="00E51E22" w:rsidRDefault="00EC2194" w:rsidP="00EC2194">
            <w:pPr>
              <w:jc w:val="right"/>
              <w:rPr>
                <w:b/>
                <w:i/>
              </w:rPr>
            </w:pPr>
            <w:r w:rsidRPr="00E51E22">
              <w:rPr>
                <w:b/>
                <w:i/>
              </w:rPr>
              <w:t>£000</w:t>
            </w:r>
          </w:p>
        </w:tc>
        <w:tc>
          <w:tcPr>
            <w:tcW w:w="2324" w:type="dxa"/>
            <w:gridSpan w:val="3"/>
            <w:tcBorders>
              <w:bottom w:val="nil"/>
            </w:tcBorders>
            <w:shd w:val="clear" w:color="auto" w:fill="auto"/>
            <w:vAlign w:val="center"/>
          </w:tcPr>
          <w:p w14:paraId="7B8AA18B" w14:textId="7104F937" w:rsidR="00EC2194" w:rsidRPr="00E51E22" w:rsidRDefault="00B842B3" w:rsidP="00B842B3">
            <w:pPr>
              <w:rPr>
                <w:rFonts w:cs="Arial"/>
                <w:szCs w:val="22"/>
                <w:lang w:val="en-US"/>
              </w:rPr>
            </w:pPr>
            <w:r w:rsidRPr="00E51E22">
              <w:rPr>
                <w:rFonts w:cs="Arial"/>
                <w:szCs w:val="22"/>
                <w:u w:val="single"/>
                <w:lang w:val="en-US"/>
              </w:rPr>
              <w:t>Financial Assets</w:t>
            </w:r>
          </w:p>
        </w:tc>
        <w:tc>
          <w:tcPr>
            <w:tcW w:w="1500" w:type="dxa"/>
            <w:gridSpan w:val="2"/>
            <w:tcBorders>
              <w:bottom w:val="nil"/>
            </w:tcBorders>
            <w:shd w:val="clear" w:color="auto" w:fill="C5E0B3" w:themeFill="accent6" w:themeFillTint="66"/>
          </w:tcPr>
          <w:p w14:paraId="106441AB" w14:textId="248BD191" w:rsidR="00EC2194" w:rsidRPr="00E51E22" w:rsidRDefault="00EC2194" w:rsidP="00EC2194">
            <w:pPr>
              <w:jc w:val="right"/>
              <w:rPr>
                <w:b/>
              </w:rPr>
            </w:pPr>
            <w:r w:rsidRPr="00E51E22">
              <w:rPr>
                <w:b/>
              </w:rPr>
              <w:t>£000</w:t>
            </w:r>
          </w:p>
        </w:tc>
        <w:tc>
          <w:tcPr>
            <w:tcW w:w="1197" w:type="dxa"/>
            <w:gridSpan w:val="2"/>
            <w:tcBorders>
              <w:bottom w:val="nil"/>
            </w:tcBorders>
            <w:shd w:val="clear" w:color="auto" w:fill="C5E0B3" w:themeFill="accent6" w:themeFillTint="66"/>
          </w:tcPr>
          <w:p w14:paraId="7137ED72" w14:textId="22F380EB" w:rsidR="00EC2194" w:rsidRPr="00E51E22" w:rsidRDefault="00EC2194" w:rsidP="00EC2194">
            <w:pPr>
              <w:jc w:val="right"/>
              <w:rPr>
                <w:b/>
              </w:rPr>
            </w:pPr>
            <w:r w:rsidRPr="00E51E22">
              <w:rPr>
                <w:b/>
              </w:rPr>
              <w:t>£000</w:t>
            </w:r>
          </w:p>
        </w:tc>
        <w:tc>
          <w:tcPr>
            <w:tcW w:w="1526" w:type="dxa"/>
            <w:gridSpan w:val="4"/>
            <w:tcBorders>
              <w:bottom w:val="nil"/>
            </w:tcBorders>
            <w:shd w:val="clear" w:color="auto" w:fill="C5E0B3" w:themeFill="accent6" w:themeFillTint="66"/>
          </w:tcPr>
          <w:p w14:paraId="099D34B0" w14:textId="72A577A8" w:rsidR="00EC2194" w:rsidRPr="00E51E22" w:rsidRDefault="00EC2194" w:rsidP="00EC2194">
            <w:pPr>
              <w:jc w:val="right"/>
              <w:rPr>
                <w:b/>
              </w:rPr>
            </w:pPr>
            <w:r w:rsidRPr="00E51E22">
              <w:rPr>
                <w:b/>
              </w:rPr>
              <w:t>£000</w:t>
            </w:r>
          </w:p>
        </w:tc>
      </w:tr>
      <w:tr w:rsidR="00EC2194" w:rsidRPr="00E51E22" w14:paraId="23C2A88F" w14:textId="77777777" w:rsidTr="008450A2">
        <w:trPr>
          <w:gridAfter w:val="1"/>
          <w:wAfter w:w="7" w:type="dxa"/>
          <w:trHeight w:hRule="exact" w:val="57"/>
          <w:jc w:val="center"/>
        </w:trPr>
        <w:tc>
          <w:tcPr>
            <w:tcW w:w="1500" w:type="dxa"/>
            <w:tcBorders>
              <w:bottom w:val="nil"/>
            </w:tcBorders>
            <w:shd w:val="clear" w:color="auto" w:fill="auto"/>
          </w:tcPr>
          <w:p w14:paraId="0A3D18C9" w14:textId="77777777" w:rsidR="00EC2194" w:rsidRPr="000127EF" w:rsidRDefault="00EC2194" w:rsidP="00EC2194">
            <w:pPr>
              <w:jc w:val="right"/>
              <w:rPr>
                <w:i/>
              </w:rPr>
            </w:pPr>
          </w:p>
        </w:tc>
        <w:tc>
          <w:tcPr>
            <w:tcW w:w="1194" w:type="dxa"/>
            <w:gridSpan w:val="2"/>
            <w:tcBorders>
              <w:bottom w:val="nil"/>
            </w:tcBorders>
            <w:shd w:val="clear" w:color="auto" w:fill="auto"/>
          </w:tcPr>
          <w:p w14:paraId="64EC7FB4" w14:textId="77777777" w:rsidR="00EC2194" w:rsidRPr="000127EF" w:rsidRDefault="00EC2194" w:rsidP="00EC2194">
            <w:pPr>
              <w:jc w:val="right"/>
              <w:rPr>
                <w:i/>
              </w:rPr>
            </w:pPr>
          </w:p>
        </w:tc>
        <w:tc>
          <w:tcPr>
            <w:tcW w:w="1503" w:type="dxa"/>
            <w:gridSpan w:val="2"/>
            <w:tcBorders>
              <w:bottom w:val="nil"/>
            </w:tcBorders>
            <w:shd w:val="clear" w:color="auto" w:fill="auto"/>
          </w:tcPr>
          <w:p w14:paraId="5FEC0E6E" w14:textId="77777777" w:rsidR="00EC2194" w:rsidRPr="00E51E22" w:rsidRDefault="00EC2194" w:rsidP="00EC2194">
            <w:pPr>
              <w:jc w:val="right"/>
              <w:rPr>
                <w:i/>
              </w:rPr>
            </w:pPr>
          </w:p>
        </w:tc>
        <w:tc>
          <w:tcPr>
            <w:tcW w:w="2324" w:type="dxa"/>
            <w:gridSpan w:val="3"/>
            <w:tcBorders>
              <w:bottom w:val="nil"/>
            </w:tcBorders>
            <w:shd w:val="clear" w:color="auto" w:fill="auto"/>
          </w:tcPr>
          <w:p w14:paraId="7DF27D54" w14:textId="77777777" w:rsidR="00EC2194" w:rsidRPr="00E51E22" w:rsidRDefault="00EC2194" w:rsidP="00EC2194">
            <w:pPr>
              <w:jc w:val="center"/>
              <w:rPr>
                <w:rFonts w:cs="Arial"/>
                <w:szCs w:val="22"/>
                <w:lang w:val="en-US"/>
              </w:rPr>
            </w:pPr>
          </w:p>
        </w:tc>
        <w:tc>
          <w:tcPr>
            <w:tcW w:w="1500" w:type="dxa"/>
            <w:gridSpan w:val="2"/>
            <w:tcBorders>
              <w:bottom w:val="nil"/>
            </w:tcBorders>
            <w:shd w:val="clear" w:color="auto" w:fill="C5E0B3" w:themeFill="accent6" w:themeFillTint="66"/>
          </w:tcPr>
          <w:p w14:paraId="5ABF0AE2" w14:textId="77777777" w:rsidR="00EC2194" w:rsidRPr="00E51E22" w:rsidRDefault="00EC2194" w:rsidP="00EC2194">
            <w:pPr>
              <w:jc w:val="right"/>
            </w:pPr>
          </w:p>
        </w:tc>
        <w:tc>
          <w:tcPr>
            <w:tcW w:w="1197" w:type="dxa"/>
            <w:gridSpan w:val="2"/>
            <w:tcBorders>
              <w:bottom w:val="nil"/>
            </w:tcBorders>
            <w:shd w:val="clear" w:color="auto" w:fill="C5E0B3" w:themeFill="accent6" w:themeFillTint="66"/>
          </w:tcPr>
          <w:p w14:paraId="6E11543E" w14:textId="77777777" w:rsidR="00EC2194" w:rsidRPr="00E51E22" w:rsidRDefault="00EC2194" w:rsidP="00EC2194">
            <w:pPr>
              <w:jc w:val="right"/>
            </w:pPr>
          </w:p>
        </w:tc>
        <w:tc>
          <w:tcPr>
            <w:tcW w:w="1526" w:type="dxa"/>
            <w:gridSpan w:val="4"/>
            <w:tcBorders>
              <w:bottom w:val="nil"/>
            </w:tcBorders>
            <w:shd w:val="clear" w:color="auto" w:fill="C5E0B3" w:themeFill="accent6" w:themeFillTint="66"/>
          </w:tcPr>
          <w:p w14:paraId="29D9CE0E" w14:textId="77777777" w:rsidR="00EC2194" w:rsidRPr="00E51E22" w:rsidRDefault="00EC2194" w:rsidP="00EC2194">
            <w:pPr>
              <w:jc w:val="right"/>
            </w:pPr>
          </w:p>
        </w:tc>
      </w:tr>
      <w:tr w:rsidR="00015B74" w:rsidRPr="00E51E22" w14:paraId="154FA589" w14:textId="77777777" w:rsidTr="000E1C2E">
        <w:trPr>
          <w:gridAfter w:val="1"/>
          <w:wAfter w:w="7" w:type="dxa"/>
          <w:trHeight w:val="90"/>
          <w:jc w:val="center"/>
        </w:trPr>
        <w:tc>
          <w:tcPr>
            <w:tcW w:w="1500" w:type="dxa"/>
            <w:tcBorders>
              <w:top w:val="nil"/>
              <w:bottom w:val="nil"/>
            </w:tcBorders>
            <w:shd w:val="clear" w:color="auto" w:fill="auto"/>
            <w:vAlign w:val="center"/>
          </w:tcPr>
          <w:p w14:paraId="6F4854F9" w14:textId="51837AF1" w:rsidR="00015B74" w:rsidRPr="00015B74" w:rsidRDefault="00015B74" w:rsidP="00015B74">
            <w:pPr>
              <w:jc w:val="right"/>
              <w:rPr>
                <w:i/>
              </w:rPr>
            </w:pPr>
            <w:r w:rsidRPr="00015B74">
              <w:rPr>
                <w:b/>
                <w:i/>
              </w:rPr>
              <w:t>-</w:t>
            </w:r>
          </w:p>
        </w:tc>
        <w:tc>
          <w:tcPr>
            <w:tcW w:w="1194" w:type="dxa"/>
            <w:gridSpan w:val="2"/>
            <w:tcBorders>
              <w:top w:val="nil"/>
              <w:bottom w:val="nil"/>
            </w:tcBorders>
            <w:shd w:val="clear" w:color="auto" w:fill="auto"/>
            <w:vAlign w:val="center"/>
          </w:tcPr>
          <w:p w14:paraId="44F0CCF1" w14:textId="5663C3F1" w:rsidR="00015B74" w:rsidRPr="00015B74" w:rsidRDefault="00015B74" w:rsidP="00015B74">
            <w:pPr>
              <w:jc w:val="right"/>
              <w:rPr>
                <w:i/>
              </w:rPr>
            </w:pPr>
            <w:r w:rsidRPr="00015B74">
              <w:rPr>
                <w:i/>
              </w:rPr>
              <w:t>188</w:t>
            </w:r>
          </w:p>
        </w:tc>
        <w:tc>
          <w:tcPr>
            <w:tcW w:w="1503" w:type="dxa"/>
            <w:gridSpan w:val="2"/>
            <w:tcBorders>
              <w:top w:val="nil"/>
              <w:bottom w:val="nil"/>
            </w:tcBorders>
            <w:shd w:val="clear" w:color="auto" w:fill="auto"/>
          </w:tcPr>
          <w:p w14:paraId="64F31663" w14:textId="3933BFFE" w:rsidR="00015B74" w:rsidRPr="00E51E22" w:rsidRDefault="00015B74" w:rsidP="00015B74">
            <w:pPr>
              <w:jc w:val="right"/>
              <w:rPr>
                <w:i/>
              </w:rPr>
            </w:pPr>
            <w:r w:rsidRPr="00E51E22">
              <w:rPr>
                <w:i/>
              </w:rPr>
              <w:t>35,353</w:t>
            </w:r>
          </w:p>
        </w:tc>
        <w:tc>
          <w:tcPr>
            <w:tcW w:w="2324" w:type="dxa"/>
            <w:gridSpan w:val="3"/>
            <w:tcBorders>
              <w:top w:val="nil"/>
              <w:bottom w:val="nil"/>
            </w:tcBorders>
            <w:shd w:val="clear" w:color="auto" w:fill="auto"/>
          </w:tcPr>
          <w:p w14:paraId="349C2604" w14:textId="5FADB729" w:rsidR="00015B74" w:rsidRPr="00E51E22" w:rsidRDefault="00015B74" w:rsidP="00015B74">
            <w:r w:rsidRPr="00E51E22">
              <w:t>Amortised Cost</w:t>
            </w:r>
          </w:p>
        </w:tc>
        <w:tc>
          <w:tcPr>
            <w:tcW w:w="1500" w:type="dxa"/>
            <w:gridSpan w:val="2"/>
            <w:tcBorders>
              <w:top w:val="nil"/>
              <w:bottom w:val="nil"/>
            </w:tcBorders>
            <w:shd w:val="clear" w:color="auto" w:fill="C5E0B3" w:themeFill="accent6" w:themeFillTint="66"/>
            <w:vAlign w:val="center"/>
          </w:tcPr>
          <w:p w14:paraId="656B44A9" w14:textId="20F916CD" w:rsidR="00015B74" w:rsidRPr="00E51E22" w:rsidRDefault="00015B74" w:rsidP="00015B74">
            <w:pPr>
              <w:jc w:val="right"/>
              <w:rPr>
                <w:b/>
              </w:rPr>
            </w:pPr>
          </w:p>
        </w:tc>
        <w:tc>
          <w:tcPr>
            <w:tcW w:w="1197" w:type="dxa"/>
            <w:gridSpan w:val="2"/>
            <w:tcBorders>
              <w:top w:val="nil"/>
              <w:bottom w:val="nil"/>
            </w:tcBorders>
            <w:shd w:val="clear" w:color="auto" w:fill="C5E0B3" w:themeFill="accent6" w:themeFillTint="66"/>
            <w:vAlign w:val="center"/>
          </w:tcPr>
          <w:p w14:paraId="5F360619" w14:textId="2F74A062" w:rsidR="00015B74" w:rsidRPr="00E51E22" w:rsidRDefault="00E51E22" w:rsidP="00015B74">
            <w:pPr>
              <w:jc w:val="right"/>
            </w:pPr>
            <w:r w:rsidRPr="00E51E22">
              <w:t>149</w:t>
            </w:r>
          </w:p>
        </w:tc>
        <w:tc>
          <w:tcPr>
            <w:tcW w:w="1526" w:type="dxa"/>
            <w:gridSpan w:val="4"/>
            <w:tcBorders>
              <w:top w:val="nil"/>
              <w:bottom w:val="nil"/>
            </w:tcBorders>
            <w:shd w:val="clear" w:color="auto" w:fill="C5E0B3" w:themeFill="accent6" w:themeFillTint="66"/>
          </w:tcPr>
          <w:p w14:paraId="3694CCD7" w14:textId="4CE0F12B" w:rsidR="00015B74" w:rsidRPr="00E51E22" w:rsidRDefault="00E51E22" w:rsidP="00015B74">
            <w:pPr>
              <w:jc w:val="right"/>
            </w:pPr>
            <w:r w:rsidRPr="00E51E22">
              <w:t>39,351</w:t>
            </w:r>
          </w:p>
        </w:tc>
      </w:tr>
      <w:tr w:rsidR="00015B74" w:rsidRPr="00E51E22" w14:paraId="28C80B42" w14:textId="77777777" w:rsidTr="008450A2">
        <w:trPr>
          <w:gridAfter w:val="1"/>
          <w:wAfter w:w="7" w:type="dxa"/>
          <w:trHeight w:val="90"/>
          <w:jc w:val="center"/>
        </w:trPr>
        <w:tc>
          <w:tcPr>
            <w:tcW w:w="1500" w:type="dxa"/>
            <w:tcBorders>
              <w:top w:val="nil"/>
              <w:bottom w:val="nil"/>
            </w:tcBorders>
            <w:shd w:val="clear" w:color="auto" w:fill="auto"/>
            <w:vAlign w:val="center"/>
          </w:tcPr>
          <w:p w14:paraId="1FD38002" w14:textId="27F919D7" w:rsidR="00015B74" w:rsidRPr="00015B74" w:rsidRDefault="00015B74" w:rsidP="00015B74">
            <w:pPr>
              <w:jc w:val="right"/>
              <w:rPr>
                <w:i/>
              </w:rPr>
            </w:pPr>
            <w:r w:rsidRPr="00015B74">
              <w:rPr>
                <w:b/>
                <w:i/>
              </w:rPr>
              <w:t>-</w:t>
            </w:r>
          </w:p>
        </w:tc>
        <w:tc>
          <w:tcPr>
            <w:tcW w:w="1194" w:type="dxa"/>
            <w:gridSpan w:val="2"/>
            <w:tcBorders>
              <w:top w:val="nil"/>
              <w:bottom w:val="nil"/>
            </w:tcBorders>
            <w:shd w:val="clear" w:color="auto" w:fill="auto"/>
            <w:vAlign w:val="center"/>
          </w:tcPr>
          <w:p w14:paraId="0FE295B6" w14:textId="1AE691AF" w:rsidR="00015B74" w:rsidRPr="00015B74" w:rsidRDefault="00015B74" w:rsidP="00015B74">
            <w:pPr>
              <w:jc w:val="right"/>
              <w:rPr>
                <w:i/>
              </w:rPr>
            </w:pPr>
            <w:r w:rsidRPr="00015B74">
              <w:rPr>
                <w:b/>
                <w:i/>
              </w:rPr>
              <w:fldChar w:fldCharType="begin"/>
            </w:r>
            <w:r w:rsidRPr="00015B74">
              <w:rPr>
                <w:b/>
                <w:i/>
              </w:rPr>
              <w:instrText xml:space="preserve"> =SUM(g8:g8) </w:instrText>
            </w:r>
            <w:r w:rsidRPr="00015B74">
              <w:rPr>
                <w:b/>
                <w:i/>
              </w:rPr>
              <w:fldChar w:fldCharType="separate"/>
            </w:r>
            <w:r w:rsidRPr="00015B74">
              <w:rPr>
                <w:b/>
                <w:i/>
                <w:noProof/>
              </w:rPr>
              <w:t>188</w:t>
            </w:r>
            <w:r w:rsidRPr="00015B74">
              <w:rPr>
                <w:b/>
                <w:i/>
              </w:rPr>
              <w:fldChar w:fldCharType="end"/>
            </w:r>
          </w:p>
        </w:tc>
        <w:tc>
          <w:tcPr>
            <w:tcW w:w="1503" w:type="dxa"/>
            <w:gridSpan w:val="2"/>
            <w:tcBorders>
              <w:top w:val="nil"/>
              <w:bottom w:val="nil"/>
            </w:tcBorders>
            <w:shd w:val="clear" w:color="auto" w:fill="auto"/>
            <w:vAlign w:val="center"/>
          </w:tcPr>
          <w:p w14:paraId="02961773" w14:textId="4A77E83A" w:rsidR="00015B74" w:rsidRPr="00E51E22" w:rsidRDefault="00015B74" w:rsidP="00015B74">
            <w:pPr>
              <w:jc w:val="right"/>
              <w:rPr>
                <w:i/>
              </w:rPr>
            </w:pPr>
            <w:r w:rsidRPr="00E51E22">
              <w:rPr>
                <w:b/>
                <w:i/>
              </w:rPr>
              <w:fldChar w:fldCharType="begin"/>
            </w:r>
            <w:r w:rsidRPr="00E51E22">
              <w:rPr>
                <w:b/>
                <w:i/>
              </w:rPr>
              <w:instrText xml:space="preserve"> =SUM(h8:h8) </w:instrText>
            </w:r>
            <w:r w:rsidRPr="00E51E22">
              <w:rPr>
                <w:b/>
                <w:i/>
              </w:rPr>
              <w:fldChar w:fldCharType="separate"/>
            </w:r>
            <w:r w:rsidRPr="00E51E22">
              <w:rPr>
                <w:b/>
                <w:i/>
                <w:noProof/>
              </w:rPr>
              <w:t>35,353</w:t>
            </w:r>
            <w:r w:rsidRPr="00E51E22">
              <w:rPr>
                <w:b/>
                <w:i/>
              </w:rPr>
              <w:fldChar w:fldCharType="end"/>
            </w:r>
          </w:p>
        </w:tc>
        <w:tc>
          <w:tcPr>
            <w:tcW w:w="2324" w:type="dxa"/>
            <w:gridSpan w:val="3"/>
            <w:tcBorders>
              <w:top w:val="nil"/>
              <w:bottom w:val="nil"/>
            </w:tcBorders>
            <w:shd w:val="clear" w:color="auto" w:fill="auto"/>
            <w:vAlign w:val="center"/>
          </w:tcPr>
          <w:p w14:paraId="672C46CF" w14:textId="3BFB7543" w:rsidR="00015B74" w:rsidRPr="00E51E22" w:rsidRDefault="00015B74" w:rsidP="00015B74">
            <w:pPr>
              <w:rPr>
                <w:rFonts w:cs="Arial"/>
                <w:szCs w:val="22"/>
                <w:lang w:val="en-US"/>
              </w:rPr>
            </w:pPr>
            <w:r w:rsidRPr="00E51E22">
              <w:rPr>
                <w:b/>
              </w:rPr>
              <w:t>Total Financial Assets</w:t>
            </w:r>
          </w:p>
        </w:tc>
        <w:tc>
          <w:tcPr>
            <w:tcW w:w="1500" w:type="dxa"/>
            <w:gridSpan w:val="2"/>
            <w:tcBorders>
              <w:top w:val="nil"/>
              <w:bottom w:val="nil"/>
            </w:tcBorders>
            <w:shd w:val="clear" w:color="auto" w:fill="C5E0B3" w:themeFill="accent6" w:themeFillTint="66"/>
            <w:vAlign w:val="center"/>
          </w:tcPr>
          <w:p w14:paraId="28A56F0F" w14:textId="2F55EE15" w:rsidR="00015B74" w:rsidRPr="00E51E22" w:rsidRDefault="00015B74" w:rsidP="00015B74">
            <w:pPr>
              <w:jc w:val="right"/>
            </w:pPr>
          </w:p>
        </w:tc>
        <w:tc>
          <w:tcPr>
            <w:tcW w:w="1197" w:type="dxa"/>
            <w:gridSpan w:val="2"/>
            <w:tcBorders>
              <w:top w:val="nil"/>
              <w:bottom w:val="nil"/>
            </w:tcBorders>
            <w:shd w:val="clear" w:color="auto" w:fill="C5E0B3" w:themeFill="accent6" w:themeFillTint="66"/>
            <w:vAlign w:val="center"/>
          </w:tcPr>
          <w:p w14:paraId="6DA24F97" w14:textId="3CE92D79" w:rsidR="00015B74" w:rsidRPr="001F3AF2" w:rsidRDefault="00E51E22" w:rsidP="00015B74">
            <w:pPr>
              <w:jc w:val="right"/>
              <w:rPr>
                <w:b/>
                <w:bCs/>
              </w:rPr>
            </w:pPr>
            <w:r w:rsidRPr="001F3AF2">
              <w:rPr>
                <w:b/>
                <w:bCs/>
              </w:rPr>
              <w:t>149</w:t>
            </w:r>
          </w:p>
        </w:tc>
        <w:tc>
          <w:tcPr>
            <w:tcW w:w="1526" w:type="dxa"/>
            <w:gridSpan w:val="4"/>
            <w:tcBorders>
              <w:top w:val="nil"/>
              <w:bottom w:val="nil"/>
            </w:tcBorders>
            <w:shd w:val="clear" w:color="auto" w:fill="C5E0B3" w:themeFill="accent6" w:themeFillTint="66"/>
            <w:vAlign w:val="center"/>
          </w:tcPr>
          <w:p w14:paraId="06D43617" w14:textId="6AA3BDC5" w:rsidR="00015B74" w:rsidRPr="001F3AF2" w:rsidRDefault="00E51E22" w:rsidP="00015B74">
            <w:pPr>
              <w:jc w:val="right"/>
              <w:rPr>
                <w:b/>
                <w:bCs/>
              </w:rPr>
            </w:pPr>
            <w:r w:rsidRPr="001F3AF2">
              <w:rPr>
                <w:b/>
                <w:bCs/>
              </w:rPr>
              <w:t>39,351</w:t>
            </w:r>
          </w:p>
        </w:tc>
      </w:tr>
      <w:tr w:rsidR="00B842B3" w:rsidRPr="00E51E22" w14:paraId="017BADE6" w14:textId="77777777" w:rsidTr="008450A2">
        <w:trPr>
          <w:gridAfter w:val="1"/>
          <w:wAfter w:w="7" w:type="dxa"/>
          <w:trHeight w:val="87"/>
          <w:jc w:val="center"/>
        </w:trPr>
        <w:tc>
          <w:tcPr>
            <w:tcW w:w="1500" w:type="dxa"/>
            <w:tcBorders>
              <w:top w:val="nil"/>
              <w:bottom w:val="single" w:sz="18" w:space="0" w:color="FFFFFF" w:themeColor="background1"/>
            </w:tcBorders>
            <w:shd w:val="clear" w:color="auto" w:fill="auto"/>
          </w:tcPr>
          <w:p w14:paraId="1D64B0AE" w14:textId="77777777" w:rsidR="00EC2194" w:rsidRPr="000127EF" w:rsidRDefault="00EC2194" w:rsidP="00EC2194">
            <w:pPr>
              <w:jc w:val="right"/>
              <w:rPr>
                <w:b/>
              </w:rPr>
            </w:pPr>
          </w:p>
        </w:tc>
        <w:tc>
          <w:tcPr>
            <w:tcW w:w="1194" w:type="dxa"/>
            <w:gridSpan w:val="2"/>
            <w:tcBorders>
              <w:top w:val="nil"/>
              <w:bottom w:val="single" w:sz="18" w:space="0" w:color="FFFFFF" w:themeColor="background1"/>
            </w:tcBorders>
            <w:shd w:val="clear" w:color="auto" w:fill="auto"/>
          </w:tcPr>
          <w:p w14:paraId="3ADAC48D" w14:textId="77777777" w:rsidR="00EC2194" w:rsidRPr="000127EF" w:rsidRDefault="00EC2194" w:rsidP="00EC2194">
            <w:pPr>
              <w:jc w:val="right"/>
              <w:rPr>
                <w:b/>
              </w:rPr>
            </w:pPr>
          </w:p>
        </w:tc>
        <w:tc>
          <w:tcPr>
            <w:tcW w:w="1503" w:type="dxa"/>
            <w:gridSpan w:val="2"/>
            <w:tcBorders>
              <w:top w:val="nil"/>
              <w:bottom w:val="single" w:sz="18" w:space="0" w:color="FFFFFF" w:themeColor="background1"/>
            </w:tcBorders>
            <w:shd w:val="clear" w:color="auto" w:fill="auto"/>
          </w:tcPr>
          <w:p w14:paraId="75B317AE" w14:textId="73AE8569" w:rsidR="00EC2194" w:rsidRPr="00E51E22" w:rsidRDefault="00EC2194" w:rsidP="00EC2194">
            <w:pPr>
              <w:jc w:val="right"/>
              <w:rPr>
                <w:b/>
              </w:rPr>
            </w:pPr>
          </w:p>
        </w:tc>
        <w:tc>
          <w:tcPr>
            <w:tcW w:w="2324" w:type="dxa"/>
            <w:gridSpan w:val="3"/>
            <w:tcBorders>
              <w:top w:val="nil"/>
              <w:bottom w:val="single" w:sz="18" w:space="0" w:color="FFFFFF" w:themeColor="background1"/>
            </w:tcBorders>
            <w:shd w:val="clear" w:color="auto" w:fill="auto"/>
          </w:tcPr>
          <w:p w14:paraId="106242B4" w14:textId="1BD2CD50" w:rsidR="00EC2194" w:rsidRPr="00E51E22" w:rsidRDefault="00EC2194" w:rsidP="00EC2194"/>
        </w:tc>
        <w:tc>
          <w:tcPr>
            <w:tcW w:w="1500" w:type="dxa"/>
            <w:gridSpan w:val="2"/>
            <w:tcBorders>
              <w:top w:val="nil"/>
              <w:bottom w:val="single" w:sz="18" w:space="0" w:color="FFFFFF" w:themeColor="background1"/>
            </w:tcBorders>
            <w:shd w:val="clear" w:color="auto" w:fill="C5E0B3" w:themeFill="accent6" w:themeFillTint="66"/>
          </w:tcPr>
          <w:p w14:paraId="24A5A778" w14:textId="011B2605" w:rsidR="00EC2194" w:rsidRPr="00E51E22" w:rsidRDefault="00EC2194" w:rsidP="00EC2194">
            <w:pPr>
              <w:jc w:val="center"/>
              <w:rPr>
                <w:b/>
              </w:rPr>
            </w:pPr>
          </w:p>
        </w:tc>
        <w:tc>
          <w:tcPr>
            <w:tcW w:w="1197" w:type="dxa"/>
            <w:gridSpan w:val="2"/>
            <w:tcBorders>
              <w:top w:val="nil"/>
              <w:bottom w:val="single" w:sz="18" w:space="0" w:color="FFFFFF" w:themeColor="background1"/>
            </w:tcBorders>
            <w:shd w:val="clear" w:color="auto" w:fill="C5E0B3" w:themeFill="accent6" w:themeFillTint="66"/>
          </w:tcPr>
          <w:p w14:paraId="0216634A" w14:textId="098E4AE3" w:rsidR="00EC2194" w:rsidRPr="00E51E22" w:rsidRDefault="00EC2194" w:rsidP="00EC2194">
            <w:pPr>
              <w:jc w:val="center"/>
              <w:rPr>
                <w:b/>
              </w:rPr>
            </w:pPr>
          </w:p>
        </w:tc>
        <w:tc>
          <w:tcPr>
            <w:tcW w:w="1526" w:type="dxa"/>
            <w:gridSpan w:val="4"/>
            <w:tcBorders>
              <w:top w:val="nil"/>
              <w:bottom w:val="single" w:sz="18" w:space="0" w:color="FFFFFF" w:themeColor="background1"/>
            </w:tcBorders>
            <w:shd w:val="clear" w:color="auto" w:fill="C5E0B3" w:themeFill="accent6" w:themeFillTint="66"/>
          </w:tcPr>
          <w:p w14:paraId="2FEBC64E" w14:textId="77777777" w:rsidR="00EC2194" w:rsidRPr="00E51E22" w:rsidRDefault="00EC2194" w:rsidP="00EC2194">
            <w:pPr>
              <w:jc w:val="center"/>
              <w:rPr>
                <w:b/>
              </w:rPr>
            </w:pPr>
          </w:p>
        </w:tc>
      </w:tr>
      <w:tr w:rsidR="008450A2" w:rsidRPr="00E51E22" w14:paraId="591F4FA9" w14:textId="77777777" w:rsidTr="008450A2">
        <w:trPr>
          <w:gridAfter w:val="2"/>
          <w:wAfter w:w="241" w:type="dxa"/>
          <w:trHeight w:hRule="exact" w:val="50"/>
          <w:jc w:val="center"/>
        </w:trPr>
        <w:tc>
          <w:tcPr>
            <w:tcW w:w="1917" w:type="dxa"/>
            <w:gridSpan w:val="2"/>
            <w:tcBorders>
              <w:top w:val="single" w:sz="18" w:space="0" w:color="FFFFFF" w:themeColor="background1"/>
              <w:bottom w:val="single" w:sz="18" w:space="0" w:color="A8D08D" w:themeColor="accent6" w:themeTint="99"/>
            </w:tcBorders>
          </w:tcPr>
          <w:p w14:paraId="00CB0815" w14:textId="77777777" w:rsidR="00EC2194" w:rsidRPr="000127EF" w:rsidRDefault="00EC2194" w:rsidP="00EC2194">
            <w:pPr>
              <w:jc w:val="right"/>
              <w:rPr>
                <w:i/>
              </w:rPr>
            </w:pPr>
          </w:p>
        </w:tc>
        <w:tc>
          <w:tcPr>
            <w:tcW w:w="1398" w:type="dxa"/>
            <w:gridSpan w:val="2"/>
            <w:tcBorders>
              <w:top w:val="single" w:sz="18" w:space="0" w:color="FFFFFF" w:themeColor="background1"/>
              <w:bottom w:val="single" w:sz="18" w:space="0" w:color="A8D08D" w:themeColor="accent6" w:themeTint="99"/>
            </w:tcBorders>
          </w:tcPr>
          <w:p w14:paraId="0801C898" w14:textId="77777777" w:rsidR="00EC2194" w:rsidRPr="000127EF" w:rsidRDefault="00EC2194" w:rsidP="00EC2194">
            <w:pPr>
              <w:jc w:val="right"/>
              <w:rPr>
                <w:i/>
              </w:rPr>
            </w:pPr>
          </w:p>
        </w:tc>
        <w:tc>
          <w:tcPr>
            <w:tcW w:w="1677" w:type="dxa"/>
            <w:gridSpan w:val="2"/>
            <w:tcBorders>
              <w:top w:val="single" w:sz="18" w:space="0" w:color="FFFFFF" w:themeColor="background1"/>
              <w:bottom w:val="single" w:sz="18" w:space="0" w:color="A8D08D" w:themeColor="accent6" w:themeTint="99"/>
            </w:tcBorders>
          </w:tcPr>
          <w:p w14:paraId="4779340F" w14:textId="77777777" w:rsidR="00EC2194" w:rsidRPr="00E51E22" w:rsidRDefault="00EC2194" w:rsidP="00EC2194">
            <w:pPr>
              <w:jc w:val="right"/>
              <w:rPr>
                <w:i/>
              </w:rPr>
            </w:pPr>
          </w:p>
        </w:tc>
        <w:tc>
          <w:tcPr>
            <w:tcW w:w="1021" w:type="dxa"/>
            <w:tcBorders>
              <w:top w:val="single" w:sz="18" w:space="0" w:color="FFFFFF" w:themeColor="background1"/>
              <w:bottom w:val="single" w:sz="18" w:space="0" w:color="A8D08D" w:themeColor="accent6" w:themeTint="99"/>
            </w:tcBorders>
          </w:tcPr>
          <w:p w14:paraId="0FCF025E" w14:textId="77777777" w:rsidR="00EC2194" w:rsidRPr="00E51E22" w:rsidRDefault="00EC2194" w:rsidP="00EC2194">
            <w:pPr>
              <w:jc w:val="both"/>
              <w:rPr>
                <w:i/>
              </w:rPr>
            </w:pPr>
          </w:p>
        </w:tc>
        <w:tc>
          <w:tcPr>
            <w:tcW w:w="1838" w:type="dxa"/>
            <w:gridSpan w:val="2"/>
            <w:tcBorders>
              <w:top w:val="single" w:sz="18" w:space="0" w:color="FFFFFF" w:themeColor="background1"/>
              <w:bottom w:val="single" w:sz="18" w:space="0" w:color="A8D08D" w:themeColor="accent6" w:themeTint="99"/>
            </w:tcBorders>
          </w:tcPr>
          <w:p w14:paraId="139A90D1" w14:textId="77777777" w:rsidR="00EC2194" w:rsidRPr="00E51E22" w:rsidRDefault="00EC2194" w:rsidP="00EC2194">
            <w:pPr>
              <w:jc w:val="both"/>
            </w:pPr>
          </w:p>
        </w:tc>
        <w:tc>
          <w:tcPr>
            <w:tcW w:w="2187" w:type="dxa"/>
            <w:gridSpan w:val="5"/>
            <w:tcBorders>
              <w:top w:val="single" w:sz="18" w:space="0" w:color="FFFFFF" w:themeColor="background1"/>
              <w:bottom w:val="single" w:sz="18" w:space="0" w:color="A8D08D" w:themeColor="accent6" w:themeTint="99"/>
            </w:tcBorders>
          </w:tcPr>
          <w:p w14:paraId="2BB24C09" w14:textId="77777777" w:rsidR="00EC2194" w:rsidRPr="00E51E22" w:rsidRDefault="00EC2194" w:rsidP="00EC2194">
            <w:pPr>
              <w:jc w:val="right"/>
            </w:pPr>
          </w:p>
        </w:tc>
        <w:tc>
          <w:tcPr>
            <w:tcW w:w="472" w:type="dxa"/>
            <w:tcBorders>
              <w:top w:val="single" w:sz="18" w:space="0" w:color="FFFFFF" w:themeColor="background1"/>
              <w:bottom w:val="single" w:sz="18" w:space="0" w:color="A8D08D" w:themeColor="accent6" w:themeTint="99"/>
            </w:tcBorders>
          </w:tcPr>
          <w:p w14:paraId="721BD241" w14:textId="77777777" w:rsidR="00EC2194" w:rsidRPr="00E51E22" w:rsidRDefault="00EC2194" w:rsidP="00EC2194">
            <w:pPr>
              <w:jc w:val="right"/>
            </w:pPr>
          </w:p>
        </w:tc>
      </w:tr>
    </w:tbl>
    <w:p w14:paraId="4B4495E4" w14:textId="33470A53" w:rsidR="00176A63" w:rsidRPr="000127EF" w:rsidRDefault="002B5536" w:rsidP="00496E93">
      <w:pPr>
        <w:spacing w:after="120"/>
      </w:pPr>
      <w:r w:rsidRPr="000127EF">
        <w:t>The gains and losses recognis</w:t>
      </w:r>
      <w:r w:rsidR="00FC43B0" w:rsidRPr="000127EF">
        <w:t>ed in the Comprehensive Income and Expenditure Statement in relation to financial inst</w:t>
      </w:r>
      <w:r w:rsidR="00496E93" w:rsidRPr="000127EF">
        <w:t>ruments are made up as follows:</w:t>
      </w:r>
    </w:p>
    <w:tbl>
      <w:tblPr>
        <w:tblStyle w:val="TableGrid"/>
        <w:tblpPr w:leftFromText="180" w:rightFromText="180" w:vertAnchor="text" w:horzAnchor="margin" w:tblpXSpec="center" w:tblpY="68"/>
        <w:tblOverlap w:val="never"/>
        <w:tblW w:w="9067"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2497"/>
        <w:gridCol w:w="3849"/>
        <w:gridCol w:w="2721"/>
      </w:tblGrid>
      <w:tr w:rsidR="00DB0A5F" w:rsidRPr="000127EF" w14:paraId="24233D07" w14:textId="77777777" w:rsidTr="00DB0A5F">
        <w:trPr>
          <w:trHeight w:val="283"/>
        </w:trPr>
        <w:tc>
          <w:tcPr>
            <w:tcW w:w="9067" w:type="dxa"/>
            <w:gridSpan w:val="3"/>
            <w:tcBorders>
              <w:top w:val="single" w:sz="18" w:space="0" w:color="C5E0B3" w:themeColor="accent6" w:themeTint="66"/>
              <w:right w:val="single" w:sz="18" w:space="0" w:color="C5E0B3" w:themeColor="accent6" w:themeTint="66"/>
            </w:tcBorders>
          </w:tcPr>
          <w:p w14:paraId="52C384B6" w14:textId="77777777" w:rsidR="00DB0A5F" w:rsidRPr="00E51E22" w:rsidRDefault="00DB0A5F" w:rsidP="00DB0A5F">
            <w:pPr>
              <w:jc w:val="center"/>
              <w:rPr>
                <w:b/>
              </w:rPr>
            </w:pPr>
            <w:r w:rsidRPr="00E51E22">
              <w:rPr>
                <w:b/>
              </w:rPr>
              <w:t>Gains &amp; Losses Recognised in the Comprehensive Income &amp; Expenditure Statement</w:t>
            </w:r>
          </w:p>
          <w:p w14:paraId="33C83EF0" w14:textId="77777777" w:rsidR="00DB0A5F" w:rsidRPr="00E51E22" w:rsidRDefault="00DB0A5F" w:rsidP="00DB0A5F">
            <w:pPr>
              <w:rPr>
                <w:b/>
              </w:rPr>
            </w:pPr>
          </w:p>
        </w:tc>
      </w:tr>
      <w:tr w:rsidR="00EF32F9" w:rsidRPr="000127EF" w14:paraId="2A33C467" w14:textId="77777777" w:rsidTr="00DB0A5F">
        <w:trPr>
          <w:trHeight w:val="283"/>
        </w:trPr>
        <w:tc>
          <w:tcPr>
            <w:tcW w:w="2497" w:type="dxa"/>
            <w:tcBorders>
              <w:top w:val="single" w:sz="18" w:space="0" w:color="FFFFFF" w:themeColor="background1"/>
            </w:tcBorders>
          </w:tcPr>
          <w:p w14:paraId="6DAECDBB" w14:textId="38D83E3E" w:rsidR="00EF32F9" w:rsidRPr="00E51E22" w:rsidRDefault="00015B74" w:rsidP="00DB0A5F">
            <w:pPr>
              <w:jc w:val="center"/>
              <w:rPr>
                <w:b/>
                <w:i/>
              </w:rPr>
            </w:pPr>
            <w:r w:rsidRPr="00E51E22">
              <w:rPr>
                <w:b/>
                <w:i/>
              </w:rPr>
              <w:t>2018/19</w:t>
            </w:r>
          </w:p>
        </w:tc>
        <w:tc>
          <w:tcPr>
            <w:tcW w:w="6570" w:type="dxa"/>
            <w:gridSpan w:val="2"/>
            <w:tcBorders>
              <w:top w:val="single" w:sz="18" w:space="0" w:color="FFFFFF" w:themeColor="background1"/>
              <w:right w:val="single" w:sz="18" w:space="0" w:color="C5E0B3" w:themeColor="accent6" w:themeTint="66"/>
            </w:tcBorders>
            <w:vAlign w:val="center"/>
          </w:tcPr>
          <w:p w14:paraId="661762BC" w14:textId="44434C83" w:rsidR="00EF32F9" w:rsidRPr="00E51E22" w:rsidRDefault="006B51F2" w:rsidP="00DB0A5F">
            <w:pPr>
              <w:jc w:val="center"/>
              <w:rPr>
                <w:b/>
              </w:rPr>
            </w:pPr>
            <w:r w:rsidRPr="00E51E22">
              <w:rPr>
                <w:b/>
              </w:rPr>
              <w:t xml:space="preserve">                                                                   </w:t>
            </w:r>
            <w:r w:rsidR="00015B74" w:rsidRPr="00E51E22">
              <w:rPr>
                <w:b/>
              </w:rPr>
              <w:t>2019/20</w:t>
            </w:r>
          </w:p>
        </w:tc>
      </w:tr>
      <w:tr w:rsidR="00364CA5" w:rsidRPr="000127EF" w14:paraId="0FBDADFA" w14:textId="77777777" w:rsidTr="00DE1276">
        <w:trPr>
          <w:trHeight w:val="890"/>
        </w:trPr>
        <w:tc>
          <w:tcPr>
            <w:tcW w:w="2497" w:type="dxa"/>
            <w:shd w:val="clear" w:color="auto" w:fill="FFFFFF" w:themeFill="background1"/>
          </w:tcPr>
          <w:p w14:paraId="5429C252" w14:textId="54BA0C22" w:rsidR="00364CA5" w:rsidRPr="00E51E22" w:rsidRDefault="00364CA5" w:rsidP="00DB0A5F">
            <w:pPr>
              <w:jc w:val="center"/>
              <w:rPr>
                <w:b/>
                <w:i/>
              </w:rPr>
            </w:pPr>
            <w:r w:rsidRPr="00E51E22">
              <w:rPr>
                <w:b/>
                <w:i/>
              </w:rPr>
              <w:t>Surplus or Deficit on the Provision of Services</w:t>
            </w:r>
          </w:p>
        </w:tc>
        <w:tc>
          <w:tcPr>
            <w:tcW w:w="3849" w:type="dxa"/>
            <w:tcBorders>
              <w:right w:val="single" w:sz="18" w:space="0" w:color="FFFFFF" w:themeColor="background1"/>
            </w:tcBorders>
          </w:tcPr>
          <w:p w14:paraId="7B2104A8" w14:textId="6FD83302" w:rsidR="00364CA5" w:rsidRPr="00E51E22" w:rsidRDefault="00364CA5" w:rsidP="00DB0A5F">
            <w:pPr>
              <w:jc w:val="center"/>
              <w:rPr>
                <w:b/>
              </w:rPr>
            </w:pPr>
          </w:p>
        </w:tc>
        <w:tc>
          <w:tcPr>
            <w:tcW w:w="2721" w:type="dxa"/>
            <w:tcBorders>
              <w:left w:val="single" w:sz="18" w:space="0" w:color="FFFFFF" w:themeColor="background1"/>
              <w:right w:val="single" w:sz="18" w:space="0" w:color="C5E0B3" w:themeColor="accent6" w:themeTint="66"/>
            </w:tcBorders>
            <w:shd w:val="clear" w:color="auto" w:fill="C5E0B3" w:themeFill="accent6" w:themeFillTint="66"/>
          </w:tcPr>
          <w:p w14:paraId="256790EF" w14:textId="1B68A050" w:rsidR="00364CA5" w:rsidRPr="00E51E22" w:rsidRDefault="00364CA5" w:rsidP="00DB0A5F">
            <w:pPr>
              <w:jc w:val="center"/>
              <w:rPr>
                <w:b/>
              </w:rPr>
            </w:pPr>
            <w:r w:rsidRPr="00E51E22">
              <w:rPr>
                <w:b/>
              </w:rPr>
              <w:t>Surplus or Deficit on the Provision of Services</w:t>
            </w:r>
          </w:p>
        </w:tc>
      </w:tr>
      <w:tr w:rsidR="00364CA5" w:rsidRPr="000127EF" w14:paraId="0817B77B" w14:textId="77777777" w:rsidTr="00DE1276">
        <w:tc>
          <w:tcPr>
            <w:tcW w:w="2497" w:type="dxa"/>
            <w:shd w:val="clear" w:color="auto" w:fill="FFFFFF" w:themeFill="background1"/>
          </w:tcPr>
          <w:p w14:paraId="5611746F" w14:textId="18C637E6" w:rsidR="00364CA5" w:rsidRPr="00E51E22" w:rsidRDefault="00364CA5" w:rsidP="00DB0A5F">
            <w:pPr>
              <w:jc w:val="center"/>
              <w:rPr>
                <w:b/>
                <w:i/>
              </w:rPr>
            </w:pPr>
            <w:r w:rsidRPr="00E51E22">
              <w:rPr>
                <w:b/>
                <w:i/>
              </w:rPr>
              <w:t>£000</w:t>
            </w:r>
          </w:p>
        </w:tc>
        <w:tc>
          <w:tcPr>
            <w:tcW w:w="3849" w:type="dxa"/>
          </w:tcPr>
          <w:p w14:paraId="7AC81354" w14:textId="075B1E77" w:rsidR="00364CA5" w:rsidRPr="00E51E22" w:rsidRDefault="00364CA5" w:rsidP="00DB0A5F">
            <w:pPr>
              <w:jc w:val="center"/>
              <w:rPr>
                <w:b/>
              </w:rPr>
            </w:pPr>
            <w:r w:rsidRPr="00E51E22">
              <w:rPr>
                <w:b/>
              </w:rPr>
              <w:t>£000</w:t>
            </w:r>
          </w:p>
        </w:tc>
        <w:tc>
          <w:tcPr>
            <w:tcW w:w="2721" w:type="dxa"/>
            <w:shd w:val="clear" w:color="auto" w:fill="C5E0B3" w:themeFill="accent6" w:themeFillTint="66"/>
          </w:tcPr>
          <w:p w14:paraId="76D8B2A3" w14:textId="5EA8C517" w:rsidR="00364CA5" w:rsidRPr="00E51E22" w:rsidRDefault="00364CA5" w:rsidP="00DB0A5F">
            <w:pPr>
              <w:jc w:val="center"/>
              <w:rPr>
                <w:b/>
              </w:rPr>
            </w:pPr>
            <w:r w:rsidRPr="00E51E22">
              <w:rPr>
                <w:b/>
              </w:rPr>
              <w:t>£000</w:t>
            </w:r>
          </w:p>
        </w:tc>
      </w:tr>
      <w:tr w:rsidR="00015B74" w:rsidRPr="000127EF" w14:paraId="511D8299" w14:textId="77777777" w:rsidTr="00DE1276">
        <w:tc>
          <w:tcPr>
            <w:tcW w:w="2497" w:type="dxa"/>
            <w:tcBorders>
              <w:bottom w:val="single" w:sz="2" w:space="0" w:color="auto"/>
            </w:tcBorders>
            <w:shd w:val="clear" w:color="auto" w:fill="FFFFFF" w:themeFill="background1"/>
          </w:tcPr>
          <w:p w14:paraId="26B3B631" w14:textId="19C6E272" w:rsidR="00015B74" w:rsidRPr="00E51E22" w:rsidRDefault="00015B74" w:rsidP="00D2580B">
            <w:pPr>
              <w:jc w:val="center"/>
              <w:rPr>
                <w:rFonts w:cs="Arial"/>
                <w:i/>
                <w:szCs w:val="22"/>
                <w:lang w:val="en-US"/>
              </w:rPr>
            </w:pPr>
            <w:r w:rsidRPr="00E51E22">
              <w:rPr>
                <w:i/>
              </w:rPr>
              <w:t>(</w:t>
            </w:r>
            <w:r w:rsidR="00D2580B">
              <w:rPr>
                <w:i/>
              </w:rPr>
              <w:t>232</w:t>
            </w:r>
            <w:r w:rsidRPr="00E51E22">
              <w:rPr>
                <w:i/>
              </w:rPr>
              <w:t>)</w:t>
            </w:r>
          </w:p>
        </w:tc>
        <w:tc>
          <w:tcPr>
            <w:tcW w:w="3849" w:type="dxa"/>
            <w:tcBorders>
              <w:bottom w:val="nil"/>
            </w:tcBorders>
          </w:tcPr>
          <w:p w14:paraId="1FB3EFD4" w14:textId="7370C230" w:rsidR="00015B74" w:rsidRPr="00E51E22" w:rsidRDefault="00015B74" w:rsidP="00015B74">
            <w:pPr>
              <w:rPr>
                <w:rFonts w:cs="Arial"/>
                <w:szCs w:val="22"/>
                <w:lang w:val="en-US"/>
              </w:rPr>
            </w:pPr>
            <w:r w:rsidRPr="00E51E22">
              <w:rPr>
                <w:rFonts w:cs="Arial"/>
                <w:b/>
                <w:szCs w:val="22"/>
                <w:lang w:val="en-US"/>
              </w:rPr>
              <w:t>Interest Revenue</w:t>
            </w:r>
          </w:p>
        </w:tc>
        <w:tc>
          <w:tcPr>
            <w:tcW w:w="2721" w:type="dxa"/>
            <w:tcBorders>
              <w:bottom w:val="single" w:sz="4" w:space="0" w:color="auto"/>
            </w:tcBorders>
            <w:shd w:val="clear" w:color="auto" w:fill="C5E0B3" w:themeFill="accent6" w:themeFillTint="66"/>
          </w:tcPr>
          <w:p w14:paraId="192E497F" w14:textId="24D359EB" w:rsidR="00015B74" w:rsidRPr="00E51E22" w:rsidRDefault="00E51E22" w:rsidP="00015B74">
            <w:pPr>
              <w:jc w:val="center"/>
            </w:pPr>
            <w:r w:rsidRPr="00E51E22">
              <w:t>(397)</w:t>
            </w:r>
          </w:p>
        </w:tc>
      </w:tr>
      <w:tr w:rsidR="00015B74" w:rsidRPr="000127EF" w14:paraId="2C57630B" w14:textId="77777777" w:rsidTr="00DE1276">
        <w:tc>
          <w:tcPr>
            <w:tcW w:w="2497" w:type="dxa"/>
            <w:tcBorders>
              <w:top w:val="single" w:sz="2" w:space="0" w:color="auto"/>
              <w:bottom w:val="single" w:sz="2" w:space="0" w:color="auto"/>
            </w:tcBorders>
            <w:shd w:val="clear" w:color="auto" w:fill="FFFFFF" w:themeFill="background1"/>
            <w:vAlign w:val="center"/>
          </w:tcPr>
          <w:p w14:paraId="49A0EA9D" w14:textId="39F3BF2A" w:rsidR="00015B74" w:rsidRPr="00E51E22" w:rsidRDefault="00015B74" w:rsidP="00015B74">
            <w:pPr>
              <w:jc w:val="center"/>
              <w:rPr>
                <w:rFonts w:cs="Arial"/>
                <w:b/>
                <w:i/>
                <w:szCs w:val="22"/>
                <w:lang w:val="en-US"/>
              </w:rPr>
            </w:pPr>
            <w:r w:rsidRPr="00E51E22">
              <w:rPr>
                <w:b/>
                <w:i/>
              </w:rPr>
              <w:fldChar w:fldCharType="begin"/>
            </w:r>
            <w:r w:rsidRPr="00E51E22">
              <w:rPr>
                <w:b/>
                <w:i/>
              </w:rPr>
              <w:instrText xml:space="preserve"> =SUM(b4:b5) </w:instrText>
            </w:r>
            <w:r w:rsidRPr="00E51E22">
              <w:rPr>
                <w:b/>
                <w:i/>
              </w:rPr>
              <w:fldChar w:fldCharType="separate"/>
            </w:r>
            <w:r w:rsidRPr="00E51E22">
              <w:rPr>
                <w:b/>
                <w:i/>
                <w:noProof/>
              </w:rPr>
              <w:t>(312)</w:t>
            </w:r>
            <w:r w:rsidRPr="00E51E22">
              <w:rPr>
                <w:b/>
                <w:i/>
              </w:rPr>
              <w:fldChar w:fldCharType="end"/>
            </w:r>
          </w:p>
        </w:tc>
        <w:tc>
          <w:tcPr>
            <w:tcW w:w="3849" w:type="dxa"/>
            <w:tcBorders>
              <w:bottom w:val="nil"/>
            </w:tcBorders>
            <w:vAlign w:val="center"/>
          </w:tcPr>
          <w:p w14:paraId="74281353" w14:textId="0E03B79F" w:rsidR="00015B74" w:rsidRPr="00E51E22" w:rsidRDefault="00015B74" w:rsidP="00015B74">
            <w:pPr>
              <w:rPr>
                <w:rFonts w:cs="Arial"/>
                <w:szCs w:val="22"/>
                <w:lang w:val="en-US"/>
              </w:rPr>
            </w:pPr>
            <w:r w:rsidRPr="00E51E22">
              <w:rPr>
                <w:rFonts w:cs="Arial"/>
                <w:szCs w:val="22"/>
                <w:lang w:val="en-US"/>
              </w:rPr>
              <w:t>Total Interest Revenue</w:t>
            </w:r>
          </w:p>
        </w:tc>
        <w:tc>
          <w:tcPr>
            <w:tcW w:w="2721" w:type="dxa"/>
            <w:tcBorders>
              <w:top w:val="single" w:sz="4" w:space="0" w:color="auto"/>
              <w:bottom w:val="single" w:sz="4" w:space="0" w:color="auto"/>
            </w:tcBorders>
            <w:shd w:val="clear" w:color="auto" w:fill="C5E0B3" w:themeFill="accent6" w:themeFillTint="66"/>
            <w:vAlign w:val="center"/>
          </w:tcPr>
          <w:p w14:paraId="141C9389" w14:textId="6F37F42E" w:rsidR="00015B74" w:rsidRPr="00E51E22" w:rsidRDefault="00E51E22" w:rsidP="00015B74">
            <w:pPr>
              <w:jc w:val="center"/>
              <w:rPr>
                <w:b/>
              </w:rPr>
            </w:pPr>
            <w:r w:rsidRPr="00E51E22">
              <w:rPr>
                <w:b/>
              </w:rPr>
              <w:t>(397)</w:t>
            </w:r>
          </w:p>
        </w:tc>
      </w:tr>
      <w:tr w:rsidR="00015B74" w:rsidRPr="000127EF" w14:paraId="17B152CC" w14:textId="77777777" w:rsidTr="00DE1276">
        <w:tc>
          <w:tcPr>
            <w:tcW w:w="2497" w:type="dxa"/>
            <w:tcBorders>
              <w:top w:val="single" w:sz="2" w:space="0" w:color="auto"/>
              <w:bottom w:val="nil"/>
            </w:tcBorders>
            <w:shd w:val="clear" w:color="auto" w:fill="FFFFFF" w:themeFill="background1"/>
          </w:tcPr>
          <w:p w14:paraId="11236D03" w14:textId="53103631" w:rsidR="00015B74" w:rsidRPr="00E51E22" w:rsidRDefault="00015B74" w:rsidP="00015B74">
            <w:pPr>
              <w:jc w:val="center"/>
              <w:rPr>
                <w:rFonts w:cs="Arial"/>
                <w:i/>
                <w:szCs w:val="22"/>
                <w:lang w:val="en-US"/>
              </w:rPr>
            </w:pPr>
          </w:p>
        </w:tc>
        <w:tc>
          <w:tcPr>
            <w:tcW w:w="3849" w:type="dxa"/>
            <w:tcBorders>
              <w:bottom w:val="nil"/>
            </w:tcBorders>
          </w:tcPr>
          <w:p w14:paraId="2F7F66F4" w14:textId="3D556C2A" w:rsidR="00015B74" w:rsidRPr="00E51E22" w:rsidRDefault="00015B74" w:rsidP="00015B74">
            <w:pPr>
              <w:rPr>
                <w:rFonts w:cs="Arial"/>
                <w:szCs w:val="22"/>
                <w:lang w:val="en-US"/>
              </w:rPr>
            </w:pPr>
          </w:p>
        </w:tc>
        <w:tc>
          <w:tcPr>
            <w:tcW w:w="2721" w:type="dxa"/>
            <w:tcBorders>
              <w:top w:val="single" w:sz="4" w:space="0" w:color="auto"/>
              <w:bottom w:val="nil"/>
            </w:tcBorders>
            <w:shd w:val="clear" w:color="auto" w:fill="C5E0B3" w:themeFill="accent6" w:themeFillTint="66"/>
          </w:tcPr>
          <w:p w14:paraId="78DAAEC6" w14:textId="62859B3F" w:rsidR="00015B74" w:rsidRPr="00E51E22" w:rsidRDefault="00015B74" w:rsidP="00015B74">
            <w:pPr>
              <w:jc w:val="center"/>
            </w:pPr>
          </w:p>
        </w:tc>
      </w:tr>
      <w:tr w:rsidR="00015B74" w:rsidRPr="000127EF" w14:paraId="0A646861" w14:textId="77777777" w:rsidTr="00DE1276">
        <w:tc>
          <w:tcPr>
            <w:tcW w:w="2497" w:type="dxa"/>
            <w:tcBorders>
              <w:bottom w:val="single" w:sz="2" w:space="0" w:color="auto"/>
            </w:tcBorders>
            <w:shd w:val="clear" w:color="auto" w:fill="FFFFFF" w:themeFill="background1"/>
            <w:vAlign w:val="center"/>
          </w:tcPr>
          <w:p w14:paraId="55AE031E" w14:textId="3F4888D9" w:rsidR="00015B74" w:rsidRPr="00E51E22" w:rsidRDefault="00015B74" w:rsidP="00015B74">
            <w:pPr>
              <w:jc w:val="center"/>
              <w:rPr>
                <w:i/>
              </w:rPr>
            </w:pPr>
            <w:r w:rsidRPr="00E51E22">
              <w:rPr>
                <w:b/>
                <w:i/>
              </w:rPr>
              <w:t>1,049</w:t>
            </w:r>
          </w:p>
        </w:tc>
        <w:tc>
          <w:tcPr>
            <w:tcW w:w="3849" w:type="dxa"/>
            <w:tcBorders>
              <w:bottom w:val="nil"/>
            </w:tcBorders>
            <w:vAlign w:val="center"/>
          </w:tcPr>
          <w:p w14:paraId="22E58332" w14:textId="09E55466" w:rsidR="00015B74" w:rsidRPr="00E51E22" w:rsidRDefault="00015B74" w:rsidP="00015B74">
            <w:r w:rsidRPr="00E51E22">
              <w:t>Interest Expense</w:t>
            </w:r>
          </w:p>
        </w:tc>
        <w:tc>
          <w:tcPr>
            <w:tcW w:w="2721" w:type="dxa"/>
            <w:tcBorders>
              <w:top w:val="nil"/>
              <w:bottom w:val="single" w:sz="4" w:space="0" w:color="auto"/>
            </w:tcBorders>
            <w:shd w:val="clear" w:color="auto" w:fill="C5E0B3" w:themeFill="accent6" w:themeFillTint="66"/>
            <w:vAlign w:val="center"/>
          </w:tcPr>
          <w:p w14:paraId="770986AF" w14:textId="2C5593EB" w:rsidR="00015B74" w:rsidRPr="00E51E22" w:rsidRDefault="00E51E22" w:rsidP="00015B74">
            <w:pPr>
              <w:jc w:val="center"/>
              <w:rPr>
                <w:b/>
              </w:rPr>
            </w:pPr>
            <w:r w:rsidRPr="00E51E22">
              <w:rPr>
                <w:b/>
              </w:rPr>
              <w:t>1,049</w:t>
            </w:r>
          </w:p>
        </w:tc>
      </w:tr>
      <w:tr w:rsidR="00015B74" w:rsidRPr="000127EF" w14:paraId="1D15C344" w14:textId="77777777" w:rsidTr="00DE1276">
        <w:tc>
          <w:tcPr>
            <w:tcW w:w="2497" w:type="dxa"/>
            <w:tcBorders>
              <w:top w:val="single" w:sz="2" w:space="0" w:color="auto"/>
              <w:bottom w:val="single" w:sz="2" w:space="0" w:color="auto"/>
            </w:tcBorders>
            <w:shd w:val="clear" w:color="auto" w:fill="FFFFFF" w:themeFill="background1"/>
            <w:vAlign w:val="center"/>
          </w:tcPr>
          <w:p w14:paraId="7FCD66C6" w14:textId="69A5F507" w:rsidR="00015B74" w:rsidRPr="00E51E22" w:rsidRDefault="00015B74" w:rsidP="00015B74">
            <w:pPr>
              <w:jc w:val="center"/>
              <w:rPr>
                <w:b/>
                <w:i/>
              </w:rPr>
            </w:pPr>
            <w:r w:rsidRPr="00E51E22">
              <w:rPr>
                <w:b/>
                <w:i/>
              </w:rPr>
              <w:fldChar w:fldCharType="begin"/>
            </w:r>
            <w:r w:rsidRPr="00E51E22">
              <w:rPr>
                <w:b/>
                <w:i/>
              </w:rPr>
              <w:instrText xml:space="preserve"> =SUM(b7:b8) </w:instrText>
            </w:r>
            <w:r w:rsidRPr="00E51E22">
              <w:rPr>
                <w:b/>
                <w:i/>
              </w:rPr>
              <w:fldChar w:fldCharType="separate"/>
            </w:r>
            <w:r w:rsidRPr="00E51E22">
              <w:rPr>
                <w:b/>
                <w:i/>
                <w:noProof/>
              </w:rPr>
              <w:t>1,049</w:t>
            </w:r>
            <w:r w:rsidRPr="00E51E22">
              <w:rPr>
                <w:b/>
                <w:i/>
              </w:rPr>
              <w:fldChar w:fldCharType="end"/>
            </w:r>
          </w:p>
        </w:tc>
        <w:tc>
          <w:tcPr>
            <w:tcW w:w="3849" w:type="dxa"/>
            <w:tcBorders>
              <w:bottom w:val="nil"/>
            </w:tcBorders>
            <w:vAlign w:val="center"/>
          </w:tcPr>
          <w:p w14:paraId="08C2132F" w14:textId="5C50ACDE" w:rsidR="00015B74" w:rsidRPr="00E51E22" w:rsidRDefault="00015B74" w:rsidP="00015B74">
            <w:r w:rsidRPr="00E51E22">
              <w:rPr>
                <w:b/>
              </w:rPr>
              <w:t>Total Expense in the Surplus/Deficit on the Provision of Services</w:t>
            </w:r>
          </w:p>
        </w:tc>
        <w:tc>
          <w:tcPr>
            <w:tcW w:w="2721" w:type="dxa"/>
            <w:tcBorders>
              <w:top w:val="single" w:sz="4" w:space="0" w:color="auto"/>
              <w:bottom w:val="single" w:sz="4" w:space="0" w:color="auto"/>
            </w:tcBorders>
            <w:shd w:val="clear" w:color="auto" w:fill="C5E0B3" w:themeFill="accent6" w:themeFillTint="66"/>
            <w:vAlign w:val="center"/>
          </w:tcPr>
          <w:p w14:paraId="3F603C0C" w14:textId="3699AAD1" w:rsidR="00015B74" w:rsidRPr="00E51E22" w:rsidRDefault="00E51E22" w:rsidP="00015B74">
            <w:pPr>
              <w:jc w:val="center"/>
              <w:rPr>
                <w:b/>
              </w:rPr>
            </w:pPr>
            <w:r w:rsidRPr="00E51E22">
              <w:rPr>
                <w:b/>
              </w:rPr>
              <w:t>1,049</w:t>
            </w:r>
          </w:p>
        </w:tc>
      </w:tr>
      <w:tr w:rsidR="00364CA5" w:rsidRPr="000127EF" w14:paraId="589B2B05" w14:textId="77777777" w:rsidTr="00BA5AAE">
        <w:trPr>
          <w:trHeight w:hRule="exact" w:val="142"/>
        </w:trPr>
        <w:tc>
          <w:tcPr>
            <w:tcW w:w="2497" w:type="dxa"/>
            <w:tcBorders>
              <w:top w:val="single" w:sz="2" w:space="0" w:color="auto"/>
            </w:tcBorders>
          </w:tcPr>
          <w:p w14:paraId="670C2C52" w14:textId="77777777" w:rsidR="00364CA5" w:rsidRPr="00E51E22" w:rsidRDefault="00364CA5" w:rsidP="00DB0A5F">
            <w:pPr>
              <w:jc w:val="both"/>
            </w:pPr>
          </w:p>
        </w:tc>
        <w:tc>
          <w:tcPr>
            <w:tcW w:w="3849" w:type="dxa"/>
            <w:tcBorders>
              <w:top w:val="nil"/>
            </w:tcBorders>
          </w:tcPr>
          <w:p w14:paraId="66F0C3DE" w14:textId="05ECC347" w:rsidR="00364CA5" w:rsidRPr="00E51E22" w:rsidRDefault="00364CA5" w:rsidP="00DB0A5F">
            <w:pPr>
              <w:jc w:val="both"/>
            </w:pPr>
          </w:p>
        </w:tc>
        <w:tc>
          <w:tcPr>
            <w:tcW w:w="2721" w:type="dxa"/>
            <w:tcBorders>
              <w:top w:val="single" w:sz="4" w:space="0" w:color="auto"/>
            </w:tcBorders>
          </w:tcPr>
          <w:p w14:paraId="2C539DD1" w14:textId="77777777" w:rsidR="00364CA5" w:rsidRPr="00E51E22" w:rsidRDefault="00364CA5" w:rsidP="00DB0A5F">
            <w:pPr>
              <w:jc w:val="right"/>
            </w:pPr>
          </w:p>
        </w:tc>
      </w:tr>
    </w:tbl>
    <w:p w14:paraId="1A500227" w14:textId="6AC9B03D" w:rsidR="00586193" w:rsidRPr="000127EF" w:rsidRDefault="002334C5" w:rsidP="00CE0021">
      <w:pPr>
        <w:spacing w:before="240" w:after="120"/>
      </w:pPr>
      <w:r w:rsidRPr="000127EF">
        <w:t xml:space="preserve"> </w:t>
      </w:r>
    </w:p>
    <w:p w14:paraId="29C5F15D" w14:textId="3AEF3272" w:rsidR="00AE5580" w:rsidRPr="000127EF" w:rsidRDefault="00AE5580" w:rsidP="00CE0021">
      <w:pPr>
        <w:spacing w:before="240" w:after="120"/>
      </w:pPr>
      <w:r w:rsidRPr="000127EF">
        <w:lastRenderedPageBreak/>
        <w:t>All financial liabilities and financial assets represented by amortised cost and long-term debtors and creditors are carried on the balance sheet at amortised cost.  Their fair value can be assessed by calculating the present value of the cash flows that take place over the remaining life of the instruments, using the following assumptions:</w:t>
      </w:r>
    </w:p>
    <w:p w14:paraId="056F08B3" w14:textId="7D18BF67" w:rsidR="00AE5580" w:rsidRPr="000127EF" w:rsidRDefault="00AE5580" w:rsidP="00203885">
      <w:pPr>
        <w:pStyle w:val="ListParagraph"/>
        <w:numPr>
          <w:ilvl w:val="0"/>
          <w:numId w:val="24"/>
        </w:numPr>
        <w:spacing w:before="240" w:after="120"/>
      </w:pPr>
      <w:r w:rsidRPr="000127EF">
        <w:t>For loans from the PWLB payable, PWLB prevailing market rates have been applied to provide the fair value under PWLB debt redemption procedures.</w:t>
      </w:r>
    </w:p>
    <w:p w14:paraId="3973D83E" w14:textId="52F1E3B2" w:rsidR="00AE5580" w:rsidRPr="000127EF" w:rsidRDefault="00AE5580" w:rsidP="00203885">
      <w:pPr>
        <w:pStyle w:val="ListParagraph"/>
        <w:numPr>
          <w:ilvl w:val="0"/>
          <w:numId w:val="24"/>
        </w:numPr>
        <w:spacing w:before="240" w:after="120"/>
      </w:pPr>
      <w:r w:rsidRPr="000127EF">
        <w:t>For non-PWLB loans payable, PWLB prevailing market rates have been applied to provide the fair value under PWLB debt redemption procedures;</w:t>
      </w:r>
    </w:p>
    <w:p w14:paraId="24B8F497" w14:textId="4721AB6D" w:rsidR="00AE5580" w:rsidRPr="000127EF" w:rsidRDefault="00AE5580" w:rsidP="00203885">
      <w:pPr>
        <w:pStyle w:val="ListParagraph"/>
        <w:numPr>
          <w:ilvl w:val="0"/>
          <w:numId w:val="24"/>
        </w:numPr>
        <w:spacing w:before="240" w:after="120"/>
      </w:pPr>
      <w:r w:rsidRPr="000127EF">
        <w:t>Where an instrument has a maturity of less than 12 months or is a trade or other receivable the fair value is taken to be the carrying amount or the billed amount;</w:t>
      </w:r>
    </w:p>
    <w:p w14:paraId="294957BD" w14:textId="0A6F4D11" w:rsidR="002334C5" w:rsidRPr="000127EF" w:rsidRDefault="002334C5" w:rsidP="00CE0021">
      <w:pPr>
        <w:spacing w:before="240" w:after="120"/>
      </w:pPr>
      <w:r w:rsidRPr="000127EF">
        <w:t xml:space="preserve"> The fair values </w:t>
      </w:r>
      <w:r w:rsidR="00270864" w:rsidRPr="000127EF">
        <w:t xml:space="preserve">of financial instruments are </w:t>
      </w:r>
      <w:r w:rsidRPr="000127EF">
        <w:t>calculated as follows:</w:t>
      </w:r>
    </w:p>
    <w:tbl>
      <w:tblPr>
        <w:tblStyle w:val="TableGrid"/>
        <w:tblW w:w="8624"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354"/>
        <w:gridCol w:w="1161"/>
        <w:gridCol w:w="3617"/>
        <w:gridCol w:w="1176"/>
        <w:gridCol w:w="1316"/>
      </w:tblGrid>
      <w:tr w:rsidR="002334C5" w:rsidRPr="000127EF" w14:paraId="4BDFB149" w14:textId="77777777" w:rsidTr="007D099E">
        <w:trPr>
          <w:trHeight w:val="283"/>
          <w:jc w:val="center"/>
        </w:trPr>
        <w:tc>
          <w:tcPr>
            <w:tcW w:w="2515" w:type="dxa"/>
            <w:gridSpan w:val="2"/>
            <w:tcBorders>
              <w:top w:val="single" w:sz="18" w:space="0" w:color="A8D08D" w:themeColor="accent6" w:themeTint="99"/>
            </w:tcBorders>
          </w:tcPr>
          <w:p w14:paraId="7DB7C1A7" w14:textId="6770E784" w:rsidR="002334C5" w:rsidRPr="000127EF" w:rsidRDefault="00590A87" w:rsidP="003261D4">
            <w:pPr>
              <w:jc w:val="center"/>
              <w:rPr>
                <w:b/>
                <w:i/>
              </w:rPr>
            </w:pPr>
            <w:r w:rsidRPr="000127EF">
              <w:rPr>
                <w:b/>
                <w:i/>
              </w:rPr>
              <w:t>201</w:t>
            </w:r>
            <w:r w:rsidR="00015B74">
              <w:rPr>
                <w:b/>
                <w:i/>
              </w:rPr>
              <w:t>8/19</w:t>
            </w:r>
          </w:p>
        </w:tc>
        <w:tc>
          <w:tcPr>
            <w:tcW w:w="3617" w:type="dxa"/>
            <w:vMerge w:val="restart"/>
            <w:tcBorders>
              <w:top w:val="single" w:sz="18" w:space="0" w:color="A8D08D" w:themeColor="accent6" w:themeTint="99"/>
            </w:tcBorders>
            <w:vAlign w:val="center"/>
          </w:tcPr>
          <w:p w14:paraId="0D8D1543" w14:textId="77777777" w:rsidR="002334C5" w:rsidRPr="000127EF" w:rsidRDefault="002334C5" w:rsidP="009E51A5">
            <w:pPr>
              <w:jc w:val="center"/>
              <w:rPr>
                <w:b/>
              </w:rPr>
            </w:pPr>
            <w:r w:rsidRPr="000127EF">
              <w:rPr>
                <w:b/>
              </w:rPr>
              <w:t>Fair Value of Financial Instruments</w:t>
            </w:r>
          </w:p>
        </w:tc>
        <w:tc>
          <w:tcPr>
            <w:tcW w:w="2492" w:type="dxa"/>
            <w:gridSpan w:val="2"/>
            <w:tcBorders>
              <w:top w:val="single" w:sz="18" w:space="0" w:color="A8D08D" w:themeColor="accent6" w:themeTint="99"/>
            </w:tcBorders>
          </w:tcPr>
          <w:p w14:paraId="78756CE6" w14:textId="3D54E8CB" w:rsidR="002334C5" w:rsidRPr="00417E30" w:rsidRDefault="00015B74" w:rsidP="003261D4">
            <w:pPr>
              <w:jc w:val="center"/>
              <w:rPr>
                <w:b/>
              </w:rPr>
            </w:pPr>
            <w:r w:rsidRPr="00417E30">
              <w:rPr>
                <w:b/>
              </w:rPr>
              <w:t>2019/20</w:t>
            </w:r>
          </w:p>
        </w:tc>
      </w:tr>
      <w:tr w:rsidR="002334C5" w:rsidRPr="000127EF" w14:paraId="05A2F6E9" w14:textId="77777777" w:rsidTr="008F2EA1">
        <w:trPr>
          <w:trHeight w:val="618"/>
          <w:jc w:val="center"/>
        </w:trPr>
        <w:tc>
          <w:tcPr>
            <w:tcW w:w="1354" w:type="dxa"/>
            <w:vAlign w:val="center"/>
          </w:tcPr>
          <w:p w14:paraId="5FA10F90" w14:textId="77777777" w:rsidR="002334C5" w:rsidRPr="000127EF" w:rsidRDefault="002334C5" w:rsidP="008F2EA1">
            <w:pPr>
              <w:jc w:val="center"/>
              <w:rPr>
                <w:b/>
                <w:i/>
              </w:rPr>
            </w:pPr>
            <w:r w:rsidRPr="000127EF">
              <w:rPr>
                <w:b/>
                <w:i/>
              </w:rPr>
              <w:t>Carrying Amount</w:t>
            </w:r>
          </w:p>
        </w:tc>
        <w:tc>
          <w:tcPr>
            <w:tcW w:w="1161" w:type="dxa"/>
            <w:vAlign w:val="center"/>
          </w:tcPr>
          <w:p w14:paraId="40DF038B" w14:textId="77777777" w:rsidR="002334C5" w:rsidRPr="000127EF" w:rsidRDefault="002334C5" w:rsidP="008F2EA1">
            <w:pPr>
              <w:jc w:val="center"/>
              <w:rPr>
                <w:b/>
                <w:i/>
              </w:rPr>
            </w:pPr>
            <w:r w:rsidRPr="000127EF">
              <w:rPr>
                <w:b/>
                <w:i/>
              </w:rPr>
              <w:t>Fair Value</w:t>
            </w:r>
          </w:p>
        </w:tc>
        <w:tc>
          <w:tcPr>
            <w:tcW w:w="3617" w:type="dxa"/>
            <w:vMerge/>
          </w:tcPr>
          <w:p w14:paraId="4697CB7B" w14:textId="77777777" w:rsidR="002334C5" w:rsidRPr="000127EF" w:rsidRDefault="002334C5" w:rsidP="009E51A5">
            <w:pPr>
              <w:jc w:val="center"/>
              <w:rPr>
                <w:b/>
              </w:rPr>
            </w:pPr>
          </w:p>
        </w:tc>
        <w:tc>
          <w:tcPr>
            <w:tcW w:w="1176" w:type="dxa"/>
            <w:shd w:val="clear" w:color="auto" w:fill="C5E0B3" w:themeFill="accent6" w:themeFillTint="66"/>
            <w:vAlign w:val="center"/>
          </w:tcPr>
          <w:p w14:paraId="4865FB4F" w14:textId="77777777" w:rsidR="002334C5" w:rsidRPr="00417E30" w:rsidRDefault="00DA3F65" w:rsidP="008F2EA1">
            <w:pPr>
              <w:jc w:val="center"/>
              <w:rPr>
                <w:b/>
              </w:rPr>
            </w:pPr>
            <w:r w:rsidRPr="00417E30">
              <w:rPr>
                <w:b/>
              </w:rPr>
              <w:t>Carrying Amount</w:t>
            </w:r>
          </w:p>
        </w:tc>
        <w:tc>
          <w:tcPr>
            <w:tcW w:w="1316" w:type="dxa"/>
            <w:shd w:val="clear" w:color="auto" w:fill="C5E0B3" w:themeFill="accent6" w:themeFillTint="66"/>
            <w:vAlign w:val="center"/>
          </w:tcPr>
          <w:p w14:paraId="0B66E66F" w14:textId="77777777" w:rsidR="002334C5" w:rsidRPr="00417E30" w:rsidRDefault="00DA3F65" w:rsidP="008F2EA1">
            <w:pPr>
              <w:jc w:val="center"/>
              <w:rPr>
                <w:b/>
              </w:rPr>
            </w:pPr>
            <w:r w:rsidRPr="00417E30">
              <w:rPr>
                <w:b/>
              </w:rPr>
              <w:t>Fair Value</w:t>
            </w:r>
          </w:p>
        </w:tc>
      </w:tr>
      <w:tr w:rsidR="002334C5" w:rsidRPr="000127EF" w14:paraId="60FE3EBA" w14:textId="77777777" w:rsidTr="002334C5">
        <w:trPr>
          <w:jc w:val="center"/>
        </w:trPr>
        <w:tc>
          <w:tcPr>
            <w:tcW w:w="1354" w:type="dxa"/>
          </w:tcPr>
          <w:p w14:paraId="57E7002A" w14:textId="77777777" w:rsidR="002334C5" w:rsidRPr="000127EF" w:rsidRDefault="002334C5" w:rsidP="009E51A5">
            <w:pPr>
              <w:jc w:val="center"/>
              <w:rPr>
                <w:b/>
                <w:i/>
              </w:rPr>
            </w:pPr>
            <w:r w:rsidRPr="000127EF">
              <w:rPr>
                <w:b/>
                <w:i/>
              </w:rPr>
              <w:t>£000</w:t>
            </w:r>
          </w:p>
        </w:tc>
        <w:tc>
          <w:tcPr>
            <w:tcW w:w="1161" w:type="dxa"/>
          </w:tcPr>
          <w:p w14:paraId="53FE3BF3" w14:textId="77777777" w:rsidR="002334C5" w:rsidRPr="000127EF" w:rsidRDefault="002334C5" w:rsidP="009E51A5">
            <w:pPr>
              <w:jc w:val="center"/>
              <w:rPr>
                <w:b/>
                <w:i/>
              </w:rPr>
            </w:pPr>
            <w:r w:rsidRPr="000127EF">
              <w:rPr>
                <w:b/>
                <w:i/>
              </w:rPr>
              <w:t>£000</w:t>
            </w:r>
          </w:p>
        </w:tc>
        <w:tc>
          <w:tcPr>
            <w:tcW w:w="3617" w:type="dxa"/>
          </w:tcPr>
          <w:p w14:paraId="5B4EBA4F" w14:textId="77777777" w:rsidR="002334C5" w:rsidRPr="000127EF" w:rsidRDefault="002334C5" w:rsidP="009E51A5">
            <w:pPr>
              <w:jc w:val="center"/>
              <w:rPr>
                <w:b/>
              </w:rPr>
            </w:pPr>
          </w:p>
        </w:tc>
        <w:tc>
          <w:tcPr>
            <w:tcW w:w="1176" w:type="dxa"/>
            <w:shd w:val="clear" w:color="auto" w:fill="C5E0B3" w:themeFill="accent6" w:themeFillTint="66"/>
          </w:tcPr>
          <w:p w14:paraId="764E4B27" w14:textId="77777777" w:rsidR="002334C5" w:rsidRPr="00417E30" w:rsidRDefault="002334C5" w:rsidP="009E51A5">
            <w:pPr>
              <w:jc w:val="center"/>
              <w:rPr>
                <w:b/>
              </w:rPr>
            </w:pPr>
            <w:r w:rsidRPr="00417E30">
              <w:rPr>
                <w:b/>
              </w:rPr>
              <w:t>£000</w:t>
            </w:r>
          </w:p>
        </w:tc>
        <w:tc>
          <w:tcPr>
            <w:tcW w:w="1316" w:type="dxa"/>
            <w:shd w:val="clear" w:color="auto" w:fill="C5E0B3" w:themeFill="accent6" w:themeFillTint="66"/>
          </w:tcPr>
          <w:p w14:paraId="34A60AEF" w14:textId="77777777" w:rsidR="002334C5" w:rsidRPr="00417E30" w:rsidRDefault="002334C5" w:rsidP="009E51A5">
            <w:pPr>
              <w:jc w:val="center"/>
              <w:rPr>
                <w:b/>
              </w:rPr>
            </w:pPr>
            <w:r w:rsidRPr="00417E30">
              <w:rPr>
                <w:b/>
              </w:rPr>
              <w:t>£000</w:t>
            </w:r>
          </w:p>
        </w:tc>
      </w:tr>
      <w:tr w:rsidR="00015B74" w:rsidRPr="000127EF" w14:paraId="2231081F" w14:textId="77777777" w:rsidTr="00E165AE">
        <w:trPr>
          <w:jc w:val="center"/>
        </w:trPr>
        <w:tc>
          <w:tcPr>
            <w:tcW w:w="1354" w:type="dxa"/>
          </w:tcPr>
          <w:p w14:paraId="14B93F7D" w14:textId="41AB00DC" w:rsidR="00015B74" w:rsidRPr="00015B74" w:rsidRDefault="00015B74" w:rsidP="00015B74">
            <w:pPr>
              <w:jc w:val="right"/>
              <w:rPr>
                <w:i/>
              </w:rPr>
            </w:pPr>
            <w:r w:rsidRPr="00015B74">
              <w:rPr>
                <w:i/>
              </w:rPr>
              <w:t>21,386</w:t>
            </w:r>
          </w:p>
        </w:tc>
        <w:tc>
          <w:tcPr>
            <w:tcW w:w="1161" w:type="dxa"/>
          </w:tcPr>
          <w:p w14:paraId="21C550B0" w14:textId="174E698C" w:rsidR="00015B74" w:rsidRPr="00015B74" w:rsidRDefault="00015B74" w:rsidP="00015B74">
            <w:pPr>
              <w:jc w:val="right"/>
              <w:rPr>
                <w:i/>
              </w:rPr>
            </w:pPr>
            <w:r w:rsidRPr="00015B74">
              <w:rPr>
                <w:i/>
              </w:rPr>
              <w:t>33,790</w:t>
            </w:r>
          </w:p>
        </w:tc>
        <w:tc>
          <w:tcPr>
            <w:tcW w:w="3617" w:type="dxa"/>
            <w:vAlign w:val="center"/>
          </w:tcPr>
          <w:p w14:paraId="29B54535" w14:textId="77777777" w:rsidR="00015B74" w:rsidRPr="000127EF" w:rsidRDefault="00015B74" w:rsidP="00015B74">
            <w:pPr>
              <w:rPr>
                <w:rFonts w:cs="Arial"/>
                <w:szCs w:val="22"/>
                <w:lang w:val="en-US"/>
              </w:rPr>
            </w:pPr>
            <w:r w:rsidRPr="000127EF">
              <w:rPr>
                <w:rFonts w:cs="Arial"/>
                <w:szCs w:val="22"/>
                <w:lang w:val="en-US"/>
              </w:rPr>
              <w:t>PWLB Debt</w:t>
            </w:r>
          </w:p>
        </w:tc>
        <w:tc>
          <w:tcPr>
            <w:tcW w:w="1176" w:type="dxa"/>
            <w:shd w:val="clear" w:color="auto" w:fill="C5E0B3" w:themeFill="accent6" w:themeFillTint="66"/>
          </w:tcPr>
          <w:p w14:paraId="2A2CD0DB" w14:textId="2C9A9508" w:rsidR="00015B74" w:rsidRPr="00417E30" w:rsidRDefault="00E51E22" w:rsidP="00015B74">
            <w:pPr>
              <w:jc w:val="right"/>
            </w:pPr>
            <w:r w:rsidRPr="00417E30">
              <w:t>21,386</w:t>
            </w:r>
          </w:p>
        </w:tc>
        <w:tc>
          <w:tcPr>
            <w:tcW w:w="1316" w:type="dxa"/>
            <w:shd w:val="clear" w:color="auto" w:fill="C5E0B3" w:themeFill="accent6" w:themeFillTint="66"/>
          </w:tcPr>
          <w:p w14:paraId="145529CB" w14:textId="71A25F2B" w:rsidR="00015B74" w:rsidRPr="00417E30" w:rsidRDefault="00E51E22" w:rsidP="00015B74">
            <w:pPr>
              <w:jc w:val="right"/>
            </w:pPr>
            <w:r w:rsidRPr="00417E30">
              <w:t>32,070</w:t>
            </w:r>
          </w:p>
        </w:tc>
      </w:tr>
      <w:tr w:rsidR="00015B74" w:rsidRPr="000127EF" w14:paraId="73DEC9D7" w14:textId="77777777" w:rsidTr="00B300F0">
        <w:trPr>
          <w:jc w:val="center"/>
        </w:trPr>
        <w:tc>
          <w:tcPr>
            <w:tcW w:w="1354" w:type="dxa"/>
            <w:tcBorders>
              <w:bottom w:val="single" w:sz="18" w:space="0" w:color="FFFFFF" w:themeColor="background1"/>
            </w:tcBorders>
          </w:tcPr>
          <w:p w14:paraId="4E1149A7" w14:textId="7F78824E" w:rsidR="00015B74" w:rsidRPr="00015B74" w:rsidRDefault="00015B74" w:rsidP="00015B74">
            <w:pPr>
              <w:jc w:val="right"/>
              <w:rPr>
                <w:i/>
              </w:rPr>
            </w:pPr>
            <w:r w:rsidRPr="00015B74">
              <w:rPr>
                <w:i/>
              </w:rPr>
              <w:t>924</w:t>
            </w:r>
          </w:p>
        </w:tc>
        <w:tc>
          <w:tcPr>
            <w:tcW w:w="1161" w:type="dxa"/>
            <w:tcBorders>
              <w:bottom w:val="single" w:sz="18" w:space="0" w:color="FFFFFF" w:themeColor="background1"/>
            </w:tcBorders>
          </w:tcPr>
          <w:p w14:paraId="084374F2" w14:textId="27339481" w:rsidR="00015B74" w:rsidRPr="00015B74" w:rsidRDefault="00015B74" w:rsidP="00015B74">
            <w:pPr>
              <w:jc w:val="right"/>
              <w:rPr>
                <w:i/>
              </w:rPr>
            </w:pPr>
            <w:r w:rsidRPr="00015B74">
              <w:rPr>
                <w:i/>
              </w:rPr>
              <w:t>935</w:t>
            </w:r>
          </w:p>
        </w:tc>
        <w:tc>
          <w:tcPr>
            <w:tcW w:w="3617" w:type="dxa"/>
            <w:tcBorders>
              <w:bottom w:val="nil"/>
            </w:tcBorders>
          </w:tcPr>
          <w:p w14:paraId="1EEA2342" w14:textId="77777777" w:rsidR="00015B74" w:rsidRPr="000127EF" w:rsidRDefault="00015B74" w:rsidP="00015B74">
            <w:pPr>
              <w:rPr>
                <w:rFonts w:cs="Arial"/>
                <w:szCs w:val="22"/>
                <w:lang w:val="en-US"/>
              </w:rPr>
            </w:pPr>
            <w:r w:rsidRPr="000127EF">
              <w:rPr>
                <w:rFonts w:cs="Arial"/>
                <w:szCs w:val="22"/>
                <w:lang w:val="en-US"/>
              </w:rPr>
              <w:t>Non PWLB Debt</w:t>
            </w:r>
          </w:p>
        </w:tc>
        <w:tc>
          <w:tcPr>
            <w:tcW w:w="1176" w:type="dxa"/>
            <w:tcBorders>
              <w:bottom w:val="single" w:sz="18" w:space="0" w:color="A8D08D" w:themeColor="accent6" w:themeTint="99"/>
            </w:tcBorders>
            <w:shd w:val="clear" w:color="auto" w:fill="C5E0B3" w:themeFill="accent6" w:themeFillTint="66"/>
          </w:tcPr>
          <w:p w14:paraId="17576F6C" w14:textId="7E66638B" w:rsidR="00015B74" w:rsidRPr="00417E30" w:rsidRDefault="00E51E22" w:rsidP="00015B74">
            <w:pPr>
              <w:jc w:val="right"/>
            </w:pPr>
            <w:r w:rsidRPr="00417E30">
              <w:t>840</w:t>
            </w:r>
          </w:p>
        </w:tc>
        <w:tc>
          <w:tcPr>
            <w:tcW w:w="1316" w:type="dxa"/>
            <w:tcBorders>
              <w:bottom w:val="single" w:sz="18" w:space="0" w:color="A8D08D" w:themeColor="accent6" w:themeTint="99"/>
            </w:tcBorders>
            <w:shd w:val="clear" w:color="auto" w:fill="C5E0B3" w:themeFill="accent6" w:themeFillTint="66"/>
          </w:tcPr>
          <w:p w14:paraId="105A50EA" w14:textId="6FEA5DF0" w:rsidR="00015B74" w:rsidRPr="00417E30" w:rsidRDefault="00E51E22" w:rsidP="00015B74">
            <w:pPr>
              <w:jc w:val="right"/>
            </w:pPr>
            <w:r w:rsidRPr="00417E30">
              <w:t>887</w:t>
            </w:r>
          </w:p>
        </w:tc>
      </w:tr>
      <w:tr w:rsidR="00015B74" w:rsidRPr="000127EF" w14:paraId="2ABD50D0" w14:textId="77777777" w:rsidTr="00B300F0">
        <w:trPr>
          <w:jc w:val="center"/>
        </w:trPr>
        <w:tc>
          <w:tcPr>
            <w:tcW w:w="1354" w:type="dxa"/>
            <w:tcBorders>
              <w:top w:val="single" w:sz="18" w:space="0" w:color="FFFFFF" w:themeColor="background1"/>
              <w:bottom w:val="single" w:sz="4" w:space="0" w:color="auto"/>
            </w:tcBorders>
          </w:tcPr>
          <w:p w14:paraId="46840975" w14:textId="025BECFE" w:rsidR="00015B74" w:rsidRPr="00015B74" w:rsidRDefault="00015B74" w:rsidP="00015B74">
            <w:pPr>
              <w:jc w:val="right"/>
              <w:rPr>
                <w:i/>
              </w:rPr>
            </w:pPr>
            <w:r w:rsidRPr="00015B74">
              <w:rPr>
                <w:i/>
              </w:rPr>
              <w:t>2,814</w:t>
            </w:r>
          </w:p>
        </w:tc>
        <w:tc>
          <w:tcPr>
            <w:tcW w:w="1161" w:type="dxa"/>
            <w:tcBorders>
              <w:top w:val="single" w:sz="18" w:space="0" w:color="FFFFFF" w:themeColor="background1"/>
              <w:bottom w:val="single" w:sz="4" w:space="0" w:color="auto"/>
            </w:tcBorders>
          </w:tcPr>
          <w:p w14:paraId="526B9A9B" w14:textId="5028AF1A" w:rsidR="00015B74" w:rsidRPr="00015B74" w:rsidRDefault="00015B74" w:rsidP="00015B74">
            <w:pPr>
              <w:jc w:val="right"/>
              <w:rPr>
                <w:rFonts w:cs="Arial"/>
                <w:i/>
                <w:szCs w:val="22"/>
                <w:lang w:val="en-US"/>
              </w:rPr>
            </w:pPr>
            <w:r w:rsidRPr="00015B74">
              <w:rPr>
                <w:i/>
              </w:rPr>
              <w:t>2,814</w:t>
            </w:r>
          </w:p>
        </w:tc>
        <w:tc>
          <w:tcPr>
            <w:tcW w:w="3617" w:type="dxa"/>
            <w:tcBorders>
              <w:bottom w:val="nil"/>
            </w:tcBorders>
          </w:tcPr>
          <w:p w14:paraId="051702A1" w14:textId="4CC16A77" w:rsidR="00015B74" w:rsidRPr="000127EF" w:rsidRDefault="00015B74" w:rsidP="00015B74">
            <w:pPr>
              <w:rPr>
                <w:rFonts w:cs="Arial"/>
                <w:szCs w:val="22"/>
                <w:lang w:val="en-US"/>
              </w:rPr>
            </w:pPr>
            <w:r w:rsidRPr="000127EF">
              <w:rPr>
                <w:rFonts w:cs="Arial"/>
                <w:szCs w:val="22"/>
                <w:lang w:val="en-US"/>
              </w:rPr>
              <w:t>Short Term Creditors</w:t>
            </w:r>
          </w:p>
        </w:tc>
        <w:tc>
          <w:tcPr>
            <w:tcW w:w="1176" w:type="dxa"/>
            <w:tcBorders>
              <w:top w:val="single" w:sz="18" w:space="0" w:color="A8D08D" w:themeColor="accent6" w:themeTint="99"/>
              <w:bottom w:val="single" w:sz="4" w:space="0" w:color="auto"/>
            </w:tcBorders>
            <w:shd w:val="clear" w:color="auto" w:fill="C5E0B3" w:themeFill="accent6" w:themeFillTint="66"/>
          </w:tcPr>
          <w:p w14:paraId="5ECC978E" w14:textId="3B1128E3" w:rsidR="00015B74" w:rsidRPr="00417E30" w:rsidRDefault="00E51E22" w:rsidP="00015B74">
            <w:pPr>
              <w:jc w:val="right"/>
            </w:pPr>
            <w:r w:rsidRPr="00417E30">
              <w:t>2,300</w:t>
            </w:r>
          </w:p>
        </w:tc>
        <w:tc>
          <w:tcPr>
            <w:tcW w:w="1316" w:type="dxa"/>
            <w:tcBorders>
              <w:top w:val="single" w:sz="18" w:space="0" w:color="A8D08D" w:themeColor="accent6" w:themeTint="99"/>
              <w:bottom w:val="single" w:sz="4" w:space="0" w:color="auto"/>
            </w:tcBorders>
            <w:shd w:val="clear" w:color="auto" w:fill="C5E0B3" w:themeFill="accent6" w:themeFillTint="66"/>
          </w:tcPr>
          <w:p w14:paraId="69DEFDD9" w14:textId="2ED0826B" w:rsidR="00015B74" w:rsidRPr="00417E30" w:rsidRDefault="00E51E22" w:rsidP="00015B74">
            <w:pPr>
              <w:jc w:val="right"/>
            </w:pPr>
            <w:r w:rsidRPr="00417E30">
              <w:t>2,300</w:t>
            </w:r>
          </w:p>
        </w:tc>
      </w:tr>
      <w:tr w:rsidR="00015B74" w:rsidRPr="000127EF" w14:paraId="16CA5AE4" w14:textId="77777777" w:rsidTr="00E165AE">
        <w:trPr>
          <w:jc w:val="center"/>
        </w:trPr>
        <w:tc>
          <w:tcPr>
            <w:tcW w:w="1354" w:type="dxa"/>
            <w:tcBorders>
              <w:top w:val="single" w:sz="4" w:space="0" w:color="auto"/>
              <w:bottom w:val="single" w:sz="4" w:space="0" w:color="auto"/>
            </w:tcBorders>
          </w:tcPr>
          <w:p w14:paraId="3BD21361" w14:textId="78F481E8" w:rsidR="00015B74" w:rsidRPr="00015B74" w:rsidRDefault="00015B74" w:rsidP="00015B74">
            <w:pPr>
              <w:jc w:val="right"/>
              <w:rPr>
                <w:b/>
                <w:i/>
              </w:rPr>
            </w:pPr>
            <w:r w:rsidRPr="00015B74">
              <w:rPr>
                <w:b/>
                <w:i/>
              </w:rPr>
              <w:fldChar w:fldCharType="begin"/>
            </w:r>
            <w:r w:rsidRPr="00015B74">
              <w:rPr>
                <w:b/>
                <w:i/>
              </w:rPr>
              <w:instrText xml:space="preserve"> =SUM(d4:d6) </w:instrText>
            </w:r>
            <w:r w:rsidRPr="00015B74">
              <w:rPr>
                <w:b/>
                <w:i/>
              </w:rPr>
              <w:fldChar w:fldCharType="separate"/>
            </w:r>
            <w:r w:rsidRPr="00015B74">
              <w:rPr>
                <w:b/>
                <w:i/>
                <w:noProof/>
              </w:rPr>
              <w:t>25,124</w:t>
            </w:r>
            <w:r w:rsidRPr="00015B74">
              <w:rPr>
                <w:b/>
                <w:i/>
              </w:rPr>
              <w:fldChar w:fldCharType="end"/>
            </w:r>
          </w:p>
        </w:tc>
        <w:tc>
          <w:tcPr>
            <w:tcW w:w="1161" w:type="dxa"/>
            <w:tcBorders>
              <w:top w:val="single" w:sz="4" w:space="0" w:color="auto"/>
              <w:bottom w:val="single" w:sz="4" w:space="0" w:color="auto"/>
            </w:tcBorders>
          </w:tcPr>
          <w:p w14:paraId="053E4596" w14:textId="4E09D54F" w:rsidR="00015B74" w:rsidRPr="00015B74" w:rsidRDefault="00015B74" w:rsidP="00015B74">
            <w:pPr>
              <w:jc w:val="right"/>
              <w:rPr>
                <w:b/>
                <w:i/>
              </w:rPr>
            </w:pPr>
            <w:r w:rsidRPr="00015B74">
              <w:rPr>
                <w:b/>
                <w:i/>
              </w:rPr>
              <w:fldChar w:fldCharType="begin"/>
            </w:r>
            <w:r w:rsidRPr="00015B74">
              <w:rPr>
                <w:b/>
                <w:i/>
              </w:rPr>
              <w:instrText xml:space="preserve"> =SUM(e4:e6) </w:instrText>
            </w:r>
            <w:r w:rsidRPr="00015B74">
              <w:rPr>
                <w:b/>
                <w:i/>
              </w:rPr>
              <w:fldChar w:fldCharType="separate"/>
            </w:r>
            <w:r w:rsidRPr="00015B74">
              <w:rPr>
                <w:b/>
                <w:i/>
                <w:noProof/>
              </w:rPr>
              <w:t>37,539</w:t>
            </w:r>
            <w:r w:rsidRPr="00015B74">
              <w:rPr>
                <w:b/>
                <w:i/>
              </w:rPr>
              <w:fldChar w:fldCharType="end"/>
            </w:r>
          </w:p>
        </w:tc>
        <w:tc>
          <w:tcPr>
            <w:tcW w:w="3617" w:type="dxa"/>
            <w:tcBorders>
              <w:bottom w:val="nil"/>
            </w:tcBorders>
          </w:tcPr>
          <w:p w14:paraId="41003AB3" w14:textId="77777777" w:rsidR="00015B74" w:rsidRPr="000127EF" w:rsidRDefault="00015B74" w:rsidP="00015B74">
            <w:pPr>
              <w:rPr>
                <w:rFonts w:cs="Arial"/>
                <w:b/>
                <w:szCs w:val="22"/>
                <w:lang w:val="en-US"/>
              </w:rPr>
            </w:pPr>
            <w:r w:rsidRPr="000127EF">
              <w:rPr>
                <w:rFonts w:cs="Arial"/>
                <w:b/>
                <w:szCs w:val="22"/>
                <w:lang w:val="en-US"/>
              </w:rPr>
              <w:t>Total Financial Liabilities</w:t>
            </w:r>
          </w:p>
        </w:tc>
        <w:tc>
          <w:tcPr>
            <w:tcW w:w="1176" w:type="dxa"/>
            <w:tcBorders>
              <w:top w:val="single" w:sz="4" w:space="0" w:color="auto"/>
              <w:bottom w:val="single" w:sz="4" w:space="0" w:color="auto"/>
            </w:tcBorders>
            <w:shd w:val="clear" w:color="auto" w:fill="C5E0B3" w:themeFill="accent6" w:themeFillTint="66"/>
          </w:tcPr>
          <w:p w14:paraId="40D8A923" w14:textId="123B1DA2" w:rsidR="00015B74" w:rsidRPr="00417E30" w:rsidRDefault="00E51E22" w:rsidP="00015B74">
            <w:pPr>
              <w:jc w:val="right"/>
              <w:rPr>
                <w:b/>
              </w:rPr>
            </w:pPr>
            <w:r w:rsidRPr="00417E30">
              <w:rPr>
                <w:b/>
              </w:rPr>
              <w:t>24,526</w:t>
            </w:r>
          </w:p>
        </w:tc>
        <w:tc>
          <w:tcPr>
            <w:tcW w:w="1316" w:type="dxa"/>
            <w:tcBorders>
              <w:top w:val="single" w:sz="4" w:space="0" w:color="auto"/>
              <w:bottom w:val="single" w:sz="4" w:space="0" w:color="auto"/>
            </w:tcBorders>
            <w:shd w:val="clear" w:color="auto" w:fill="C5E0B3" w:themeFill="accent6" w:themeFillTint="66"/>
          </w:tcPr>
          <w:p w14:paraId="52DD81D3" w14:textId="5EE9BB7A" w:rsidR="00015B74" w:rsidRPr="00417E30" w:rsidRDefault="00E51E22" w:rsidP="00015B74">
            <w:pPr>
              <w:jc w:val="right"/>
              <w:rPr>
                <w:b/>
              </w:rPr>
            </w:pPr>
            <w:r w:rsidRPr="00417E30">
              <w:rPr>
                <w:b/>
              </w:rPr>
              <w:t>35,25</w:t>
            </w:r>
            <w:r w:rsidR="00772B4D">
              <w:rPr>
                <w:b/>
              </w:rPr>
              <w:t>7</w:t>
            </w:r>
          </w:p>
        </w:tc>
      </w:tr>
      <w:tr w:rsidR="00015B74" w:rsidRPr="000127EF" w14:paraId="28CCAA4A" w14:textId="77777777" w:rsidTr="00B300F0">
        <w:trPr>
          <w:jc w:val="center"/>
        </w:trPr>
        <w:tc>
          <w:tcPr>
            <w:tcW w:w="1354" w:type="dxa"/>
            <w:tcBorders>
              <w:top w:val="single" w:sz="4" w:space="0" w:color="auto"/>
              <w:left w:val="single" w:sz="18" w:space="0" w:color="A8D08D" w:themeColor="accent6" w:themeTint="99"/>
              <w:bottom w:val="single" w:sz="18" w:space="0" w:color="FFFFFF" w:themeColor="background1"/>
            </w:tcBorders>
          </w:tcPr>
          <w:p w14:paraId="0C12679B" w14:textId="5F6BDB89" w:rsidR="00015B74" w:rsidRPr="00015B74" w:rsidRDefault="00015B74" w:rsidP="00015B74">
            <w:pPr>
              <w:jc w:val="right"/>
              <w:rPr>
                <w:b/>
                <w:i/>
              </w:rPr>
            </w:pPr>
          </w:p>
        </w:tc>
        <w:tc>
          <w:tcPr>
            <w:tcW w:w="1161" w:type="dxa"/>
            <w:tcBorders>
              <w:top w:val="single" w:sz="4" w:space="0" w:color="auto"/>
              <w:bottom w:val="single" w:sz="18" w:space="0" w:color="FFFFFF" w:themeColor="background1"/>
            </w:tcBorders>
          </w:tcPr>
          <w:p w14:paraId="391D623A" w14:textId="77777777" w:rsidR="00015B74" w:rsidRPr="00015B74" w:rsidRDefault="00015B74" w:rsidP="00015B74">
            <w:pPr>
              <w:jc w:val="right"/>
              <w:rPr>
                <w:b/>
                <w:i/>
              </w:rPr>
            </w:pPr>
          </w:p>
        </w:tc>
        <w:tc>
          <w:tcPr>
            <w:tcW w:w="3617" w:type="dxa"/>
            <w:tcBorders>
              <w:top w:val="nil"/>
              <w:bottom w:val="nil"/>
            </w:tcBorders>
          </w:tcPr>
          <w:p w14:paraId="374E1866" w14:textId="77777777" w:rsidR="00015B74" w:rsidRPr="000127EF" w:rsidRDefault="00015B74" w:rsidP="00015B74">
            <w:pPr>
              <w:rPr>
                <w:rFonts w:cs="Arial"/>
                <w:szCs w:val="22"/>
                <w:lang w:val="en-US"/>
              </w:rPr>
            </w:pPr>
          </w:p>
        </w:tc>
        <w:tc>
          <w:tcPr>
            <w:tcW w:w="1176" w:type="dxa"/>
            <w:tcBorders>
              <w:top w:val="single" w:sz="4" w:space="0" w:color="auto"/>
              <w:bottom w:val="single" w:sz="18" w:space="0" w:color="A8D08D" w:themeColor="accent6" w:themeTint="99"/>
            </w:tcBorders>
            <w:shd w:val="clear" w:color="auto" w:fill="C5E0B3" w:themeFill="accent6" w:themeFillTint="66"/>
          </w:tcPr>
          <w:p w14:paraId="4A0AC5EA" w14:textId="77777777" w:rsidR="00015B74" w:rsidRPr="00417E30" w:rsidRDefault="00015B74" w:rsidP="00015B74">
            <w:pPr>
              <w:jc w:val="right"/>
              <w:rPr>
                <w:b/>
              </w:rPr>
            </w:pPr>
          </w:p>
        </w:tc>
        <w:tc>
          <w:tcPr>
            <w:tcW w:w="1316" w:type="dxa"/>
            <w:tcBorders>
              <w:top w:val="single" w:sz="4" w:space="0" w:color="auto"/>
              <w:bottom w:val="single" w:sz="18" w:space="0" w:color="A8D08D" w:themeColor="accent6" w:themeTint="99"/>
              <w:right w:val="single" w:sz="18" w:space="0" w:color="A8D08D" w:themeColor="accent6" w:themeTint="99"/>
            </w:tcBorders>
            <w:shd w:val="clear" w:color="auto" w:fill="C5E0B3" w:themeFill="accent6" w:themeFillTint="66"/>
          </w:tcPr>
          <w:p w14:paraId="1A577914" w14:textId="77777777" w:rsidR="00015B74" w:rsidRPr="00417E30" w:rsidRDefault="00015B74" w:rsidP="00015B74">
            <w:pPr>
              <w:jc w:val="right"/>
              <w:rPr>
                <w:b/>
              </w:rPr>
            </w:pPr>
          </w:p>
        </w:tc>
      </w:tr>
      <w:tr w:rsidR="00015B74" w:rsidRPr="000127EF" w14:paraId="5F79C8E6" w14:textId="77777777" w:rsidTr="00B300F0">
        <w:trPr>
          <w:jc w:val="center"/>
        </w:trPr>
        <w:tc>
          <w:tcPr>
            <w:tcW w:w="1354" w:type="dxa"/>
            <w:tcBorders>
              <w:top w:val="single" w:sz="18" w:space="0" w:color="FFFFFF" w:themeColor="background1"/>
              <w:left w:val="single" w:sz="18" w:space="0" w:color="A8D08D" w:themeColor="accent6" w:themeTint="99"/>
              <w:bottom w:val="nil"/>
            </w:tcBorders>
          </w:tcPr>
          <w:p w14:paraId="26435DE2" w14:textId="10FEC3A0" w:rsidR="00015B74" w:rsidRPr="00015B74" w:rsidRDefault="00015B74" w:rsidP="00015B74">
            <w:pPr>
              <w:jc w:val="right"/>
              <w:rPr>
                <w:i/>
              </w:rPr>
            </w:pPr>
            <w:r w:rsidRPr="00015B74">
              <w:rPr>
                <w:i/>
              </w:rPr>
              <w:t>30,000</w:t>
            </w:r>
          </w:p>
        </w:tc>
        <w:tc>
          <w:tcPr>
            <w:tcW w:w="1161" w:type="dxa"/>
            <w:tcBorders>
              <w:top w:val="single" w:sz="18" w:space="0" w:color="FFFFFF" w:themeColor="background1"/>
              <w:bottom w:val="nil"/>
            </w:tcBorders>
          </w:tcPr>
          <w:p w14:paraId="01755E7A" w14:textId="5636A1B1" w:rsidR="00015B74" w:rsidRPr="00015B74" w:rsidRDefault="00015B74" w:rsidP="00015B74">
            <w:pPr>
              <w:jc w:val="right"/>
              <w:rPr>
                <w:i/>
              </w:rPr>
            </w:pPr>
            <w:r w:rsidRPr="00015B74">
              <w:rPr>
                <w:i/>
              </w:rPr>
              <w:t>30,124</w:t>
            </w:r>
          </w:p>
        </w:tc>
        <w:tc>
          <w:tcPr>
            <w:tcW w:w="3617" w:type="dxa"/>
            <w:tcBorders>
              <w:top w:val="nil"/>
              <w:bottom w:val="nil"/>
            </w:tcBorders>
          </w:tcPr>
          <w:p w14:paraId="0EB62AB7" w14:textId="4EADB14C" w:rsidR="00015B74" w:rsidRPr="000127EF" w:rsidRDefault="00015B74" w:rsidP="00015B74">
            <w:pPr>
              <w:rPr>
                <w:rFonts w:cs="Arial"/>
                <w:szCs w:val="22"/>
                <w:lang w:val="en-US"/>
              </w:rPr>
            </w:pPr>
            <w:r w:rsidRPr="000127EF">
              <w:rPr>
                <w:rFonts w:cs="Arial"/>
                <w:szCs w:val="22"/>
                <w:lang w:val="en-US"/>
              </w:rPr>
              <w:t>Short Term Investments</w:t>
            </w:r>
          </w:p>
        </w:tc>
        <w:tc>
          <w:tcPr>
            <w:tcW w:w="1176" w:type="dxa"/>
            <w:tcBorders>
              <w:top w:val="single" w:sz="18" w:space="0" w:color="A8D08D" w:themeColor="accent6" w:themeTint="99"/>
              <w:bottom w:val="nil"/>
            </w:tcBorders>
            <w:shd w:val="clear" w:color="auto" w:fill="C5E0B3" w:themeFill="accent6" w:themeFillTint="66"/>
          </w:tcPr>
          <w:p w14:paraId="7D917164" w14:textId="48FE477C" w:rsidR="00015B74" w:rsidRPr="00417E30" w:rsidRDefault="00E51E22" w:rsidP="00015B74">
            <w:pPr>
              <w:jc w:val="right"/>
            </w:pPr>
            <w:r w:rsidRPr="00417E30">
              <w:t>33,000</w:t>
            </w:r>
          </w:p>
        </w:tc>
        <w:tc>
          <w:tcPr>
            <w:tcW w:w="1316" w:type="dxa"/>
            <w:tcBorders>
              <w:top w:val="single" w:sz="18" w:space="0" w:color="A8D08D" w:themeColor="accent6" w:themeTint="99"/>
              <w:bottom w:val="nil"/>
              <w:right w:val="single" w:sz="18" w:space="0" w:color="A8D08D" w:themeColor="accent6" w:themeTint="99"/>
            </w:tcBorders>
            <w:shd w:val="clear" w:color="auto" w:fill="C5E0B3" w:themeFill="accent6" w:themeFillTint="66"/>
          </w:tcPr>
          <w:p w14:paraId="4FB7F689" w14:textId="0BA6146C" w:rsidR="00015B74" w:rsidRPr="00417E30" w:rsidRDefault="00E51E22" w:rsidP="00015B74">
            <w:pPr>
              <w:jc w:val="right"/>
            </w:pPr>
            <w:r w:rsidRPr="00417E30">
              <w:t>33,180</w:t>
            </w:r>
          </w:p>
        </w:tc>
      </w:tr>
      <w:tr w:rsidR="00015B74" w:rsidRPr="000127EF" w14:paraId="647E91A1" w14:textId="77777777" w:rsidTr="00E165AE">
        <w:trPr>
          <w:jc w:val="center"/>
        </w:trPr>
        <w:tc>
          <w:tcPr>
            <w:tcW w:w="1354" w:type="dxa"/>
            <w:tcBorders>
              <w:bottom w:val="single" w:sz="4" w:space="0" w:color="auto"/>
            </w:tcBorders>
          </w:tcPr>
          <w:p w14:paraId="5E1D054E" w14:textId="760B181E" w:rsidR="00015B74" w:rsidRPr="00015B74" w:rsidRDefault="00015B74" w:rsidP="00015B74">
            <w:pPr>
              <w:jc w:val="right"/>
              <w:rPr>
                <w:i/>
              </w:rPr>
            </w:pPr>
            <w:r w:rsidRPr="00015B74">
              <w:rPr>
                <w:i/>
              </w:rPr>
              <w:t>916</w:t>
            </w:r>
          </w:p>
        </w:tc>
        <w:tc>
          <w:tcPr>
            <w:tcW w:w="1161" w:type="dxa"/>
            <w:tcBorders>
              <w:bottom w:val="single" w:sz="4" w:space="0" w:color="auto"/>
            </w:tcBorders>
          </w:tcPr>
          <w:p w14:paraId="1A6174CE" w14:textId="4EB12944" w:rsidR="00015B74" w:rsidRPr="00015B74" w:rsidRDefault="00015B74" w:rsidP="00015B74">
            <w:pPr>
              <w:jc w:val="right"/>
              <w:rPr>
                <w:rFonts w:cs="Arial"/>
                <w:i/>
                <w:szCs w:val="22"/>
                <w:lang w:val="en-US"/>
              </w:rPr>
            </w:pPr>
            <w:r w:rsidRPr="00015B74">
              <w:rPr>
                <w:i/>
              </w:rPr>
              <w:t>785</w:t>
            </w:r>
          </w:p>
        </w:tc>
        <w:tc>
          <w:tcPr>
            <w:tcW w:w="3617" w:type="dxa"/>
            <w:tcBorders>
              <w:bottom w:val="nil"/>
            </w:tcBorders>
          </w:tcPr>
          <w:p w14:paraId="27CAB2CB" w14:textId="1EF59935" w:rsidR="00015B74" w:rsidRPr="000127EF" w:rsidRDefault="00015B74" w:rsidP="00015B74">
            <w:pPr>
              <w:rPr>
                <w:rFonts w:cs="Arial"/>
                <w:szCs w:val="22"/>
                <w:lang w:val="en-US"/>
              </w:rPr>
            </w:pPr>
            <w:r w:rsidRPr="000127EF">
              <w:rPr>
                <w:rFonts w:cs="Arial"/>
                <w:szCs w:val="22"/>
                <w:lang w:val="en-US"/>
              </w:rPr>
              <w:t>Short Term Debtors</w:t>
            </w:r>
          </w:p>
        </w:tc>
        <w:tc>
          <w:tcPr>
            <w:tcW w:w="1176" w:type="dxa"/>
            <w:tcBorders>
              <w:top w:val="nil"/>
              <w:bottom w:val="single" w:sz="4" w:space="0" w:color="auto"/>
            </w:tcBorders>
            <w:shd w:val="clear" w:color="auto" w:fill="C5E0B3" w:themeFill="accent6" w:themeFillTint="66"/>
          </w:tcPr>
          <w:p w14:paraId="2639D2D1" w14:textId="08AC9B77" w:rsidR="00015B74" w:rsidRPr="00417E30" w:rsidRDefault="00E51E22" w:rsidP="00015B74">
            <w:pPr>
              <w:jc w:val="right"/>
            </w:pPr>
            <w:r w:rsidRPr="00417E30">
              <w:t>578</w:t>
            </w:r>
          </w:p>
        </w:tc>
        <w:tc>
          <w:tcPr>
            <w:tcW w:w="1316" w:type="dxa"/>
            <w:tcBorders>
              <w:top w:val="nil"/>
              <w:bottom w:val="single" w:sz="4" w:space="0" w:color="auto"/>
            </w:tcBorders>
            <w:shd w:val="clear" w:color="auto" w:fill="C5E0B3" w:themeFill="accent6" w:themeFillTint="66"/>
          </w:tcPr>
          <w:p w14:paraId="135950D4" w14:textId="424901B4" w:rsidR="00015B74" w:rsidRPr="00417E30" w:rsidRDefault="00E51E22" w:rsidP="00015B74">
            <w:pPr>
              <w:jc w:val="right"/>
            </w:pPr>
            <w:r w:rsidRPr="00417E30">
              <w:t>305</w:t>
            </w:r>
          </w:p>
        </w:tc>
      </w:tr>
      <w:tr w:rsidR="00015B74" w:rsidRPr="000127EF" w14:paraId="46278B81" w14:textId="77777777" w:rsidTr="00F72C86">
        <w:trPr>
          <w:jc w:val="center"/>
        </w:trPr>
        <w:tc>
          <w:tcPr>
            <w:tcW w:w="1354" w:type="dxa"/>
            <w:tcBorders>
              <w:top w:val="single" w:sz="4" w:space="0" w:color="auto"/>
              <w:bottom w:val="single" w:sz="4" w:space="0" w:color="auto"/>
            </w:tcBorders>
            <w:vAlign w:val="center"/>
          </w:tcPr>
          <w:p w14:paraId="66A5CBAA" w14:textId="0A998AD1" w:rsidR="00015B74" w:rsidRPr="00015B74" w:rsidRDefault="00015B74" w:rsidP="00015B74">
            <w:pPr>
              <w:jc w:val="right"/>
              <w:rPr>
                <w:b/>
                <w:i/>
              </w:rPr>
            </w:pPr>
            <w:r w:rsidRPr="00015B74">
              <w:rPr>
                <w:b/>
                <w:i/>
              </w:rPr>
              <w:fldChar w:fldCharType="begin"/>
            </w:r>
            <w:r w:rsidRPr="00015B74">
              <w:rPr>
                <w:b/>
                <w:i/>
              </w:rPr>
              <w:instrText xml:space="preserve"> =SUM(d9:d10) </w:instrText>
            </w:r>
            <w:r w:rsidRPr="00015B74">
              <w:rPr>
                <w:b/>
                <w:i/>
              </w:rPr>
              <w:fldChar w:fldCharType="separate"/>
            </w:r>
            <w:r w:rsidRPr="00015B74">
              <w:rPr>
                <w:b/>
                <w:i/>
                <w:noProof/>
              </w:rPr>
              <w:t>30,916</w:t>
            </w:r>
            <w:r w:rsidRPr="00015B74">
              <w:rPr>
                <w:b/>
                <w:i/>
              </w:rPr>
              <w:fldChar w:fldCharType="end"/>
            </w:r>
          </w:p>
        </w:tc>
        <w:tc>
          <w:tcPr>
            <w:tcW w:w="1161" w:type="dxa"/>
            <w:tcBorders>
              <w:top w:val="single" w:sz="4" w:space="0" w:color="auto"/>
              <w:bottom w:val="single" w:sz="4" w:space="0" w:color="auto"/>
            </w:tcBorders>
            <w:vAlign w:val="center"/>
          </w:tcPr>
          <w:p w14:paraId="01833478" w14:textId="26A927B2" w:rsidR="00015B74" w:rsidRPr="00015B74" w:rsidRDefault="00015B74" w:rsidP="00015B74">
            <w:pPr>
              <w:jc w:val="right"/>
              <w:rPr>
                <w:b/>
                <w:i/>
              </w:rPr>
            </w:pPr>
            <w:r w:rsidRPr="00015B74">
              <w:rPr>
                <w:b/>
                <w:i/>
              </w:rPr>
              <w:fldChar w:fldCharType="begin"/>
            </w:r>
            <w:r w:rsidRPr="00015B74">
              <w:rPr>
                <w:b/>
                <w:i/>
              </w:rPr>
              <w:instrText xml:space="preserve"> =SUM(e9:e10) </w:instrText>
            </w:r>
            <w:r w:rsidRPr="00015B74">
              <w:rPr>
                <w:b/>
                <w:i/>
              </w:rPr>
              <w:fldChar w:fldCharType="separate"/>
            </w:r>
            <w:r w:rsidRPr="00015B74">
              <w:rPr>
                <w:b/>
                <w:i/>
                <w:noProof/>
              </w:rPr>
              <w:t>30,909</w:t>
            </w:r>
            <w:r w:rsidRPr="00015B74">
              <w:rPr>
                <w:b/>
                <w:i/>
              </w:rPr>
              <w:fldChar w:fldCharType="end"/>
            </w:r>
          </w:p>
        </w:tc>
        <w:tc>
          <w:tcPr>
            <w:tcW w:w="3617" w:type="dxa"/>
            <w:tcBorders>
              <w:bottom w:val="nil"/>
            </w:tcBorders>
          </w:tcPr>
          <w:p w14:paraId="21808ECD" w14:textId="2B87E774" w:rsidR="00015B74" w:rsidRPr="000127EF" w:rsidRDefault="00015B74" w:rsidP="00015B74">
            <w:r w:rsidRPr="000127EF">
              <w:rPr>
                <w:b/>
              </w:rPr>
              <w:t>Total Financial Assets</w:t>
            </w:r>
          </w:p>
        </w:tc>
        <w:tc>
          <w:tcPr>
            <w:tcW w:w="1176" w:type="dxa"/>
            <w:tcBorders>
              <w:top w:val="single" w:sz="4" w:space="0" w:color="auto"/>
              <w:bottom w:val="single" w:sz="4" w:space="0" w:color="auto"/>
            </w:tcBorders>
            <w:shd w:val="clear" w:color="auto" w:fill="C5E0B3" w:themeFill="accent6" w:themeFillTint="66"/>
            <w:vAlign w:val="center"/>
          </w:tcPr>
          <w:p w14:paraId="5BF31295" w14:textId="1FC74DE3" w:rsidR="00015B74" w:rsidRPr="00417E30" w:rsidRDefault="00E51E22" w:rsidP="00015B74">
            <w:pPr>
              <w:jc w:val="right"/>
              <w:rPr>
                <w:b/>
              </w:rPr>
            </w:pPr>
            <w:r w:rsidRPr="00417E30">
              <w:rPr>
                <w:b/>
              </w:rPr>
              <w:t>33,578</w:t>
            </w:r>
          </w:p>
        </w:tc>
        <w:tc>
          <w:tcPr>
            <w:tcW w:w="1316" w:type="dxa"/>
            <w:tcBorders>
              <w:top w:val="single" w:sz="4" w:space="0" w:color="auto"/>
              <w:bottom w:val="single" w:sz="4" w:space="0" w:color="auto"/>
            </w:tcBorders>
            <w:shd w:val="clear" w:color="auto" w:fill="C5E0B3" w:themeFill="accent6" w:themeFillTint="66"/>
            <w:vAlign w:val="center"/>
          </w:tcPr>
          <w:p w14:paraId="171CC7BE" w14:textId="7F442D11" w:rsidR="00015B74" w:rsidRPr="00417E30" w:rsidRDefault="00E51E22" w:rsidP="00015B74">
            <w:pPr>
              <w:jc w:val="right"/>
              <w:rPr>
                <w:b/>
              </w:rPr>
            </w:pPr>
            <w:r w:rsidRPr="00417E30">
              <w:rPr>
                <w:b/>
              </w:rPr>
              <w:t>33,485</w:t>
            </w:r>
          </w:p>
        </w:tc>
      </w:tr>
      <w:tr w:rsidR="00F82E5E" w:rsidRPr="000127EF" w14:paraId="0AEFDCBB" w14:textId="77777777" w:rsidTr="007D099E">
        <w:trPr>
          <w:trHeight w:hRule="exact" w:val="142"/>
          <w:jc w:val="center"/>
        </w:trPr>
        <w:tc>
          <w:tcPr>
            <w:tcW w:w="1354" w:type="dxa"/>
            <w:tcBorders>
              <w:top w:val="single" w:sz="4" w:space="0" w:color="auto"/>
              <w:bottom w:val="single" w:sz="18" w:space="0" w:color="A8D08D" w:themeColor="accent6" w:themeTint="99"/>
            </w:tcBorders>
          </w:tcPr>
          <w:p w14:paraId="761FB8A4" w14:textId="77777777" w:rsidR="00F82E5E" w:rsidRPr="000127EF" w:rsidRDefault="00F82E5E" w:rsidP="00F82E5E">
            <w:pPr>
              <w:jc w:val="right"/>
              <w:rPr>
                <w:i/>
              </w:rPr>
            </w:pPr>
          </w:p>
        </w:tc>
        <w:tc>
          <w:tcPr>
            <w:tcW w:w="1161" w:type="dxa"/>
            <w:tcBorders>
              <w:top w:val="single" w:sz="4" w:space="0" w:color="auto"/>
              <w:bottom w:val="single" w:sz="18" w:space="0" w:color="A8D08D" w:themeColor="accent6" w:themeTint="99"/>
            </w:tcBorders>
          </w:tcPr>
          <w:p w14:paraId="39FB512E" w14:textId="77777777" w:rsidR="00F82E5E" w:rsidRPr="000127EF" w:rsidRDefault="00F82E5E" w:rsidP="00F82E5E">
            <w:pPr>
              <w:jc w:val="both"/>
              <w:rPr>
                <w:i/>
              </w:rPr>
            </w:pPr>
          </w:p>
        </w:tc>
        <w:tc>
          <w:tcPr>
            <w:tcW w:w="3617" w:type="dxa"/>
            <w:tcBorders>
              <w:top w:val="nil"/>
              <w:bottom w:val="single" w:sz="18" w:space="0" w:color="A8D08D" w:themeColor="accent6" w:themeTint="99"/>
            </w:tcBorders>
          </w:tcPr>
          <w:p w14:paraId="7966373C" w14:textId="77777777" w:rsidR="00F82E5E" w:rsidRPr="000127EF" w:rsidRDefault="00F82E5E" w:rsidP="00F82E5E">
            <w:pPr>
              <w:jc w:val="both"/>
            </w:pPr>
          </w:p>
        </w:tc>
        <w:tc>
          <w:tcPr>
            <w:tcW w:w="1176" w:type="dxa"/>
            <w:tcBorders>
              <w:top w:val="single" w:sz="4" w:space="0" w:color="auto"/>
              <w:bottom w:val="single" w:sz="18" w:space="0" w:color="A8D08D" w:themeColor="accent6" w:themeTint="99"/>
            </w:tcBorders>
          </w:tcPr>
          <w:p w14:paraId="6161FDB8" w14:textId="77777777" w:rsidR="00F82E5E" w:rsidRPr="00417E30" w:rsidRDefault="00F82E5E" w:rsidP="00F82E5E">
            <w:pPr>
              <w:jc w:val="right"/>
            </w:pPr>
          </w:p>
        </w:tc>
        <w:tc>
          <w:tcPr>
            <w:tcW w:w="1316" w:type="dxa"/>
            <w:tcBorders>
              <w:top w:val="single" w:sz="4" w:space="0" w:color="auto"/>
              <w:bottom w:val="single" w:sz="18" w:space="0" w:color="A8D08D" w:themeColor="accent6" w:themeTint="99"/>
            </w:tcBorders>
          </w:tcPr>
          <w:p w14:paraId="074F5EAE" w14:textId="77777777" w:rsidR="00F82E5E" w:rsidRPr="00417E30" w:rsidRDefault="00F82E5E" w:rsidP="00F82E5E">
            <w:pPr>
              <w:jc w:val="right"/>
            </w:pPr>
          </w:p>
        </w:tc>
      </w:tr>
    </w:tbl>
    <w:p w14:paraId="1F43BB35" w14:textId="77777777" w:rsidR="00627352" w:rsidRPr="000127EF" w:rsidRDefault="00627352" w:rsidP="00CE0021">
      <w:pPr>
        <w:pStyle w:val="Heading1"/>
        <w:numPr>
          <w:ilvl w:val="0"/>
          <w:numId w:val="8"/>
        </w:numPr>
        <w:spacing w:before="360"/>
        <w:ind w:left="425" w:hanging="357"/>
        <w:rPr>
          <w:sz w:val="22"/>
          <w:szCs w:val="22"/>
        </w:rPr>
      </w:pPr>
      <w:r w:rsidRPr="000127EF">
        <w:rPr>
          <w:sz w:val="22"/>
          <w:szCs w:val="22"/>
        </w:rPr>
        <w:t>Nature &amp; Extent of Risk Arising from Financial Instruments</w:t>
      </w:r>
    </w:p>
    <w:p w14:paraId="0471B05B" w14:textId="77777777" w:rsidR="009C2BE1" w:rsidRPr="000127EF" w:rsidRDefault="009C2BE1" w:rsidP="009C2BE1">
      <w:pPr>
        <w:spacing w:after="120"/>
      </w:pPr>
      <w:r w:rsidRPr="000127EF">
        <w:rPr>
          <w:b/>
        </w:rPr>
        <w:t>Key Risks</w:t>
      </w:r>
      <w:r w:rsidRPr="000127EF">
        <w:rPr>
          <w:b/>
        </w:rPr>
        <w:tab/>
      </w:r>
      <w:r w:rsidRPr="000127EF">
        <w:tab/>
      </w:r>
      <w:r w:rsidRPr="000127EF">
        <w:tab/>
      </w:r>
      <w:r w:rsidRPr="000127EF">
        <w:tab/>
      </w:r>
    </w:p>
    <w:p w14:paraId="18874D35" w14:textId="77777777" w:rsidR="009C2BE1" w:rsidRPr="002B777C" w:rsidRDefault="009C2BE1" w:rsidP="009C2BE1">
      <w:r w:rsidRPr="002B777C">
        <w:t>The authority’s activities expose it to a variety of financial risks, the key risks are:</w:t>
      </w:r>
      <w:r w:rsidRPr="002B777C">
        <w:tab/>
      </w:r>
      <w:r w:rsidRPr="002B777C">
        <w:tab/>
      </w:r>
    </w:p>
    <w:p w14:paraId="19A99BEF" w14:textId="77777777" w:rsidR="009C2BE1" w:rsidRPr="002B777C" w:rsidRDefault="009C2BE1" w:rsidP="005676B7">
      <w:pPr>
        <w:numPr>
          <w:ilvl w:val="0"/>
          <w:numId w:val="10"/>
        </w:numPr>
        <w:spacing w:after="240"/>
        <w:ind w:left="714" w:hanging="357"/>
        <w:contextualSpacing/>
        <w:jc w:val="both"/>
      </w:pPr>
      <w:r w:rsidRPr="002B777C">
        <w:rPr>
          <w:rFonts w:cs="Arial"/>
          <w:szCs w:val="22"/>
        </w:rPr>
        <w:t>Credit risk – the possibility that other parties might fail to pay amounts due to the authority</w:t>
      </w:r>
      <w:r w:rsidRPr="002B777C">
        <w:tab/>
      </w:r>
    </w:p>
    <w:p w14:paraId="1ACFE3B6" w14:textId="77777777" w:rsidR="009C2BE1" w:rsidRPr="002B777C" w:rsidRDefault="009C2BE1" w:rsidP="005676B7">
      <w:pPr>
        <w:numPr>
          <w:ilvl w:val="0"/>
          <w:numId w:val="10"/>
        </w:numPr>
        <w:spacing w:after="240"/>
        <w:ind w:left="714" w:hanging="357"/>
        <w:contextualSpacing/>
        <w:jc w:val="both"/>
      </w:pPr>
      <w:r w:rsidRPr="002B777C">
        <w:rPr>
          <w:rFonts w:cs="Arial"/>
          <w:szCs w:val="22"/>
        </w:rPr>
        <w:t>Liquidity risk – the possibility that the authority might not have funds available to meet its commitments to make payments;</w:t>
      </w:r>
      <w:r w:rsidRPr="002B777C">
        <w:t xml:space="preserve"> </w:t>
      </w:r>
      <w:r w:rsidRPr="002B777C">
        <w:tab/>
      </w:r>
      <w:r w:rsidRPr="002B777C">
        <w:tab/>
      </w:r>
      <w:r w:rsidRPr="002B777C">
        <w:tab/>
      </w:r>
      <w:r w:rsidRPr="002B777C">
        <w:tab/>
      </w:r>
    </w:p>
    <w:p w14:paraId="345F8653" w14:textId="77777777" w:rsidR="009C2BE1" w:rsidRPr="002B777C" w:rsidRDefault="009C2BE1" w:rsidP="005676B7">
      <w:pPr>
        <w:numPr>
          <w:ilvl w:val="0"/>
          <w:numId w:val="10"/>
        </w:numPr>
        <w:spacing w:after="240"/>
        <w:ind w:left="714" w:hanging="357"/>
        <w:contextualSpacing/>
        <w:jc w:val="both"/>
      </w:pPr>
      <w:r w:rsidRPr="002B777C">
        <w:rPr>
          <w:rFonts w:cs="Arial"/>
          <w:szCs w:val="22"/>
        </w:rPr>
        <w:t>Re-financing risk – the possibility that the authority might be requiring to renew a financial instrument on maturity at disadvantageous interest rates or terms.</w:t>
      </w:r>
      <w:r w:rsidRPr="002B777C">
        <w:tab/>
      </w:r>
    </w:p>
    <w:p w14:paraId="4FB0E363" w14:textId="77777777" w:rsidR="009C2BE1" w:rsidRPr="002B777C" w:rsidRDefault="009C2BE1" w:rsidP="005676B7">
      <w:pPr>
        <w:numPr>
          <w:ilvl w:val="0"/>
          <w:numId w:val="10"/>
        </w:numPr>
        <w:spacing w:before="240" w:after="120"/>
        <w:ind w:left="714" w:hanging="357"/>
        <w:jc w:val="both"/>
        <w:rPr>
          <w:rFonts w:cs="Arial"/>
          <w:szCs w:val="22"/>
        </w:rPr>
      </w:pPr>
      <w:r w:rsidRPr="002B777C">
        <w:rPr>
          <w:rFonts w:cs="Arial"/>
          <w:szCs w:val="22"/>
        </w:rPr>
        <w:t>Market risk - the possibility that financial loss might arise for the authority as a result of changes in such measures as interest rates movements.</w:t>
      </w:r>
    </w:p>
    <w:p w14:paraId="50102082" w14:textId="77777777" w:rsidR="009C2BE1" w:rsidRPr="002B777C" w:rsidRDefault="009C2BE1" w:rsidP="009C2BE1">
      <w:pPr>
        <w:spacing w:after="120"/>
        <w:rPr>
          <w:b/>
        </w:rPr>
      </w:pPr>
      <w:r w:rsidRPr="002B777C">
        <w:rPr>
          <w:b/>
        </w:rPr>
        <w:t>Overall Procedures for Managing Risk</w:t>
      </w:r>
    </w:p>
    <w:p w14:paraId="15BC0960" w14:textId="77777777" w:rsidR="009C2BE1" w:rsidRPr="002B777C" w:rsidRDefault="009C2BE1" w:rsidP="006A674F">
      <w:pPr>
        <w:spacing w:after="120"/>
        <w:jc w:val="both"/>
        <w:rPr>
          <w:rFonts w:cs="Arial"/>
          <w:szCs w:val="22"/>
        </w:rPr>
      </w:pPr>
      <w:r w:rsidRPr="002B777C">
        <w:rPr>
          <w:rFonts w:cs="Arial"/>
          <w:szCs w:val="22"/>
        </w:rPr>
        <w:t>The authority’s overall risk management procedures focus on the unpredictability of financial markets, and implementing restrictions to minimise these risks.  The procedures for risk management are set out through a legal framework in the Local Government Act 2003 and the associated regulations.  These require the authority to comply with the CIPFA Prudential Code, the CIPFA Treasury Management in the Public Services Code of Practice and investment guidance issued under the Act.</w:t>
      </w:r>
    </w:p>
    <w:p w14:paraId="69C05BCC" w14:textId="77777777" w:rsidR="009C2BE1" w:rsidRPr="002B777C" w:rsidRDefault="009C2BE1" w:rsidP="006A674F">
      <w:pPr>
        <w:spacing w:after="120"/>
        <w:jc w:val="both"/>
        <w:rPr>
          <w:rFonts w:cs="Arial"/>
          <w:szCs w:val="22"/>
        </w:rPr>
      </w:pPr>
      <w:r w:rsidRPr="002B777C">
        <w:rPr>
          <w:rFonts w:cs="Arial"/>
          <w:szCs w:val="22"/>
        </w:rPr>
        <w:t>The authority’s overall risk management procedures focus on the unpredictability of financial markets, and implementing restrictions to minimise these risks.  The procedures for risk management are set out through a legal framework in the Local Government Act 2003 and the associated regulations.  These require the authority to comply with the CIPFA Prudential Code, the CIPFA Treasury Management in the Public Services Code of Practice and investment guidance issued under the Act.</w:t>
      </w:r>
    </w:p>
    <w:p w14:paraId="138E9C98" w14:textId="77777777" w:rsidR="009C2BE1" w:rsidRPr="002B777C" w:rsidRDefault="009C2BE1" w:rsidP="006A674F">
      <w:pPr>
        <w:spacing w:after="120"/>
        <w:jc w:val="both"/>
        <w:rPr>
          <w:rFonts w:cs="Arial"/>
          <w:szCs w:val="22"/>
        </w:rPr>
      </w:pPr>
      <w:r w:rsidRPr="002B777C">
        <w:rPr>
          <w:rFonts w:cs="Arial"/>
          <w:szCs w:val="22"/>
        </w:rPr>
        <w:t>Overall these procedures require the authority to manage risk in the following ways:</w:t>
      </w:r>
    </w:p>
    <w:p w14:paraId="611A33E1" w14:textId="77777777" w:rsidR="009C2BE1" w:rsidRPr="002B777C" w:rsidRDefault="009C2BE1" w:rsidP="005676B7">
      <w:pPr>
        <w:numPr>
          <w:ilvl w:val="0"/>
          <w:numId w:val="10"/>
        </w:numPr>
        <w:spacing w:after="240"/>
        <w:ind w:left="714" w:hanging="357"/>
        <w:contextualSpacing/>
        <w:jc w:val="both"/>
        <w:rPr>
          <w:rFonts w:cs="Arial"/>
          <w:szCs w:val="22"/>
        </w:rPr>
      </w:pPr>
      <w:r w:rsidRPr="002B777C">
        <w:rPr>
          <w:rFonts w:cs="Arial"/>
          <w:szCs w:val="22"/>
        </w:rPr>
        <w:t>by formally adopting the requirements of the Code of Practice;</w:t>
      </w:r>
    </w:p>
    <w:p w14:paraId="45453593" w14:textId="77777777" w:rsidR="009C2BE1" w:rsidRPr="002B777C" w:rsidRDefault="009C2BE1" w:rsidP="005676B7">
      <w:pPr>
        <w:numPr>
          <w:ilvl w:val="0"/>
          <w:numId w:val="10"/>
        </w:numPr>
        <w:ind w:left="714" w:hanging="357"/>
        <w:contextualSpacing/>
        <w:jc w:val="both"/>
        <w:rPr>
          <w:rFonts w:cs="Arial"/>
          <w:szCs w:val="22"/>
        </w:rPr>
      </w:pPr>
      <w:r w:rsidRPr="002B777C">
        <w:rPr>
          <w:rFonts w:cs="Arial"/>
          <w:szCs w:val="22"/>
        </w:rPr>
        <w:lastRenderedPageBreak/>
        <w:t>by approving annually in advance prudential indicators for the following three years limiting:</w:t>
      </w:r>
    </w:p>
    <w:p w14:paraId="0B252564" w14:textId="77777777" w:rsidR="009C2BE1" w:rsidRPr="002B777C" w:rsidRDefault="009C2BE1" w:rsidP="005676B7">
      <w:pPr>
        <w:pStyle w:val="ListParagraph"/>
        <w:numPr>
          <w:ilvl w:val="0"/>
          <w:numId w:val="11"/>
        </w:numPr>
        <w:spacing w:after="240"/>
        <w:jc w:val="both"/>
        <w:rPr>
          <w:rFonts w:cs="Arial"/>
          <w:szCs w:val="22"/>
        </w:rPr>
      </w:pPr>
      <w:r w:rsidRPr="002B777C">
        <w:rPr>
          <w:rFonts w:cs="Arial"/>
          <w:szCs w:val="22"/>
        </w:rPr>
        <w:t>the authority’s overall borrowing;</w:t>
      </w:r>
    </w:p>
    <w:p w14:paraId="2B1830C4" w14:textId="77777777" w:rsidR="009C2BE1" w:rsidRPr="002B777C" w:rsidRDefault="009C2BE1" w:rsidP="005676B7">
      <w:pPr>
        <w:pStyle w:val="ListParagraph"/>
        <w:numPr>
          <w:ilvl w:val="0"/>
          <w:numId w:val="11"/>
        </w:numPr>
        <w:spacing w:after="240"/>
        <w:jc w:val="both"/>
        <w:rPr>
          <w:rFonts w:cs="Arial"/>
          <w:szCs w:val="22"/>
        </w:rPr>
      </w:pPr>
      <w:r w:rsidRPr="002B777C">
        <w:rPr>
          <w:rFonts w:cs="Arial"/>
          <w:szCs w:val="22"/>
        </w:rPr>
        <w:t>its maximum and minimum exposures to fixed and variable interest rates;</w:t>
      </w:r>
    </w:p>
    <w:p w14:paraId="5A1394F6" w14:textId="77777777" w:rsidR="009C2BE1" w:rsidRPr="002B777C" w:rsidRDefault="009C2BE1" w:rsidP="005676B7">
      <w:pPr>
        <w:pStyle w:val="ListParagraph"/>
        <w:numPr>
          <w:ilvl w:val="0"/>
          <w:numId w:val="11"/>
        </w:numPr>
        <w:spacing w:after="240"/>
        <w:jc w:val="both"/>
        <w:rPr>
          <w:rFonts w:cs="Arial"/>
          <w:szCs w:val="22"/>
        </w:rPr>
      </w:pPr>
      <w:r w:rsidRPr="002B777C">
        <w:rPr>
          <w:rFonts w:cs="Arial"/>
          <w:szCs w:val="22"/>
        </w:rPr>
        <w:t>its maximum and minimum exposures for the maturity structure of its debt;</w:t>
      </w:r>
    </w:p>
    <w:p w14:paraId="3C467F54" w14:textId="77777777" w:rsidR="009C2BE1" w:rsidRPr="002B777C" w:rsidRDefault="009C2BE1" w:rsidP="005676B7">
      <w:pPr>
        <w:pStyle w:val="ListParagraph"/>
        <w:numPr>
          <w:ilvl w:val="0"/>
          <w:numId w:val="11"/>
        </w:numPr>
        <w:spacing w:after="120"/>
        <w:ind w:left="1071" w:hanging="357"/>
        <w:jc w:val="both"/>
        <w:rPr>
          <w:rFonts w:cs="Arial"/>
          <w:szCs w:val="22"/>
        </w:rPr>
      </w:pPr>
      <w:r w:rsidRPr="002B777C">
        <w:rPr>
          <w:rFonts w:cs="Arial"/>
          <w:szCs w:val="22"/>
        </w:rPr>
        <w:t>its maximum annual exposures to investments maturing beyond a year.</w:t>
      </w:r>
    </w:p>
    <w:p w14:paraId="778F8ACF" w14:textId="77777777" w:rsidR="009C2BE1" w:rsidRPr="002B777C" w:rsidRDefault="009C2BE1" w:rsidP="005676B7">
      <w:pPr>
        <w:numPr>
          <w:ilvl w:val="0"/>
          <w:numId w:val="10"/>
        </w:numPr>
        <w:spacing w:after="120"/>
        <w:ind w:left="714" w:hanging="357"/>
        <w:jc w:val="both"/>
        <w:rPr>
          <w:rFonts w:cs="Arial"/>
          <w:szCs w:val="22"/>
        </w:rPr>
      </w:pPr>
      <w:r w:rsidRPr="002B777C">
        <w:rPr>
          <w:rFonts w:cs="Arial"/>
          <w:szCs w:val="22"/>
        </w:rPr>
        <w:t xml:space="preserve">by approving an investment strategy for the forthcoming year setting out its criteria for both investing and selecting investment counterparties in compliance with Government guidance; </w:t>
      </w:r>
    </w:p>
    <w:p w14:paraId="58CD2A79" w14:textId="77777777" w:rsidR="009C2BE1" w:rsidRPr="002B777C" w:rsidRDefault="009C2BE1" w:rsidP="006A674F">
      <w:pPr>
        <w:spacing w:after="120"/>
        <w:jc w:val="both"/>
        <w:rPr>
          <w:rFonts w:cs="Arial"/>
          <w:szCs w:val="22"/>
        </w:rPr>
      </w:pPr>
      <w:r w:rsidRPr="002B777C">
        <w:rPr>
          <w:rFonts w:cs="Arial"/>
          <w:szCs w:val="22"/>
        </w:rPr>
        <w:t>These indicators are required to be reported and approved at or before the authority meets to set its annual budget and Council Tax each year.  These items are reported with the annual treasury management strategy which outlines the approach to managing risk in relation to the authority’s financial instrument exposure.  Actual performance is also reported annually to Members. These policies are implemented by officers in the finance team within the Resources directorate.  The authority maintains written principles for overall risk management, as well as written policies covering specific areas, such as interest rate risk, credit risk, and the investment of surplus cash through Treasury Management Practices (TMPs).  These TMPs are a requirement of the Code of Practice and are reviewed regularly.</w:t>
      </w:r>
    </w:p>
    <w:p w14:paraId="51E346C9" w14:textId="77777777" w:rsidR="009C2BE1" w:rsidRPr="002B777C" w:rsidRDefault="009C2BE1" w:rsidP="009C2BE1">
      <w:pPr>
        <w:spacing w:after="120"/>
        <w:rPr>
          <w:b/>
        </w:rPr>
      </w:pPr>
      <w:r w:rsidRPr="002B777C">
        <w:rPr>
          <w:b/>
        </w:rPr>
        <w:t>Credit Risk</w:t>
      </w:r>
    </w:p>
    <w:p w14:paraId="171F7D44" w14:textId="77777777" w:rsidR="009C2BE1" w:rsidRPr="002B777C" w:rsidRDefault="009C2BE1" w:rsidP="006A674F">
      <w:pPr>
        <w:spacing w:after="120"/>
        <w:jc w:val="both"/>
        <w:rPr>
          <w:rFonts w:cs="Arial"/>
          <w:szCs w:val="22"/>
        </w:rPr>
      </w:pPr>
      <w:r w:rsidRPr="002B777C">
        <w:rPr>
          <w:rFonts w:cs="Arial"/>
          <w:szCs w:val="22"/>
        </w:rPr>
        <w:t>Credit risk arises from deposits with banks and financial institutions, as well as credit exposures to the authority’s customers.  Deposits are not made with banks and financial institutions unless they meet the minimum requirements of the investment criteria outlined in the Treasury Management Strategy.</w:t>
      </w:r>
    </w:p>
    <w:p w14:paraId="2E1550ED" w14:textId="70B38F47" w:rsidR="009C2BE1" w:rsidRDefault="009C2BE1" w:rsidP="006A674F">
      <w:pPr>
        <w:spacing w:after="120"/>
        <w:jc w:val="both"/>
        <w:rPr>
          <w:rFonts w:cs="Arial"/>
          <w:szCs w:val="22"/>
        </w:rPr>
      </w:pPr>
      <w:r w:rsidRPr="002B777C">
        <w:rPr>
          <w:rFonts w:cs="Arial"/>
          <w:szCs w:val="22"/>
        </w:rPr>
        <w:t>No breaches of the authority’s counterparty criteria occurred during the reporting period.</w:t>
      </w:r>
      <w:r w:rsidRPr="002B777C">
        <w:rPr>
          <w:rFonts w:cs="Arial"/>
          <w:szCs w:val="22"/>
        </w:rPr>
        <w:tab/>
      </w:r>
      <w:r w:rsidR="00B300F0" w:rsidRPr="002B777C">
        <w:rPr>
          <w:rFonts w:cs="Arial"/>
          <w:szCs w:val="22"/>
        </w:rPr>
        <w:t>This risk is minimised through the Annual Investment Strategy, which is available on the authority’s website.</w:t>
      </w:r>
    </w:p>
    <w:p w14:paraId="338C9473" w14:textId="5DADD2A4" w:rsidR="003E6859" w:rsidRPr="002B777C" w:rsidRDefault="003E6859" w:rsidP="006A674F">
      <w:pPr>
        <w:spacing w:after="120"/>
        <w:jc w:val="both"/>
        <w:rPr>
          <w:rFonts w:cs="Arial"/>
          <w:szCs w:val="22"/>
        </w:rPr>
      </w:pPr>
      <w:r w:rsidRPr="00050103">
        <w:rPr>
          <w:rFonts w:cs="Arial"/>
          <w:szCs w:val="22"/>
        </w:rPr>
        <w:t>The impact of Covid-19 on the counterparty criteria has seen one bank fall outside the minimum criteria required and will no longer be used, other banks have been placed on negative outlooks and/or had a change in their long term rating but still fall within the minimum required criteria. Long term ratings for Building Societies have been placed on negative outlooks but to date there has been no change to these ratings. The ratings of institutions is continually monitored and more wholesale changes</w:t>
      </w:r>
      <w:r w:rsidR="00D2550A">
        <w:rPr>
          <w:rFonts w:cs="Arial"/>
          <w:szCs w:val="22"/>
        </w:rPr>
        <w:t xml:space="preserve"> to credit ratings</w:t>
      </w:r>
      <w:r w:rsidRPr="00050103">
        <w:rPr>
          <w:rFonts w:cs="Arial"/>
          <w:szCs w:val="22"/>
        </w:rPr>
        <w:t xml:space="preserve"> ar</w:t>
      </w:r>
      <w:r w:rsidR="00050103">
        <w:rPr>
          <w:rFonts w:cs="Arial"/>
          <w:szCs w:val="22"/>
        </w:rPr>
        <w:t>e expected following quarter 2 and</w:t>
      </w:r>
      <w:r w:rsidRPr="00050103">
        <w:rPr>
          <w:rFonts w:cs="Arial"/>
          <w:szCs w:val="22"/>
        </w:rPr>
        <w:t xml:space="preserve"> quarter 3 results.</w:t>
      </w:r>
    </w:p>
    <w:p w14:paraId="24793BD5" w14:textId="59F90F5A" w:rsidR="00B300F0" w:rsidRPr="00121F64" w:rsidRDefault="00B300F0" w:rsidP="006A674F">
      <w:pPr>
        <w:spacing w:after="120"/>
        <w:jc w:val="both"/>
        <w:rPr>
          <w:rFonts w:cs="Arial"/>
          <w:b/>
          <w:szCs w:val="22"/>
        </w:rPr>
      </w:pPr>
      <w:r w:rsidRPr="00121F64">
        <w:rPr>
          <w:rFonts w:cs="Arial"/>
          <w:b/>
          <w:szCs w:val="22"/>
        </w:rPr>
        <w:t>Credit Risk Management Practices</w:t>
      </w:r>
    </w:p>
    <w:p w14:paraId="42CED9A5" w14:textId="74642792" w:rsidR="00B300F0" w:rsidRPr="00121F64" w:rsidRDefault="00B300F0" w:rsidP="006A674F">
      <w:pPr>
        <w:spacing w:after="120"/>
        <w:jc w:val="both"/>
        <w:rPr>
          <w:rFonts w:cs="Arial"/>
          <w:szCs w:val="22"/>
        </w:rPr>
      </w:pPr>
      <w:r w:rsidRPr="00121F64">
        <w:rPr>
          <w:rFonts w:cs="Arial"/>
          <w:szCs w:val="22"/>
        </w:rPr>
        <w:t>The authority's credit risk management practices are set out on pages 18 to 20 of the Annual Investment Strategy. With particular regard to determining whether the credit risk of financial instruments has increased significantly since initial recognition.</w:t>
      </w:r>
    </w:p>
    <w:p w14:paraId="24CD55E0" w14:textId="601BF574" w:rsidR="00B300F0" w:rsidRPr="00121F64" w:rsidRDefault="00B300F0" w:rsidP="006A674F">
      <w:pPr>
        <w:spacing w:after="120"/>
        <w:jc w:val="both"/>
        <w:rPr>
          <w:rFonts w:cs="Arial"/>
          <w:szCs w:val="22"/>
        </w:rPr>
      </w:pPr>
      <w:r w:rsidRPr="00121F64">
        <w:rPr>
          <w:rFonts w:cs="Arial"/>
          <w:szCs w:val="22"/>
        </w:rPr>
        <w:t>The Annual Investment Strategy requires that deposits are not made with financial institutions unless they meet identified minimum credit criteria, in accordance with the Fitch, Moody's and Standard &amp; Poors credit rating services. The Annual Investment Strategy also considers maximum amounts and time limits with a financial institution located in each category.</w:t>
      </w:r>
    </w:p>
    <w:p w14:paraId="42876AE0" w14:textId="170EA431" w:rsidR="00B300F0" w:rsidRPr="00121F64" w:rsidRDefault="00B300F0" w:rsidP="006A674F">
      <w:pPr>
        <w:spacing w:after="120"/>
        <w:jc w:val="both"/>
        <w:rPr>
          <w:rFonts w:cs="Arial"/>
          <w:szCs w:val="22"/>
        </w:rPr>
      </w:pPr>
      <w:r w:rsidRPr="00121F64">
        <w:rPr>
          <w:rFonts w:cs="Arial"/>
          <w:szCs w:val="22"/>
        </w:rPr>
        <w:t>The authority uses the creditworthiness service provided by Link Asset Services. This service uses a sophisicated modelling approach with credit rating from all three credit rating agencies- Fitch, Moody's and Standard &amp; Poor's, forming the core element. However it does not rely solely on the current credit ratings of counterparties but also uses the following as overlays:</w:t>
      </w:r>
    </w:p>
    <w:p w14:paraId="27BDB4A2" w14:textId="08CB19C7" w:rsidR="00B300F0" w:rsidRPr="00121F64" w:rsidRDefault="00B300F0" w:rsidP="006A674F">
      <w:pPr>
        <w:spacing w:after="120"/>
        <w:jc w:val="both"/>
        <w:rPr>
          <w:rFonts w:cs="Arial"/>
          <w:szCs w:val="22"/>
        </w:rPr>
      </w:pPr>
      <w:r w:rsidRPr="00121F64">
        <w:rPr>
          <w:rFonts w:cs="Arial"/>
          <w:szCs w:val="22"/>
        </w:rPr>
        <w:t>- credit watches and credit outlooks from credit rating agencies</w:t>
      </w:r>
    </w:p>
    <w:p w14:paraId="72A8ACD3" w14:textId="339B8A30" w:rsidR="00B300F0" w:rsidRPr="00121F64" w:rsidRDefault="00B300F0" w:rsidP="006A674F">
      <w:pPr>
        <w:spacing w:after="120"/>
        <w:jc w:val="both"/>
        <w:rPr>
          <w:rFonts w:cs="Arial"/>
          <w:szCs w:val="22"/>
        </w:rPr>
      </w:pPr>
      <w:r w:rsidRPr="00121F64">
        <w:rPr>
          <w:rFonts w:cs="Arial"/>
          <w:szCs w:val="22"/>
        </w:rPr>
        <w:t>- CDS spreads to give early warning of likely changes in credit ratings</w:t>
      </w:r>
    </w:p>
    <w:p w14:paraId="7111167F" w14:textId="01EE4797" w:rsidR="00B300F0" w:rsidRPr="00121F64" w:rsidRDefault="00B300F0" w:rsidP="006A674F">
      <w:pPr>
        <w:spacing w:after="120"/>
        <w:jc w:val="both"/>
        <w:rPr>
          <w:rFonts w:cs="Arial"/>
          <w:szCs w:val="22"/>
        </w:rPr>
      </w:pPr>
      <w:r w:rsidRPr="00121F64">
        <w:rPr>
          <w:rFonts w:cs="Arial"/>
          <w:szCs w:val="22"/>
        </w:rPr>
        <w:t>- sovereign ratings to select counterparties from only the most creditworthy countries.</w:t>
      </w:r>
    </w:p>
    <w:p w14:paraId="4A7EEA45" w14:textId="6A242600" w:rsidR="00B300F0" w:rsidRPr="00121F64" w:rsidRDefault="00B300F0" w:rsidP="006A674F">
      <w:pPr>
        <w:spacing w:after="120"/>
        <w:jc w:val="both"/>
        <w:rPr>
          <w:rFonts w:cs="Arial"/>
          <w:szCs w:val="22"/>
        </w:rPr>
      </w:pPr>
      <w:r w:rsidRPr="00121F64">
        <w:rPr>
          <w:rFonts w:cs="Arial"/>
          <w:szCs w:val="22"/>
        </w:rPr>
        <w:t>The Authority's maximum exposure to credit risk in relation to its investments in financial institutions of £30million cannot be assessed generally as the risk of any institution failing to make interest payments or repay the principal sum will be specific to each individual institution. Recent experience has shown that it is rare for such entities to be unable to meet their commitments. A risk of irrecoverability applies to all of the Authority's deposits but there was no evidence at the 31st March 20</w:t>
      </w:r>
      <w:r w:rsidR="00501FBE" w:rsidRPr="00121F64">
        <w:rPr>
          <w:rFonts w:cs="Arial"/>
          <w:szCs w:val="22"/>
        </w:rPr>
        <w:t>20</w:t>
      </w:r>
      <w:r w:rsidRPr="00121F64">
        <w:rPr>
          <w:rFonts w:cs="Arial"/>
          <w:szCs w:val="22"/>
        </w:rPr>
        <w:t xml:space="preserve"> that this was likely to crystallise.</w:t>
      </w:r>
    </w:p>
    <w:p w14:paraId="402A1FAB" w14:textId="77777777" w:rsidR="00B12D3B" w:rsidRPr="00121F64" w:rsidRDefault="00B12D3B" w:rsidP="006A674F">
      <w:pPr>
        <w:spacing w:before="120" w:after="120"/>
        <w:jc w:val="both"/>
        <w:rPr>
          <w:rFonts w:cs="Arial"/>
          <w:szCs w:val="22"/>
        </w:rPr>
      </w:pPr>
      <w:r w:rsidRPr="00121F64">
        <w:rPr>
          <w:rFonts w:cs="Arial"/>
          <w:szCs w:val="22"/>
        </w:rPr>
        <w:t>During the reporting period the council held no collateral as security for trade debts.</w:t>
      </w:r>
    </w:p>
    <w:p w14:paraId="2B0DBB77" w14:textId="77777777" w:rsidR="00B12D3B" w:rsidRPr="00121F64" w:rsidRDefault="00B12D3B" w:rsidP="00B12D3B">
      <w:pPr>
        <w:spacing w:after="120"/>
        <w:rPr>
          <w:b/>
        </w:rPr>
      </w:pPr>
      <w:r w:rsidRPr="00121F64">
        <w:rPr>
          <w:b/>
        </w:rPr>
        <w:lastRenderedPageBreak/>
        <w:t>Liquidity Risk</w:t>
      </w:r>
    </w:p>
    <w:p w14:paraId="48DD7DA0" w14:textId="77777777" w:rsidR="00B12D3B" w:rsidRPr="00121F64" w:rsidRDefault="00B12D3B" w:rsidP="006A674F">
      <w:pPr>
        <w:spacing w:after="120"/>
        <w:jc w:val="both"/>
        <w:rPr>
          <w:rFonts w:cs="Arial"/>
          <w:szCs w:val="22"/>
        </w:rPr>
      </w:pPr>
      <w:r w:rsidRPr="00121F64">
        <w:rPr>
          <w:rFonts w:cs="Arial"/>
          <w:szCs w:val="22"/>
        </w:rPr>
        <w:t>The authority has ready access to borrowings from the money markets to cover any day to day cash flow need, and whilst the Public Works Loans Board provides access to longer term funds, it also acts as a lender of last resort (although it will not provide funding to an authority whose actions are unlawful).  The authority is also required to provide a balanced budget through the Local Government Finance Act 1992, which ensures sufficient monies are raised to cover annual expenditure.  There is therefore no significant risk that it will be unable to raise finance to meet its commitments under financial instruments.</w:t>
      </w:r>
    </w:p>
    <w:p w14:paraId="74294235" w14:textId="77777777" w:rsidR="00B12D3B" w:rsidRPr="00121F64" w:rsidRDefault="00B12D3B" w:rsidP="006A674F">
      <w:pPr>
        <w:spacing w:after="120"/>
        <w:jc w:val="both"/>
        <w:rPr>
          <w:rFonts w:cs="Arial"/>
          <w:szCs w:val="22"/>
        </w:rPr>
      </w:pPr>
      <w:r w:rsidRPr="00121F64">
        <w:rPr>
          <w:rFonts w:cs="Arial"/>
          <w:szCs w:val="22"/>
        </w:rPr>
        <w:t>The authority manages its liquidity position through the risk management procedures above (the setting and approval of prudential indicators and the approval of the treasury and investment strategy reports), as well as through cash flow management procedures re</w:t>
      </w:r>
      <w:r w:rsidR="006A674F" w:rsidRPr="00121F64">
        <w:rPr>
          <w:rFonts w:cs="Arial"/>
          <w:szCs w:val="22"/>
        </w:rPr>
        <w:t>quired by the Code of Practice.</w:t>
      </w:r>
    </w:p>
    <w:p w14:paraId="6DDDD859" w14:textId="77777777" w:rsidR="00B12D3B" w:rsidRPr="00121F64" w:rsidRDefault="00B12D3B" w:rsidP="00B12D3B">
      <w:pPr>
        <w:spacing w:after="120"/>
        <w:rPr>
          <w:b/>
        </w:rPr>
      </w:pPr>
      <w:r w:rsidRPr="00121F64">
        <w:rPr>
          <w:b/>
        </w:rPr>
        <w:t>Refinancing and Maturity Risk</w:t>
      </w:r>
    </w:p>
    <w:p w14:paraId="72C1BA27" w14:textId="77777777" w:rsidR="00B12D3B" w:rsidRPr="00121F64" w:rsidRDefault="00B12D3B" w:rsidP="006A674F">
      <w:pPr>
        <w:spacing w:after="120"/>
        <w:jc w:val="both"/>
        <w:rPr>
          <w:rFonts w:cs="Arial"/>
          <w:szCs w:val="22"/>
        </w:rPr>
      </w:pPr>
      <w:r w:rsidRPr="00121F64">
        <w:rPr>
          <w:rFonts w:cs="Arial"/>
          <w:szCs w:val="22"/>
        </w:rPr>
        <w:t>The authority maintains a significant debt and investment portfolio.  Whilst the cash flow procedures above are considered against the refinancing risk procedures, longer term risk to the Council relates to managing the exposure to replacing financial instruments as they mature.  This risk relates to both the maturing of longer term financial liabilities an</w:t>
      </w:r>
      <w:r w:rsidR="006A674F" w:rsidRPr="00121F64">
        <w:rPr>
          <w:rFonts w:cs="Arial"/>
          <w:szCs w:val="22"/>
        </w:rPr>
        <w:t>d longer term financial assets.</w:t>
      </w:r>
    </w:p>
    <w:p w14:paraId="0D0F52B2" w14:textId="77777777" w:rsidR="00B12D3B" w:rsidRPr="00121F64" w:rsidRDefault="00B12D3B" w:rsidP="006A674F">
      <w:pPr>
        <w:spacing w:after="120"/>
        <w:jc w:val="both"/>
        <w:rPr>
          <w:rFonts w:cs="Arial"/>
          <w:szCs w:val="22"/>
        </w:rPr>
      </w:pPr>
      <w:r w:rsidRPr="00121F64">
        <w:rPr>
          <w:rFonts w:cs="Arial"/>
          <w:szCs w:val="22"/>
        </w:rPr>
        <w:t>The approved prudential indicator limits for the maturity structure of debt and the limits placed on investments made for greater than one year in duration are the key parameters used to address this risk.  The authority’s approved treasury and investment strategies address the main risks and officers in the finance team within the Resources directorate address the operational risks within the approved parameters.  This includes:</w:t>
      </w:r>
    </w:p>
    <w:p w14:paraId="1FE43921" w14:textId="77777777" w:rsidR="00B12D3B" w:rsidRPr="00121F64" w:rsidRDefault="00B12D3B" w:rsidP="005676B7">
      <w:pPr>
        <w:numPr>
          <w:ilvl w:val="0"/>
          <w:numId w:val="10"/>
        </w:numPr>
        <w:spacing w:after="240"/>
        <w:ind w:left="714" w:hanging="357"/>
        <w:contextualSpacing/>
        <w:jc w:val="both"/>
        <w:rPr>
          <w:rFonts w:cs="Arial"/>
          <w:szCs w:val="22"/>
        </w:rPr>
      </w:pPr>
      <w:r w:rsidRPr="00121F64">
        <w:rPr>
          <w:rFonts w:cs="Arial"/>
          <w:szCs w:val="22"/>
        </w:rPr>
        <w:t>monitoring the maturity profile of financial liabilities and amending the profile through either new borrowing or the rescheduling of the existing debt; and</w:t>
      </w:r>
    </w:p>
    <w:p w14:paraId="11705EE3" w14:textId="687E80E6" w:rsidR="00D32330" w:rsidRPr="00121F64" w:rsidRDefault="00B12D3B" w:rsidP="005676B7">
      <w:pPr>
        <w:numPr>
          <w:ilvl w:val="0"/>
          <w:numId w:val="10"/>
        </w:numPr>
        <w:spacing w:after="120"/>
        <w:ind w:left="714" w:hanging="357"/>
        <w:jc w:val="both"/>
        <w:rPr>
          <w:rFonts w:cs="Arial"/>
          <w:szCs w:val="22"/>
        </w:rPr>
      </w:pPr>
      <w:r w:rsidRPr="00121F64">
        <w:rPr>
          <w:rFonts w:cs="Arial"/>
          <w:szCs w:val="22"/>
        </w:rPr>
        <w:t>monitoring the maturity profile of investments to ensure sufficient liquidity is available for the authority’s day to day cash flow needs, and the spread of longer term investments provide stability of maturities and returns in relation to the longer term cash flow needs.</w:t>
      </w:r>
    </w:p>
    <w:p w14:paraId="1EF4F146" w14:textId="77777777" w:rsidR="00B12D3B" w:rsidRPr="00121F64" w:rsidRDefault="00B12D3B" w:rsidP="006A674F">
      <w:pPr>
        <w:spacing w:after="120"/>
        <w:jc w:val="both"/>
        <w:rPr>
          <w:rFonts w:cs="Arial"/>
          <w:szCs w:val="22"/>
        </w:rPr>
      </w:pPr>
      <w:r w:rsidRPr="00121F64">
        <w:rPr>
          <w:rFonts w:cs="Arial"/>
          <w:szCs w:val="22"/>
        </w:rPr>
        <w:t>The maturity analysis of long term financial liabilities is as follows:</w:t>
      </w:r>
    </w:p>
    <w:tbl>
      <w:tblPr>
        <w:tblStyle w:val="TableGrid"/>
        <w:tblW w:w="7264"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2047"/>
        <w:gridCol w:w="3635"/>
        <w:gridCol w:w="1582"/>
      </w:tblGrid>
      <w:tr w:rsidR="00713EFE" w:rsidRPr="00121F64" w14:paraId="61848BA8" w14:textId="77777777" w:rsidTr="00713EFE">
        <w:trPr>
          <w:jc w:val="center"/>
        </w:trPr>
        <w:tc>
          <w:tcPr>
            <w:tcW w:w="2047" w:type="dxa"/>
          </w:tcPr>
          <w:p w14:paraId="63B5D4B2" w14:textId="05CC293F" w:rsidR="00713EFE" w:rsidRPr="00121F64" w:rsidRDefault="00A944C9" w:rsidP="00713EFE">
            <w:pPr>
              <w:jc w:val="center"/>
              <w:rPr>
                <w:b/>
              </w:rPr>
            </w:pPr>
            <w:r w:rsidRPr="00121F64">
              <w:rPr>
                <w:b/>
              </w:rPr>
              <w:t>2018/19</w:t>
            </w:r>
          </w:p>
        </w:tc>
        <w:tc>
          <w:tcPr>
            <w:tcW w:w="3635" w:type="dxa"/>
          </w:tcPr>
          <w:p w14:paraId="19A605A1" w14:textId="2CFC3CD0" w:rsidR="00713EFE" w:rsidRPr="00121F64" w:rsidRDefault="00713EFE" w:rsidP="00B300F0">
            <w:pPr>
              <w:rPr>
                <w:b/>
              </w:rPr>
            </w:pPr>
          </w:p>
        </w:tc>
        <w:tc>
          <w:tcPr>
            <w:tcW w:w="1582" w:type="dxa"/>
            <w:shd w:val="clear" w:color="auto" w:fill="C5E0B3" w:themeFill="accent6" w:themeFillTint="66"/>
          </w:tcPr>
          <w:p w14:paraId="1132B633" w14:textId="17A7E223" w:rsidR="00713EFE" w:rsidRPr="00121F64" w:rsidRDefault="00A944C9" w:rsidP="00B300F0">
            <w:pPr>
              <w:jc w:val="center"/>
              <w:rPr>
                <w:b/>
              </w:rPr>
            </w:pPr>
            <w:r w:rsidRPr="00121F64">
              <w:rPr>
                <w:b/>
              </w:rPr>
              <w:t>2019/20</w:t>
            </w:r>
          </w:p>
        </w:tc>
      </w:tr>
      <w:tr w:rsidR="00713EFE" w:rsidRPr="00121F64" w14:paraId="4AE5AD9F" w14:textId="77777777" w:rsidTr="00713EFE">
        <w:trPr>
          <w:jc w:val="center"/>
        </w:trPr>
        <w:tc>
          <w:tcPr>
            <w:tcW w:w="2047" w:type="dxa"/>
          </w:tcPr>
          <w:p w14:paraId="0E2234F0" w14:textId="1CB7F3BD" w:rsidR="00713EFE" w:rsidRPr="00121F64" w:rsidRDefault="00713EFE" w:rsidP="00713EFE">
            <w:pPr>
              <w:jc w:val="center"/>
              <w:rPr>
                <w:b/>
              </w:rPr>
            </w:pPr>
            <w:r w:rsidRPr="00121F64">
              <w:rPr>
                <w:b/>
              </w:rPr>
              <w:t>£000</w:t>
            </w:r>
          </w:p>
        </w:tc>
        <w:tc>
          <w:tcPr>
            <w:tcW w:w="3635" w:type="dxa"/>
          </w:tcPr>
          <w:p w14:paraId="35D8D6DC" w14:textId="51ADA866" w:rsidR="00713EFE" w:rsidRPr="00121F64" w:rsidRDefault="00713EFE" w:rsidP="00B300F0">
            <w:pPr>
              <w:rPr>
                <w:b/>
              </w:rPr>
            </w:pPr>
            <w:r w:rsidRPr="00121F64">
              <w:rPr>
                <w:b/>
              </w:rPr>
              <w:t>Period</w:t>
            </w:r>
          </w:p>
        </w:tc>
        <w:tc>
          <w:tcPr>
            <w:tcW w:w="1582" w:type="dxa"/>
            <w:shd w:val="clear" w:color="auto" w:fill="C5E0B3" w:themeFill="accent6" w:themeFillTint="66"/>
          </w:tcPr>
          <w:p w14:paraId="5AB773E3" w14:textId="206A6144" w:rsidR="00713EFE" w:rsidRPr="00121F64" w:rsidRDefault="00713EFE" w:rsidP="00B300F0">
            <w:pPr>
              <w:jc w:val="center"/>
              <w:rPr>
                <w:b/>
              </w:rPr>
            </w:pPr>
            <w:r w:rsidRPr="00121F64">
              <w:rPr>
                <w:b/>
              </w:rPr>
              <w:t>£000</w:t>
            </w:r>
          </w:p>
        </w:tc>
      </w:tr>
      <w:tr w:rsidR="00A944C9" w:rsidRPr="00121F64" w14:paraId="0B2F2CA2" w14:textId="77777777" w:rsidTr="00713EFE">
        <w:trPr>
          <w:jc w:val="center"/>
        </w:trPr>
        <w:tc>
          <w:tcPr>
            <w:tcW w:w="2047" w:type="dxa"/>
          </w:tcPr>
          <w:p w14:paraId="5B09B906" w14:textId="48338D92" w:rsidR="00A944C9" w:rsidRPr="00121F64" w:rsidRDefault="00A944C9" w:rsidP="00A944C9">
            <w:pPr>
              <w:jc w:val="center"/>
              <w:rPr>
                <w:rFonts w:cs="Arial"/>
                <w:i/>
                <w:szCs w:val="22"/>
                <w:lang w:val="en-US"/>
              </w:rPr>
            </w:pPr>
            <w:r w:rsidRPr="00121F64">
              <w:t>-</w:t>
            </w:r>
          </w:p>
        </w:tc>
        <w:tc>
          <w:tcPr>
            <w:tcW w:w="3635" w:type="dxa"/>
            <w:vAlign w:val="center"/>
          </w:tcPr>
          <w:p w14:paraId="684284A7" w14:textId="51559388" w:rsidR="00A944C9" w:rsidRPr="00121F64" w:rsidRDefault="00A944C9" w:rsidP="00A944C9">
            <w:pPr>
              <w:rPr>
                <w:rFonts w:cs="Arial"/>
                <w:szCs w:val="22"/>
                <w:lang w:val="en-US"/>
              </w:rPr>
            </w:pPr>
            <w:r w:rsidRPr="00121F64">
              <w:rPr>
                <w:rFonts w:cs="Arial"/>
                <w:szCs w:val="22"/>
                <w:lang w:val="en-US"/>
              </w:rPr>
              <w:t>Less than one year</w:t>
            </w:r>
          </w:p>
        </w:tc>
        <w:tc>
          <w:tcPr>
            <w:tcW w:w="1582" w:type="dxa"/>
            <w:shd w:val="clear" w:color="auto" w:fill="C5E0B3" w:themeFill="accent6" w:themeFillTint="66"/>
          </w:tcPr>
          <w:p w14:paraId="5AE7D6FA" w14:textId="3D0B3430" w:rsidR="00A944C9" w:rsidRPr="00121F64" w:rsidRDefault="00121F64" w:rsidP="00A944C9">
            <w:pPr>
              <w:jc w:val="center"/>
            </w:pPr>
            <w:r w:rsidRPr="00121F64">
              <w:t>-</w:t>
            </w:r>
          </w:p>
        </w:tc>
      </w:tr>
      <w:tr w:rsidR="00A944C9" w:rsidRPr="00121F64" w14:paraId="7A14DE01" w14:textId="77777777" w:rsidTr="00713EFE">
        <w:trPr>
          <w:jc w:val="center"/>
        </w:trPr>
        <w:tc>
          <w:tcPr>
            <w:tcW w:w="2047" w:type="dxa"/>
            <w:tcBorders>
              <w:bottom w:val="nil"/>
            </w:tcBorders>
          </w:tcPr>
          <w:p w14:paraId="28CC321A" w14:textId="0EC489E4" w:rsidR="00A944C9" w:rsidRPr="00121F64" w:rsidRDefault="00A944C9" w:rsidP="00A944C9">
            <w:pPr>
              <w:jc w:val="center"/>
              <w:rPr>
                <w:rFonts w:cs="Arial"/>
                <w:i/>
                <w:szCs w:val="22"/>
                <w:lang w:val="en-US"/>
              </w:rPr>
            </w:pPr>
            <w:r w:rsidRPr="00121F64">
              <w:t>-</w:t>
            </w:r>
          </w:p>
        </w:tc>
        <w:tc>
          <w:tcPr>
            <w:tcW w:w="3635" w:type="dxa"/>
            <w:tcBorders>
              <w:bottom w:val="nil"/>
            </w:tcBorders>
          </w:tcPr>
          <w:p w14:paraId="2BD00756" w14:textId="1F0BF53F" w:rsidR="00A944C9" w:rsidRPr="00121F64" w:rsidRDefault="00A944C9" w:rsidP="00A944C9">
            <w:pPr>
              <w:rPr>
                <w:rFonts w:cs="Arial"/>
                <w:szCs w:val="22"/>
                <w:lang w:val="en-US"/>
              </w:rPr>
            </w:pPr>
            <w:r w:rsidRPr="00121F64">
              <w:rPr>
                <w:rFonts w:cs="Arial"/>
                <w:szCs w:val="22"/>
                <w:lang w:val="en-US"/>
              </w:rPr>
              <w:t>Between one and two years</w:t>
            </w:r>
          </w:p>
        </w:tc>
        <w:tc>
          <w:tcPr>
            <w:tcW w:w="1582" w:type="dxa"/>
            <w:tcBorders>
              <w:bottom w:val="nil"/>
            </w:tcBorders>
            <w:shd w:val="clear" w:color="auto" w:fill="C5E0B3" w:themeFill="accent6" w:themeFillTint="66"/>
          </w:tcPr>
          <w:p w14:paraId="66B648D4" w14:textId="2B4CD16E" w:rsidR="00A944C9" w:rsidRPr="00121F64" w:rsidRDefault="00121F64" w:rsidP="00A944C9">
            <w:pPr>
              <w:jc w:val="center"/>
            </w:pPr>
            <w:r w:rsidRPr="00121F64">
              <w:t>-</w:t>
            </w:r>
          </w:p>
        </w:tc>
      </w:tr>
      <w:tr w:rsidR="00A944C9" w:rsidRPr="00121F64" w14:paraId="1990E468" w14:textId="77777777" w:rsidTr="00713EFE">
        <w:trPr>
          <w:jc w:val="center"/>
        </w:trPr>
        <w:tc>
          <w:tcPr>
            <w:tcW w:w="2047" w:type="dxa"/>
            <w:tcBorders>
              <w:bottom w:val="nil"/>
            </w:tcBorders>
          </w:tcPr>
          <w:p w14:paraId="01D8DD4F" w14:textId="5967EEEB" w:rsidR="00A944C9" w:rsidRPr="00121F64" w:rsidRDefault="00A944C9" w:rsidP="00A944C9">
            <w:pPr>
              <w:jc w:val="center"/>
              <w:rPr>
                <w:rFonts w:cs="Arial"/>
                <w:i/>
                <w:szCs w:val="22"/>
                <w:lang w:val="en-US"/>
              </w:rPr>
            </w:pPr>
            <w:r w:rsidRPr="00121F64">
              <w:t>924</w:t>
            </w:r>
          </w:p>
        </w:tc>
        <w:tc>
          <w:tcPr>
            <w:tcW w:w="3635" w:type="dxa"/>
            <w:tcBorders>
              <w:bottom w:val="nil"/>
            </w:tcBorders>
          </w:tcPr>
          <w:p w14:paraId="0D95C946" w14:textId="3CAADC79" w:rsidR="00A944C9" w:rsidRPr="00121F64" w:rsidRDefault="00A944C9" w:rsidP="00A944C9">
            <w:pPr>
              <w:rPr>
                <w:rFonts w:cs="Arial"/>
                <w:szCs w:val="22"/>
                <w:lang w:val="en-US"/>
              </w:rPr>
            </w:pPr>
            <w:r w:rsidRPr="00121F64">
              <w:rPr>
                <w:rFonts w:cs="Arial"/>
                <w:szCs w:val="22"/>
                <w:lang w:val="en-US"/>
              </w:rPr>
              <w:t>Between two and seven years</w:t>
            </w:r>
          </w:p>
        </w:tc>
        <w:tc>
          <w:tcPr>
            <w:tcW w:w="1582" w:type="dxa"/>
            <w:tcBorders>
              <w:bottom w:val="nil"/>
            </w:tcBorders>
            <w:shd w:val="clear" w:color="auto" w:fill="C5E0B3" w:themeFill="accent6" w:themeFillTint="66"/>
          </w:tcPr>
          <w:p w14:paraId="46572E1D" w14:textId="1C0E4C8C" w:rsidR="00A944C9" w:rsidRPr="00121F64" w:rsidRDefault="008723EB" w:rsidP="00A944C9">
            <w:pPr>
              <w:jc w:val="center"/>
            </w:pPr>
            <w:r>
              <w:t>840</w:t>
            </w:r>
          </w:p>
        </w:tc>
      </w:tr>
      <w:tr w:rsidR="00A944C9" w:rsidRPr="00121F64" w14:paraId="63E02ABA" w14:textId="77777777" w:rsidTr="00713EFE">
        <w:trPr>
          <w:jc w:val="center"/>
        </w:trPr>
        <w:tc>
          <w:tcPr>
            <w:tcW w:w="2047" w:type="dxa"/>
            <w:tcBorders>
              <w:bottom w:val="nil"/>
            </w:tcBorders>
          </w:tcPr>
          <w:p w14:paraId="0AF63F5C" w14:textId="20E1CBF1" w:rsidR="00A944C9" w:rsidRPr="00121F64" w:rsidRDefault="00A944C9" w:rsidP="00A944C9">
            <w:pPr>
              <w:jc w:val="center"/>
              <w:rPr>
                <w:rFonts w:cs="Arial"/>
                <w:i/>
                <w:szCs w:val="22"/>
                <w:lang w:val="en-US"/>
              </w:rPr>
            </w:pPr>
            <w:r w:rsidRPr="00121F64">
              <w:t>-</w:t>
            </w:r>
          </w:p>
        </w:tc>
        <w:tc>
          <w:tcPr>
            <w:tcW w:w="3635" w:type="dxa"/>
            <w:tcBorders>
              <w:bottom w:val="nil"/>
            </w:tcBorders>
          </w:tcPr>
          <w:p w14:paraId="66972366" w14:textId="77AEE0E2" w:rsidR="00A944C9" w:rsidRPr="00121F64" w:rsidRDefault="00A944C9" w:rsidP="00A944C9">
            <w:pPr>
              <w:rPr>
                <w:rFonts w:cs="Arial"/>
                <w:szCs w:val="22"/>
                <w:lang w:val="en-US"/>
              </w:rPr>
            </w:pPr>
            <w:r w:rsidRPr="00121F64">
              <w:rPr>
                <w:rFonts w:cs="Arial"/>
                <w:szCs w:val="22"/>
                <w:lang w:val="en-US"/>
              </w:rPr>
              <w:t>Between seven and 15 years</w:t>
            </w:r>
          </w:p>
        </w:tc>
        <w:tc>
          <w:tcPr>
            <w:tcW w:w="1582" w:type="dxa"/>
            <w:tcBorders>
              <w:bottom w:val="nil"/>
            </w:tcBorders>
            <w:shd w:val="clear" w:color="auto" w:fill="C5E0B3" w:themeFill="accent6" w:themeFillTint="66"/>
          </w:tcPr>
          <w:p w14:paraId="4F35F40B" w14:textId="06955E3C" w:rsidR="00A944C9" w:rsidRPr="00121F64" w:rsidRDefault="00121F64" w:rsidP="00A944C9">
            <w:pPr>
              <w:jc w:val="center"/>
            </w:pPr>
            <w:r w:rsidRPr="00121F64">
              <w:t>-</w:t>
            </w:r>
          </w:p>
        </w:tc>
      </w:tr>
      <w:tr w:rsidR="00A944C9" w:rsidRPr="00121F64" w14:paraId="265BF170" w14:textId="77777777" w:rsidTr="00713EFE">
        <w:trPr>
          <w:jc w:val="center"/>
        </w:trPr>
        <w:tc>
          <w:tcPr>
            <w:tcW w:w="2047" w:type="dxa"/>
            <w:tcBorders>
              <w:bottom w:val="single" w:sz="4" w:space="0" w:color="auto"/>
            </w:tcBorders>
          </w:tcPr>
          <w:p w14:paraId="4AA950E2" w14:textId="36AEE5EC" w:rsidR="00A944C9" w:rsidRPr="00121F64" w:rsidRDefault="00A944C9" w:rsidP="00A944C9">
            <w:pPr>
              <w:jc w:val="center"/>
              <w:rPr>
                <w:rFonts w:cs="Arial"/>
                <w:i/>
                <w:szCs w:val="22"/>
                <w:lang w:val="en-US"/>
              </w:rPr>
            </w:pPr>
            <w:r w:rsidRPr="00121F64">
              <w:t>21,386</w:t>
            </w:r>
          </w:p>
        </w:tc>
        <w:tc>
          <w:tcPr>
            <w:tcW w:w="3635" w:type="dxa"/>
            <w:tcBorders>
              <w:bottom w:val="single" w:sz="4" w:space="0" w:color="FFFFFF" w:themeColor="background1"/>
            </w:tcBorders>
          </w:tcPr>
          <w:p w14:paraId="29D40E85" w14:textId="23E95D34" w:rsidR="00A944C9" w:rsidRPr="00121F64" w:rsidRDefault="00A944C9" w:rsidP="00A944C9">
            <w:pPr>
              <w:rPr>
                <w:rFonts w:cs="Arial"/>
                <w:szCs w:val="22"/>
                <w:lang w:val="en-US"/>
              </w:rPr>
            </w:pPr>
            <w:r w:rsidRPr="00121F64">
              <w:rPr>
                <w:rFonts w:cs="Arial"/>
                <w:szCs w:val="22"/>
                <w:lang w:val="en-US"/>
              </w:rPr>
              <w:t>More than 15 years</w:t>
            </w:r>
          </w:p>
        </w:tc>
        <w:tc>
          <w:tcPr>
            <w:tcW w:w="1582" w:type="dxa"/>
            <w:tcBorders>
              <w:bottom w:val="nil"/>
            </w:tcBorders>
            <w:shd w:val="clear" w:color="auto" w:fill="C5E0B3" w:themeFill="accent6" w:themeFillTint="66"/>
          </w:tcPr>
          <w:p w14:paraId="473DBBD7" w14:textId="4DE934A4" w:rsidR="00A944C9" w:rsidRPr="00121F64" w:rsidRDefault="00121F64" w:rsidP="00A944C9">
            <w:pPr>
              <w:jc w:val="center"/>
            </w:pPr>
            <w:r w:rsidRPr="00121F64">
              <w:t>21,386</w:t>
            </w:r>
          </w:p>
        </w:tc>
      </w:tr>
      <w:tr w:rsidR="00A944C9" w:rsidRPr="00121F64" w14:paraId="6B77765A" w14:textId="77777777" w:rsidTr="00713EFE">
        <w:trPr>
          <w:jc w:val="center"/>
        </w:trPr>
        <w:tc>
          <w:tcPr>
            <w:tcW w:w="2047" w:type="dxa"/>
            <w:tcBorders>
              <w:top w:val="single" w:sz="4" w:space="0" w:color="auto"/>
              <w:bottom w:val="single" w:sz="4" w:space="0" w:color="auto"/>
            </w:tcBorders>
          </w:tcPr>
          <w:p w14:paraId="387E83CB" w14:textId="0BCC513E" w:rsidR="00A944C9" w:rsidRPr="00121F64" w:rsidRDefault="00A944C9" w:rsidP="00A944C9">
            <w:pPr>
              <w:jc w:val="center"/>
              <w:rPr>
                <w:b/>
                <w:i/>
              </w:rPr>
            </w:pPr>
            <w:r w:rsidRPr="00121F64">
              <w:rPr>
                <w:b/>
              </w:rPr>
              <w:t>22,310</w:t>
            </w:r>
          </w:p>
        </w:tc>
        <w:tc>
          <w:tcPr>
            <w:tcW w:w="3635" w:type="dxa"/>
            <w:tcBorders>
              <w:top w:val="single" w:sz="4" w:space="0" w:color="FFFFFF" w:themeColor="background1"/>
              <w:bottom w:val="nil"/>
            </w:tcBorders>
          </w:tcPr>
          <w:p w14:paraId="304A105C" w14:textId="5C90C265" w:rsidR="00A944C9" w:rsidRPr="00121F64" w:rsidRDefault="00A944C9" w:rsidP="00A944C9">
            <w:pPr>
              <w:rPr>
                <w:b/>
              </w:rPr>
            </w:pPr>
            <w:r w:rsidRPr="00121F64">
              <w:rPr>
                <w:b/>
              </w:rPr>
              <w:t>Total</w:t>
            </w:r>
          </w:p>
        </w:tc>
        <w:tc>
          <w:tcPr>
            <w:tcW w:w="1582" w:type="dxa"/>
            <w:tcBorders>
              <w:top w:val="single" w:sz="8" w:space="0" w:color="auto"/>
              <w:bottom w:val="single" w:sz="8" w:space="0" w:color="auto"/>
            </w:tcBorders>
            <w:shd w:val="clear" w:color="auto" w:fill="C5E0B3" w:themeFill="accent6" w:themeFillTint="66"/>
          </w:tcPr>
          <w:p w14:paraId="24625584" w14:textId="74096757" w:rsidR="00A944C9" w:rsidRPr="00121F64" w:rsidRDefault="00121F64" w:rsidP="00A944C9">
            <w:pPr>
              <w:jc w:val="center"/>
              <w:rPr>
                <w:b/>
              </w:rPr>
            </w:pPr>
            <w:r w:rsidRPr="00121F64">
              <w:rPr>
                <w:b/>
              </w:rPr>
              <w:t>22,</w:t>
            </w:r>
            <w:r w:rsidR="00E937D9">
              <w:rPr>
                <w:b/>
              </w:rPr>
              <w:t>226</w:t>
            </w:r>
          </w:p>
        </w:tc>
      </w:tr>
      <w:tr w:rsidR="00713EFE" w:rsidRPr="00121F64" w14:paraId="7B865FE7" w14:textId="77777777" w:rsidTr="00713EFE">
        <w:trPr>
          <w:trHeight w:hRule="exact" w:val="142"/>
          <w:jc w:val="center"/>
        </w:trPr>
        <w:tc>
          <w:tcPr>
            <w:tcW w:w="2047" w:type="dxa"/>
            <w:tcBorders>
              <w:top w:val="single" w:sz="4" w:space="0" w:color="auto"/>
            </w:tcBorders>
          </w:tcPr>
          <w:p w14:paraId="64C93C4D" w14:textId="77777777" w:rsidR="00713EFE" w:rsidRPr="00121F64" w:rsidRDefault="00713EFE" w:rsidP="00B300F0">
            <w:pPr>
              <w:jc w:val="both"/>
            </w:pPr>
          </w:p>
        </w:tc>
        <w:tc>
          <w:tcPr>
            <w:tcW w:w="3635" w:type="dxa"/>
            <w:tcBorders>
              <w:top w:val="nil"/>
            </w:tcBorders>
          </w:tcPr>
          <w:p w14:paraId="61044CE2" w14:textId="6892DA2F" w:rsidR="00713EFE" w:rsidRPr="00121F64" w:rsidRDefault="00713EFE" w:rsidP="00B300F0">
            <w:pPr>
              <w:jc w:val="both"/>
            </w:pPr>
          </w:p>
        </w:tc>
        <w:tc>
          <w:tcPr>
            <w:tcW w:w="1582" w:type="dxa"/>
            <w:tcBorders>
              <w:top w:val="nil"/>
            </w:tcBorders>
          </w:tcPr>
          <w:p w14:paraId="7D067368" w14:textId="0A66D7A2" w:rsidR="00713EFE" w:rsidRPr="00121F64" w:rsidRDefault="00713EFE" w:rsidP="00B300F0">
            <w:pPr>
              <w:jc w:val="right"/>
            </w:pPr>
          </w:p>
        </w:tc>
      </w:tr>
    </w:tbl>
    <w:p w14:paraId="6D1A1C53" w14:textId="731EEF14" w:rsidR="00B12D3B" w:rsidRPr="00121F64" w:rsidRDefault="00B12D3B" w:rsidP="006A674F">
      <w:pPr>
        <w:spacing w:before="120" w:after="120"/>
        <w:jc w:val="both"/>
        <w:rPr>
          <w:rFonts w:cs="Arial"/>
          <w:szCs w:val="22"/>
        </w:rPr>
      </w:pPr>
      <w:r w:rsidRPr="00121F64">
        <w:rPr>
          <w:rFonts w:cs="Arial"/>
          <w:szCs w:val="22"/>
        </w:rPr>
        <w:t>The maturity analysis of long term financial assets</w:t>
      </w:r>
      <w:r w:rsidR="00B300F0" w:rsidRPr="00121F64">
        <w:rPr>
          <w:rFonts w:cs="Arial"/>
          <w:szCs w:val="22"/>
        </w:rPr>
        <w:t>, excluding sums due from customers</w:t>
      </w:r>
      <w:r w:rsidRPr="00121F64">
        <w:rPr>
          <w:rFonts w:cs="Arial"/>
          <w:szCs w:val="22"/>
        </w:rPr>
        <w:t xml:space="preserve"> is as follows:</w:t>
      </w:r>
    </w:p>
    <w:tbl>
      <w:tblPr>
        <w:tblStyle w:val="TableGrid"/>
        <w:tblW w:w="8624"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6778"/>
        <w:gridCol w:w="1846"/>
      </w:tblGrid>
      <w:tr w:rsidR="00B12D3B" w:rsidRPr="00121F64" w14:paraId="3D5255FE" w14:textId="77777777" w:rsidTr="00E54C37">
        <w:trPr>
          <w:jc w:val="center"/>
        </w:trPr>
        <w:tc>
          <w:tcPr>
            <w:tcW w:w="6778" w:type="dxa"/>
          </w:tcPr>
          <w:p w14:paraId="1DBD7C4A" w14:textId="77777777" w:rsidR="00B12D3B" w:rsidRPr="00121F64" w:rsidRDefault="00B12D3B" w:rsidP="00E54C37">
            <w:pPr>
              <w:rPr>
                <w:b/>
              </w:rPr>
            </w:pPr>
            <w:r w:rsidRPr="00121F64">
              <w:rPr>
                <w:b/>
              </w:rPr>
              <w:t>Period</w:t>
            </w:r>
          </w:p>
        </w:tc>
        <w:tc>
          <w:tcPr>
            <w:tcW w:w="1846" w:type="dxa"/>
            <w:shd w:val="clear" w:color="auto" w:fill="C5E0B3" w:themeFill="accent6" w:themeFillTint="66"/>
          </w:tcPr>
          <w:p w14:paraId="0955D829" w14:textId="77777777" w:rsidR="00B12D3B" w:rsidRPr="00121F64" w:rsidRDefault="00B12D3B" w:rsidP="00E54C37">
            <w:pPr>
              <w:jc w:val="center"/>
              <w:rPr>
                <w:b/>
              </w:rPr>
            </w:pPr>
            <w:r w:rsidRPr="00121F64">
              <w:rPr>
                <w:b/>
              </w:rPr>
              <w:t>£000</w:t>
            </w:r>
          </w:p>
        </w:tc>
      </w:tr>
      <w:tr w:rsidR="00B12D3B" w:rsidRPr="00121F64" w14:paraId="013B84AB" w14:textId="77777777" w:rsidTr="00E54C37">
        <w:trPr>
          <w:jc w:val="center"/>
        </w:trPr>
        <w:tc>
          <w:tcPr>
            <w:tcW w:w="6778" w:type="dxa"/>
            <w:tcBorders>
              <w:bottom w:val="nil"/>
            </w:tcBorders>
          </w:tcPr>
          <w:p w14:paraId="1AB9B47D" w14:textId="77777777" w:rsidR="00B12D3B" w:rsidRPr="00121F64" w:rsidRDefault="00B12D3B" w:rsidP="00E54C37">
            <w:pPr>
              <w:rPr>
                <w:rFonts w:cs="Arial"/>
                <w:szCs w:val="22"/>
                <w:lang w:val="en-US"/>
              </w:rPr>
            </w:pPr>
            <w:r w:rsidRPr="00121F64">
              <w:rPr>
                <w:rFonts w:cs="Arial"/>
                <w:szCs w:val="22"/>
                <w:lang w:val="en-US"/>
              </w:rPr>
              <w:t>Between one and two years</w:t>
            </w:r>
          </w:p>
        </w:tc>
        <w:tc>
          <w:tcPr>
            <w:tcW w:w="1846" w:type="dxa"/>
            <w:tcBorders>
              <w:bottom w:val="nil"/>
            </w:tcBorders>
            <w:shd w:val="clear" w:color="auto" w:fill="C5E0B3" w:themeFill="accent6" w:themeFillTint="66"/>
          </w:tcPr>
          <w:p w14:paraId="614DD043" w14:textId="688B2B85" w:rsidR="00B12D3B" w:rsidRPr="00121F64" w:rsidRDefault="000C6121" w:rsidP="00E54C37">
            <w:pPr>
              <w:jc w:val="right"/>
            </w:pPr>
            <w:r w:rsidRPr="00121F64">
              <w:t>1</w:t>
            </w:r>
          </w:p>
        </w:tc>
      </w:tr>
      <w:tr w:rsidR="00B12D3B" w:rsidRPr="00121F64" w14:paraId="0E996893" w14:textId="77777777" w:rsidTr="00E54C37">
        <w:trPr>
          <w:jc w:val="center"/>
        </w:trPr>
        <w:tc>
          <w:tcPr>
            <w:tcW w:w="6778" w:type="dxa"/>
            <w:tcBorders>
              <w:bottom w:val="nil"/>
            </w:tcBorders>
          </w:tcPr>
          <w:p w14:paraId="635D3DEE" w14:textId="77777777" w:rsidR="00B12D3B" w:rsidRPr="00121F64" w:rsidRDefault="00B12D3B" w:rsidP="00B12D3B">
            <w:pPr>
              <w:rPr>
                <w:rFonts w:cs="Arial"/>
                <w:szCs w:val="22"/>
                <w:lang w:val="en-US"/>
              </w:rPr>
            </w:pPr>
            <w:r w:rsidRPr="00121F64">
              <w:rPr>
                <w:rFonts w:cs="Arial"/>
                <w:szCs w:val="22"/>
                <w:lang w:val="en-US"/>
              </w:rPr>
              <w:t>Between two and three years</w:t>
            </w:r>
          </w:p>
        </w:tc>
        <w:tc>
          <w:tcPr>
            <w:tcW w:w="1846" w:type="dxa"/>
            <w:tcBorders>
              <w:bottom w:val="nil"/>
            </w:tcBorders>
            <w:shd w:val="clear" w:color="auto" w:fill="C5E0B3" w:themeFill="accent6" w:themeFillTint="66"/>
          </w:tcPr>
          <w:p w14:paraId="0B1DBAF1" w14:textId="6AB86228" w:rsidR="00B12D3B" w:rsidRPr="00121F64" w:rsidRDefault="00121F64" w:rsidP="002309D7">
            <w:pPr>
              <w:jc w:val="right"/>
            </w:pPr>
            <w:r w:rsidRPr="00121F64">
              <w:t>1</w:t>
            </w:r>
          </w:p>
        </w:tc>
      </w:tr>
      <w:tr w:rsidR="00B12D3B" w:rsidRPr="00121F64" w14:paraId="5B5DD1BE" w14:textId="77777777" w:rsidTr="00E54C37">
        <w:trPr>
          <w:jc w:val="center"/>
        </w:trPr>
        <w:tc>
          <w:tcPr>
            <w:tcW w:w="6778" w:type="dxa"/>
            <w:tcBorders>
              <w:bottom w:val="nil"/>
            </w:tcBorders>
          </w:tcPr>
          <w:p w14:paraId="2E4D8BA5" w14:textId="77777777" w:rsidR="00B12D3B" w:rsidRPr="00121F64" w:rsidRDefault="00B12D3B" w:rsidP="00B12D3B">
            <w:pPr>
              <w:rPr>
                <w:rFonts w:cs="Arial"/>
                <w:szCs w:val="22"/>
                <w:lang w:val="en-US"/>
              </w:rPr>
            </w:pPr>
            <w:r w:rsidRPr="00121F64">
              <w:rPr>
                <w:rFonts w:cs="Arial"/>
                <w:szCs w:val="22"/>
                <w:lang w:val="en-US"/>
              </w:rPr>
              <w:t>More than three years</w:t>
            </w:r>
          </w:p>
        </w:tc>
        <w:tc>
          <w:tcPr>
            <w:tcW w:w="1846" w:type="dxa"/>
            <w:tcBorders>
              <w:bottom w:val="nil"/>
            </w:tcBorders>
            <w:shd w:val="clear" w:color="auto" w:fill="C5E0B3" w:themeFill="accent6" w:themeFillTint="66"/>
          </w:tcPr>
          <w:p w14:paraId="6FF31447" w14:textId="1B5F6021" w:rsidR="00B12D3B" w:rsidRPr="00121F64" w:rsidRDefault="00121F64" w:rsidP="006307B6">
            <w:pPr>
              <w:jc w:val="right"/>
            </w:pPr>
            <w:r w:rsidRPr="00121F64">
              <w:t>146</w:t>
            </w:r>
          </w:p>
        </w:tc>
      </w:tr>
      <w:tr w:rsidR="00B12D3B" w:rsidRPr="00121F64" w14:paraId="3072C324" w14:textId="77777777" w:rsidTr="00E54C37">
        <w:trPr>
          <w:jc w:val="center"/>
        </w:trPr>
        <w:tc>
          <w:tcPr>
            <w:tcW w:w="6778" w:type="dxa"/>
            <w:tcBorders>
              <w:bottom w:val="nil"/>
            </w:tcBorders>
          </w:tcPr>
          <w:p w14:paraId="394439DE" w14:textId="77777777" w:rsidR="00B12D3B" w:rsidRPr="00121F64" w:rsidRDefault="00B12D3B" w:rsidP="00E54C37">
            <w:pPr>
              <w:rPr>
                <w:b/>
              </w:rPr>
            </w:pPr>
            <w:r w:rsidRPr="00121F64">
              <w:rPr>
                <w:b/>
              </w:rPr>
              <w:t>Total</w:t>
            </w:r>
          </w:p>
        </w:tc>
        <w:tc>
          <w:tcPr>
            <w:tcW w:w="1846" w:type="dxa"/>
            <w:tcBorders>
              <w:top w:val="single" w:sz="8" w:space="0" w:color="auto"/>
              <w:bottom w:val="single" w:sz="8" w:space="0" w:color="auto"/>
            </w:tcBorders>
            <w:shd w:val="clear" w:color="auto" w:fill="C5E0B3" w:themeFill="accent6" w:themeFillTint="66"/>
          </w:tcPr>
          <w:p w14:paraId="096CDD4F" w14:textId="527E3ADB" w:rsidR="00B12D3B" w:rsidRPr="00121F64" w:rsidRDefault="00B300F0" w:rsidP="006307B6">
            <w:pPr>
              <w:jc w:val="right"/>
              <w:rPr>
                <w:b/>
              </w:rPr>
            </w:pPr>
            <w:r w:rsidRPr="00121F64">
              <w:rPr>
                <w:b/>
              </w:rPr>
              <w:t>1</w:t>
            </w:r>
            <w:r w:rsidR="00121F64" w:rsidRPr="00121F64">
              <w:rPr>
                <w:b/>
              </w:rPr>
              <w:t>4</w:t>
            </w:r>
            <w:r w:rsidR="001F3AF2">
              <w:rPr>
                <w:b/>
              </w:rPr>
              <w:t>8</w:t>
            </w:r>
          </w:p>
        </w:tc>
      </w:tr>
      <w:tr w:rsidR="00B12D3B" w:rsidRPr="00121F64" w14:paraId="65B27816" w14:textId="77777777" w:rsidTr="00E54C37">
        <w:trPr>
          <w:trHeight w:hRule="exact" w:val="142"/>
          <w:jc w:val="center"/>
        </w:trPr>
        <w:tc>
          <w:tcPr>
            <w:tcW w:w="6778" w:type="dxa"/>
            <w:tcBorders>
              <w:top w:val="nil"/>
            </w:tcBorders>
          </w:tcPr>
          <w:p w14:paraId="3DB512B2" w14:textId="77777777" w:rsidR="00B12D3B" w:rsidRPr="00121F64" w:rsidRDefault="00B12D3B" w:rsidP="00E54C37">
            <w:pPr>
              <w:jc w:val="both"/>
            </w:pPr>
          </w:p>
        </w:tc>
        <w:tc>
          <w:tcPr>
            <w:tcW w:w="1846" w:type="dxa"/>
            <w:tcBorders>
              <w:top w:val="nil"/>
            </w:tcBorders>
          </w:tcPr>
          <w:p w14:paraId="669B0F9A" w14:textId="77777777" w:rsidR="00B12D3B" w:rsidRPr="00121F64" w:rsidRDefault="00B12D3B" w:rsidP="00E54C37">
            <w:pPr>
              <w:jc w:val="right"/>
            </w:pPr>
          </w:p>
        </w:tc>
      </w:tr>
    </w:tbl>
    <w:p w14:paraId="0AB5C879" w14:textId="57F52387" w:rsidR="00B12D3B" w:rsidRPr="00121F64" w:rsidRDefault="00B12D3B" w:rsidP="006A674F">
      <w:pPr>
        <w:spacing w:before="120" w:after="120"/>
        <w:jc w:val="both"/>
        <w:rPr>
          <w:rFonts w:cs="Arial"/>
          <w:szCs w:val="22"/>
        </w:rPr>
      </w:pPr>
      <w:r w:rsidRPr="00121F64">
        <w:rPr>
          <w:rFonts w:cs="Arial"/>
          <w:szCs w:val="22"/>
        </w:rPr>
        <w:t>All trade and other payables are due to be paid in less than one year and trade debtors totalling £</w:t>
      </w:r>
      <w:r w:rsidR="00EA77CA" w:rsidRPr="00121F64">
        <w:rPr>
          <w:rFonts w:cs="Arial"/>
          <w:szCs w:val="22"/>
        </w:rPr>
        <w:t>1.</w:t>
      </w:r>
      <w:r w:rsidR="003400E2" w:rsidRPr="00121F64">
        <w:rPr>
          <w:rFonts w:cs="Arial"/>
          <w:szCs w:val="22"/>
        </w:rPr>
        <w:t>98</w:t>
      </w:r>
      <w:r w:rsidRPr="00121F64">
        <w:rPr>
          <w:rFonts w:cs="Arial"/>
          <w:szCs w:val="22"/>
        </w:rPr>
        <w:t xml:space="preserve"> million are not shown in the table above.</w:t>
      </w:r>
    </w:p>
    <w:p w14:paraId="7AD893AF" w14:textId="77777777" w:rsidR="00B12D3B" w:rsidRPr="00121F64" w:rsidRDefault="00B12D3B" w:rsidP="00B12D3B">
      <w:pPr>
        <w:spacing w:after="120"/>
        <w:rPr>
          <w:b/>
        </w:rPr>
      </w:pPr>
      <w:r w:rsidRPr="00121F64">
        <w:rPr>
          <w:b/>
        </w:rPr>
        <w:t>Market Risk</w:t>
      </w:r>
    </w:p>
    <w:p w14:paraId="61A69696" w14:textId="77777777" w:rsidR="00B12D3B" w:rsidRPr="00121F64" w:rsidRDefault="00B12D3B" w:rsidP="006A674F">
      <w:pPr>
        <w:spacing w:before="120" w:after="120"/>
        <w:jc w:val="both"/>
        <w:rPr>
          <w:rFonts w:cs="Arial"/>
          <w:szCs w:val="22"/>
        </w:rPr>
      </w:pPr>
      <w:r w:rsidRPr="00121F64">
        <w:rPr>
          <w:rFonts w:cs="Arial"/>
          <w:szCs w:val="22"/>
        </w:rPr>
        <w:t>Interest rate risk</w:t>
      </w:r>
    </w:p>
    <w:p w14:paraId="4EEBD5A1" w14:textId="77777777" w:rsidR="00B12D3B" w:rsidRPr="00121F64" w:rsidRDefault="00B12D3B" w:rsidP="006A674F">
      <w:pPr>
        <w:spacing w:before="120" w:after="120"/>
        <w:jc w:val="both"/>
        <w:rPr>
          <w:rFonts w:cs="Arial"/>
          <w:szCs w:val="22"/>
        </w:rPr>
      </w:pPr>
      <w:r w:rsidRPr="00121F64">
        <w:rPr>
          <w:rFonts w:cs="Arial"/>
          <w:szCs w:val="22"/>
        </w:rPr>
        <w:t xml:space="preserve">The authority is exposed to interest rate movements on its borrowings and investments.  Movements in interest rates have a complex impact on the authority depending on how variable and fixed interest rates </w:t>
      </w:r>
      <w:r w:rsidRPr="00121F64">
        <w:rPr>
          <w:rFonts w:cs="Arial"/>
          <w:szCs w:val="22"/>
        </w:rPr>
        <w:lastRenderedPageBreak/>
        <w:t>move across differing financial instrument periods.  For instance, a rise in variable and fixed interest rates would have the following effects:</w:t>
      </w:r>
    </w:p>
    <w:p w14:paraId="71CAA5CC" w14:textId="14EF59D3" w:rsidR="00B12D3B" w:rsidRPr="00121F64" w:rsidRDefault="00B12D3B" w:rsidP="005676B7">
      <w:pPr>
        <w:numPr>
          <w:ilvl w:val="0"/>
          <w:numId w:val="10"/>
        </w:numPr>
        <w:spacing w:after="120"/>
        <w:ind w:left="714" w:hanging="357"/>
        <w:contextualSpacing/>
        <w:jc w:val="both"/>
        <w:rPr>
          <w:rFonts w:cs="Arial"/>
          <w:szCs w:val="22"/>
        </w:rPr>
      </w:pPr>
      <w:r w:rsidRPr="00121F64">
        <w:rPr>
          <w:rFonts w:cs="Arial"/>
          <w:szCs w:val="22"/>
        </w:rPr>
        <w:t>borrowings at fixed rates – the fair value of th</w:t>
      </w:r>
      <w:r w:rsidR="00713EFE" w:rsidRPr="00121F64">
        <w:rPr>
          <w:rFonts w:cs="Arial"/>
          <w:szCs w:val="22"/>
        </w:rPr>
        <w:t>e borrowing liability will fall (no impact on revenue balances);</w:t>
      </w:r>
    </w:p>
    <w:p w14:paraId="01403D55" w14:textId="1A864853" w:rsidR="00B12D3B" w:rsidRPr="00121F64" w:rsidRDefault="00B12D3B" w:rsidP="005676B7">
      <w:pPr>
        <w:numPr>
          <w:ilvl w:val="0"/>
          <w:numId w:val="10"/>
        </w:numPr>
        <w:spacing w:after="120"/>
        <w:ind w:left="714" w:hanging="357"/>
        <w:jc w:val="both"/>
        <w:rPr>
          <w:rFonts w:cs="Arial"/>
          <w:szCs w:val="22"/>
        </w:rPr>
      </w:pPr>
      <w:r w:rsidRPr="00121F64">
        <w:rPr>
          <w:rFonts w:cs="Arial"/>
          <w:szCs w:val="22"/>
        </w:rPr>
        <w:t>investments at fixed rates – the fai</w:t>
      </w:r>
      <w:r w:rsidR="00713EFE" w:rsidRPr="00121F64">
        <w:rPr>
          <w:rFonts w:cs="Arial"/>
          <w:szCs w:val="22"/>
        </w:rPr>
        <w:t>r value of the assets will fall (no impact on revenue balances)</w:t>
      </w:r>
    </w:p>
    <w:p w14:paraId="187D9995" w14:textId="77777777" w:rsidR="00B12D3B" w:rsidRPr="00121F64" w:rsidRDefault="00B12D3B" w:rsidP="006A674F">
      <w:pPr>
        <w:spacing w:before="120" w:after="120"/>
        <w:jc w:val="both"/>
        <w:rPr>
          <w:rFonts w:cs="Arial"/>
          <w:szCs w:val="22"/>
        </w:rPr>
      </w:pPr>
      <w:r w:rsidRPr="00121F64">
        <w:rPr>
          <w:rFonts w:cs="Arial"/>
          <w:szCs w:val="22"/>
        </w:rPr>
        <w:t>Borrowings are not carried at fair value on the balance sheet, so nominal gains and losses on fixed rate borrowings would not impact on the Surplus or Deficit on the Provision of Services or Total Comprehensive Income and Expenditure.  However, changes in interest payable and receivable on variable rate borrowings and investments will be posted to the Surplus or Deficit on the Provision of Services and affect the General Fund balance.  Movements in the fair value of fixed rate investments, which have a quoted market price, will be reflected within the Comprehensive Income and Expenditure Statement.  The authority has no financial instruments in these classifications.</w:t>
      </w:r>
    </w:p>
    <w:p w14:paraId="2579A958" w14:textId="77777777" w:rsidR="00B12D3B" w:rsidRPr="00121F64" w:rsidRDefault="00B12D3B" w:rsidP="006A674F">
      <w:pPr>
        <w:spacing w:before="120" w:after="120"/>
        <w:jc w:val="both"/>
        <w:rPr>
          <w:rFonts w:cs="Arial"/>
          <w:szCs w:val="22"/>
        </w:rPr>
      </w:pPr>
      <w:r w:rsidRPr="00121F64">
        <w:rPr>
          <w:rFonts w:cs="Arial"/>
          <w:szCs w:val="22"/>
        </w:rPr>
        <w:t>The authority has a number of strategies for managing interest rate risk.  The Annual Treasury Management Strategy draws together authority’s prudential indicators and its expected treasury operations, including an expectation of interest rate movements.  From this strategy a prudential indicator is set which provides maximum and minimum limits for fixed and variable interest rate exposure.</w:t>
      </w:r>
    </w:p>
    <w:p w14:paraId="47626D7F" w14:textId="53A05D60" w:rsidR="00D32330" w:rsidRDefault="00B12D3B" w:rsidP="006A674F">
      <w:pPr>
        <w:spacing w:before="120" w:after="120"/>
        <w:jc w:val="both"/>
        <w:rPr>
          <w:rFonts w:cs="Arial"/>
          <w:szCs w:val="22"/>
        </w:rPr>
      </w:pPr>
      <w:r w:rsidRPr="00121F64">
        <w:rPr>
          <w:rFonts w:cs="Arial"/>
          <w:szCs w:val="22"/>
        </w:rPr>
        <w:t>Officers in the finance team within the Resources directorate will monitor market and forecast interest rates within the year to adjust exposures appropriately.  For instance during periods of falling interest rates, and where economic circumstances make it favourable, fixed rate investments may be taken for longer periods to secure better long term returns.</w:t>
      </w:r>
    </w:p>
    <w:p w14:paraId="4A2B0663" w14:textId="60E9D15C" w:rsidR="003E6859" w:rsidRPr="00121F64" w:rsidRDefault="003E6859" w:rsidP="006A674F">
      <w:pPr>
        <w:spacing w:before="120" w:after="120"/>
        <w:jc w:val="both"/>
        <w:rPr>
          <w:rFonts w:cs="Arial"/>
          <w:szCs w:val="22"/>
        </w:rPr>
      </w:pPr>
      <w:r w:rsidRPr="00050103">
        <w:rPr>
          <w:rFonts w:cs="Arial"/>
          <w:szCs w:val="22"/>
        </w:rPr>
        <w:t>The impact of the reduction in the base rate to 0.10% arising from the Covid-19 pandemic can already be seen; interest rates achieved has reduced from an average of 0.95% in 2019-20 to 0.58% to date in 2020-21, with the average anticipated to fall further. This has been reported as a potential shortfall in interest receivable of £150k in 2020-21. The authority has no variable rate borrowing and therefore the fall in interest rates has no impact on its borrowing. Fixed rate borrowing will continue to be reviewed.</w:t>
      </w:r>
    </w:p>
    <w:p w14:paraId="260F7F23" w14:textId="68583708" w:rsidR="00B12D3B" w:rsidRPr="000127EF" w:rsidRDefault="00B12D3B" w:rsidP="006A674F">
      <w:pPr>
        <w:spacing w:before="120" w:after="120"/>
        <w:jc w:val="both"/>
        <w:rPr>
          <w:rFonts w:cs="Arial"/>
          <w:szCs w:val="22"/>
        </w:rPr>
      </w:pPr>
      <w:r w:rsidRPr="00121F64">
        <w:rPr>
          <w:rFonts w:cs="Arial"/>
          <w:szCs w:val="22"/>
        </w:rPr>
        <w:t xml:space="preserve">If all interest rates had been </w:t>
      </w:r>
      <w:r w:rsidR="008B45E8" w:rsidRPr="00121F64">
        <w:rPr>
          <w:rFonts w:cs="Arial"/>
          <w:szCs w:val="22"/>
        </w:rPr>
        <w:t>0.25</w:t>
      </w:r>
      <w:r w:rsidRPr="00121F64">
        <w:rPr>
          <w:rFonts w:cs="Arial"/>
          <w:szCs w:val="22"/>
        </w:rPr>
        <w:t>% higher (with all other variables held constant) the financial effect in 201</w:t>
      </w:r>
      <w:r w:rsidR="00501FBE" w:rsidRPr="00121F64">
        <w:rPr>
          <w:rFonts w:cs="Arial"/>
          <w:szCs w:val="22"/>
        </w:rPr>
        <w:t>9</w:t>
      </w:r>
      <w:r w:rsidR="00F25E74" w:rsidRPr="00121F64">
        <w:rPr>
          <w:rFonts w:cs="Arial"/>
          <w:szCs w:val="22"/>
        </w:rPr>
        <w:t>/</w:t>
      </w:r>
      <w:r w:rsidR="00501FBE" w:rsidRPr="00121F64">
        <w:rPr>
          <w:rFonts w:cs="Arial"/>
          <w:szCs w:val="22"/>
        </w:rPr>
        <w:t>20</w:t>
      </w:r>
      <w:r w:rsidRPr="00121F64">
        <w:rPr>
          <w:rFonts w:cs="Arial"/>
          <w:szCs w:val="22"/>
        </w:rPr>
        <w:t xml:space="preserve"> would be:</w:t>
      </w:r>
    </w:p>
    <w:tbl>
      <w:tblPr>
        <w:tblStyle w:val="TableGrid"/>
        <w:tblW w:w="8624"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6778"/>
        <w:gridCol w:w="1846"/>
      </w:tblGrid>
      <w:tr w:rsidR="00B12D3B" w:rsidRPr="000127EF" w14:paraId="6ECA8AAE" w14:textId="77777777" w:rsidTr="00E54C37">
        <w:trPr>
          <w:jc w:val="center"/>
        </w:trPr>
        <w:tc>
          <w:tcPr>
            <w:tcW w:w="6778" w:type="dxa"/>
          </w:tcPr>
          <w:p w14:paraId="3B8D235A" w14:textId="77777777" w:rsidR="00B12D3B" w:rsidRPr="000127EF" w:rsidRDefault="00B12D3B" w:rsidP="00E54C37">
            <w:pPr>
              <w:rPr>
                <w:b/>
                <w:szCs w:val="22"/>
              </w:rPr>
            </w:pPr>
            <w:r w:rsidRPr="000127EF">
              <w:rPr>
                <w:b/>
                <w:szCs w:val="22"/>
              </w:rPr>
              <w:t>Effect</w:t>
            </w:r>
          </w:p>
        </w:tc>
        <w:tc>
          <w:tcPr>
            <w:tcW w:w="1846" w:type="dxa"/>
            <w:shd w:val="clear" w:color="auto" w:fill="C5E0B3" w:themeFill="accent6" w:themeFillTint="66"/>
          </w:tcPr>
          <w:p w14:paraId="30921208" w14:textId="77777777" w:rsidR="00B12D3B" w:rsidRPr="008723EB" w:rsidRDefault="00B12D3B" w:rsidP="00E54C37">
            <w:pPr>
              <w:jc w:val="center"/>
              <w:rPr>
                <w:b/>
                <w:szCs w:val="22"/>
              </w:rPr>
            </w:pPr>
            <w:r w:rsidRPr="008723EB">
              <w:rPr>
                <w:b/>
                <w:szCs w:val="22"/>
              </w:rPr>
              <w:t>£000</w:t>
            </w:r>
          </w:p>
        </w:tc>
      </w:tr>
      <w:tr w:rsidR="00B12D3B" w:rsidRPr="000127EF" w14:paraId="6658D4A1" w14:textId="77777777" w:rsidTr="00E54C37">
        <w:trPr>
          <w:jc w:val="center"/>
        </w:trPr>
        <w:tc>
          <w:tcPr>
            <w:tcW w:w="6778" w:type="dxa"/>
            <w:tcBorders>
              <w:bottom w:val="nil"/>
            </w:tcBorders>
          </w:tcPr>
          <w:p w14:paraId="6B3723E1" w14:textId="77777777" w:rsidR="00B12D3B" w:rsidRPr="000127EF" w:rsidRDefault="00B12D3B" w:rsidP="00E54C37">
            <w:pPr>
              <w:rPr>
                <w:rFonts w:cs="Arial"/>
                <w:szCs w:val="22"/>
                <w:lang w:val="en-US"/>
              </w:rPr>
            </w:pPr>
            <w:r w:rsidRPr="000127EF">
              <w:rPr>
                <w:rFonts w:cs="Arial"/>
                <w:szCs w:val="22"/>
                <w:lang w:val="en-US"/>
              </w:rPr>
              <w:t>Increase in interest payable on variable rate borrowings</w:t>
            </w:r>
          </w:p>
        </w:tc>
        <w:tc>
          <w:tcPr>
            <w:tcW w:w="1846" w:type="dxa"/>
            <w:tcBorders>
              <w:bottom w:val="nil"/>
            </w:tcBorders>
            <w:shd w:val="clear" w:color="auto" w:fill="C5E0B3" w:themeFill="accent6" w:themeFillTint="66"/>
          </w:tcPr>
          <w:p w14:paraId="3D685384" w14:textId="77777777" w:rsidR="00B12D3B" w:rsidRPr="008723EB" w:rsidRDefault="00EA77CA" w:rsidP="00E54C37">
            <w:pPr>
              <w:jc w:val="right"/>
              <w:rPr>
                <w:szCs w:val="22"/>
              </w:rPr>
            </w:pPr>
            <w:r w:rsidRPr="008723EB">
              <w:rPr>
                <w:szCs w:val="22"/>
              </w:rPr>
              <w:t>-</w:t>
            </w:r>
          </w:p>
        </w:tc>
      </w:tr>
      <w:tr w:rsidR="00B12D3B" w:rsidRPr="000127EF" w14:paraId="3F323FAD" w14:textId="77777777" w:rsidTr="00E54C37">
        <w:trPr>
          <w:jc w:val="center"/>
        </w:trPr>
        <w:tc>
          <w:tcPr>
            <w:tcW w:w="6778" w:type="dxa"/>
            <w:tcBorders>
              <w:bottom w:val="nil"/>
            </w:tcBorders>
          </w:tcPr>
          <w:p w14:paraId="78E210FB" w14:textId="77777777" w:rsidR="00B12D3B" w:rsidRPr="000127EF" w:rsidRDefault="00380FC7" w:rsidP="00E54C37">
            <w:pPr>
              <w:rPr>
                <w:rFonts w:cs="Arial"/>
                <w:szCs w:val="22"/>
                <w:lang w:val="en-US"/>
              </w:rPr>
            </w:pPr>
            <w:r w:rsidRPr="000127EF">
              <w:rPr>
                <w:rFonts w:cs="Arial"/>
                <w:szCs w:val="22"/>
              </w:rPr>
              <w:t>Increase in interest receivable on variable rate investments</w:t>
            </w:r>
          </w:p>
        </w:tc>
        <w:tc>
          <w:tcPr>
            <w:tcW w:w="1846" w:type="dxa"/>
            <w:tcBorders>
              <w:bottom w:val="nil"/>
            </w:tcBorders>
            <w:shd w:val="clear" w:color="auto" w:fill="C5E0B3" w:themeFill="accent6" w:themeFillTint="66"/>
          </w:tcPr>
          <w:p w14:paraId="13B26DFD" w14:textId="2B224E5C" w:rsidR="00B12D3B" w:rsidRPr="008723EB" w:rsidRDefault="00EA77CA" w:rsidP="00713EFE">
            <w:pPr>
              <w:jc w:val="right"/>
              <w:rPr>
                <w:szCs w:val="22"/>
              </w:rPr>
            </w:pPr>
            <w:r w:rsidRPr="008723EB">
              <w:rPr>
                <w:szCs w:val="22"/>
              </w:rPr>
              <w:t>(</w:t>
            </w:r>
            <w:r w:rsidR="00121F64" w:rsidRPr="008723EB">
              <w:rPr>
                <w:szCs w:val="22"/>
              </w:rPr>
              <w:t>101</w:t>
            </w:r>
            <w:r w:rsidRPr="008723EB">
              <w:rPr>
                <w:szCs w:val="22"/>
              </w:rPr>
              <w:t>)</w:t>
            </w:r>
          </w:p>
        </w:tc>
      </w:tr>
      <w:tr w:rsidR="00B12D3B" w:rsidRPr="000127EF" w14:paraId="5D357CAD" w14:textId="77777777" w:rsidTr="00E54C37">
        <w:trPr>
          <w:jc w:val="center"/>
        </w:trPr>
        <w:tc>
          <w:tcPr>
            <w:tcW w:w="6778" w:type="dxa"/>
            <w:tcBorders>
              <w:bottom w:val="nil"/>
            </w:tcBorders>
          </w:tcPr>
          <w:p w14:paraId="05C1B59B" w14:textId="77777777" w:rsidR="00B12D3B" w:rsidRPr="000127EF" w:rsidRDefault="00B12D3B" w:rsidP="00E54C37">
            <w:pPr>
              <w:rPr>
                <w:b/>
                <w:szCs w:val="22"/>
              </w:rPr>
            </w:pPr>
            <w:r w:rsidRPr="000127EF">
              <w:rPr>
                <w:b/>
                <w:szCs w:val="22"/>
              </w:rPr>
              <w:t>Total</w:t>
            </w:r>
          </w:p>
        </w:tc>
        <w:tc>
          <w:tcPr>
            <w:tcW w:w="1846" w:type="dxa"/>
            <w:tcBorders>
              <w:top w:val="single" w:sz="8" w:space="0" w:color="auto"/>
              <w:bottom w:val="single" w:sz="8" w:space="0" w:color="auto"/>
            </w:tcBorders>
            <w:shd w:val="clear" w:color="auto" w:fill="C5E0B3" w:themeFill="accent6" w:themeFillTint="66"/>
          </w:tcPr>
          <w:p w14:paraId="7360A20B" w14:textId="693B5936" w:rsidR="00B12D3B" w:rsidRPr="008723EB" w:rsidRDefault="00EA77CA" w:rsidP="00713EFE">
            <w:pPr>
              <w:jc w:val="right"/>
              <w:rPr>
                <w:b/>
                <w:szCs w:val="22"/>
              </w:rPr>
            </w:pPr>
            <w:r w:rsidRPr="008723EB">
              <w:rPr>
                <w:b/>
                <w:szCs w:val="22"/>
              </w:rPr>
              <w:fldChar w:fldCharType="begin"/>
            </w:r>
            <w:r w:rsidRPr="008723EB">
              <w:rPr>
                <w:b/>
                <w:szCs w:val="22"/>
              </w:rPr>
              <w:instrText xml:space="preserve"> =SUM(B2:b3) </w:instrText>
            </w:r>
            <w:r w:rsidRPr="008723EB">
              <w:rPr>
                <w:b/>
                <w:szCs w:val="22"/>
              </w:rPr>
              <w:fldChar w:fldCharType="separate"/>
            </w:r>
            <w:r w:rsidR="000C6121" w:rsidRPr="008723EB">
              <w:rPr>
                <w:b/>
                <w:noProof/>
                <w:szCs w:val="22"/>
              </w:rPr>
              <w:t>(</w:t>
            </w:r>
            <w:r w:rsidR="00121F64" w:rsidRPr="008723EB">
              <w:rPr>
                <w:b/>
                <w:noProof/>
                <w:szCs w:val="22"/>
              </w:rPr>
              <w:t>101</w:t>
            </w:r>
            <w:r w:rsidR="000C6121" w:rsidRPr="008723EB">
              <w:rPr>
                <w:b/>
                <w:noProof/>
                <w:szCs w:val="22"/>
              </w:rPr>
              <w:t>)</w:t>
            </w:r>
            <w:r w:rsidRPr="008723EB">
              <w:rPr>
                <w:b/>
                <w:szCs w:val="22"/>
              </w:rPr>
              <w:fldChar w:fldCharType="end"/>
            </w:r>
          </w:p>
        </w:tc>
      </w:tr>
      <w:tr w:rsidR="00B12D3B" w:rsidRPr="000127EF" w14:paraId="6766DB10" w14:textId="77777777" w:rsidTr="00E54C37">
        <w:trPr>
          <w:trHeight w:hRule="exact" w:val="142"/>
          <w:jc w:val="center"/>
        </w:trPr>
        <w:tc>
          <w:tcPr>
            <w:tcW w:w="6778" w:type="dxa"/>
            <w:tcBorders>
              <w:top w:val="nil"/>
            </w:tcBorders>
          </w:tcPr>
          <w:p w14:paraId="67FCDC46" w14:textId="77777777" w:rsidR="00B12D3B" w:rsidRPr="000127EF" w:rsidRDefault="00B12D3B" w:rsidP="00E54C37">
            <w:pPr>
              <w:jc w:val="both"/>
            </w:pPr>
          </w:p>
        </w:tc>
        <w:tc>
          <w:tcPr>
            <w:tcW w:w="1846" w:type="dxa"/>
            <w:tcBorders>
              <w:top w:val="nil"/>
            </w:tcBorders>
          </w:tcPr>
          <w:p w14:paraId="6A9B6B0E" w14:textId="77777777" w:rsidR="00B12D3B" w:rsidRPr="008723EB" w:rsidRDefault="00B12D3B" w:rsidP="00E54C37">
            <w:pPr>
              <w:jc w:val="right"/>
            </w:pPr>
          </w:p>
        </w:tc>
      </w:tr>
    </w:tbl>
    <w:p w14:paraId="6FEEF2FD" w14:textId="77777777" w:rsidR="00B12D3B" w:rsidRPr="000127EF" w:rsidRDefault="00B12D3B" w:rsidP="006A674F">
      <w:pPr>
        <w:spacing w:before="120" w:after="120"/>
        <w:jc w:val="both"/>
        <w:rPr>
          <w:rFonts w:cs="Arial"/>
          <w:szCs w:val="22"/>
        </w:rPr>
      </w:pPr>
      <w:r w:rsidRPr="000127EF">
        <w:rPr>
          <w:rFonts w:cs="Arial"/>
          <w:szCs w:val="22"/>
        </w:rPr>
        <w:t xml:space="preserve">The approximate impact of a </w:t>
      </w:r>
      <w:r w:rsidR="00447B44" w:rsidRPr="000127EF">
        <w:rPr>
          <w:rFonts w:cs="Arial"/>
          <w:szCs w:val="22"/>
        </w:rPr>
        <w:t>0.25</w:t>
      </w:r>
      <w:r w:rsidRPr="000127EF">
        <w:rPr>
          <w:rFonts w:cs="Arial"/>
          <w:szCs w:val="22"/>
        </w:rPr>
        <w:t xml:space="preserve">% fall in interest rates would be as above but with the movements being reversed.  </w:t>
      </w:r>
    </w:p>
    <w:p w14:paraId="3CECCF9E" w14:textId="77777777" w:rsidR="00B12D3B" w:rsidRPr="000127EF" w:rsidRDefault="00B12D3B" w:rsidP="006A674F">
      <w:pPr>
        <w:spacing w:before="120" w:after="120"/>
        <w:jc w:val="both"/>
        <w:rPr>
          <w:rFonts w:cs="Arial"/>
          <w:szCs w:val="22"/>
        </w:rPr>
      </w:pPr>
      <w:r w:rsidRPr="000127EF">
        <w:rPr>
          <w:rFonts w:cs="Arial"/>
          <w:szCs w:val="22"/>
        </w:rPr>
        <w:t>Price risk</w:t>
      </w:r>
    </w:p>
    <w:p w14:paraId="46565F95" w14:textId="0EF407C3" w:rsidR="007E48A6" w:rsidRDefault="00B12D3B" w:rsidP="00713EFE">
      <w:pPr>
        <w:spacing w:before="120" w:after="240"/>
        <w:jc w:val="both"/>
        <w:rPr>
          <w:rFonts w:cs="Arial"/>
          <w:szCs w:val="22"/>
        </w:rPr>
      </w:pPr>
      <w:r w:rsidRPr="000127EF">
        <w:rPr>
          <w:rFonts w:cs="Arial"/>
          <w:szCs w:val="22"/>
        </w:rPr>
        <w:t>The authority has no financial assets or liabilities denominated in foreign currencies. It therefore has no exposure to loss arising fr</w:t>
      </w:r>
      <w:r w:rsidR="00713EFE" w:rsidRPr="000127EF">
        <w:rPr>
          <w:rFonts w:cs="Arial"/>
          <w:szCs w:val="22"/>
        </w:rPr>
        <w:t>om movements in exchange rates. The authority (excluding the pension fund) has not invested in equity shares or marketable bonds during 201</w:t>
      </w:r>
      <w:r w:rsidR="00501FBE">
        <w:rPr>
          <w:rFonts w:cs="Arial"/>
          <w:szCs w:val="22"/>
        </w:rPr>
        <w:t>9</w:t>
      </w:r>
      <w:r w:rsidR="00713EFE" w:rsidRPr="000127EF">
        <w:rPr>
          <w:rFonts w:cs="Arial"/>
          <w:szCs w:val="22"/>
        </w:rPr>
        <w:t>/</w:t>
      </w:r>
      <w:r w:rsidR="00501FBE">
        <w:rPr>
          <w:rFonts w:cs="Arial"/>
          <w:szCs w:val="22"/>
        </w:rPr>
        <w:t>20</w:t>
      </w:r>
      <w:r w:rsidR="00713EFE" w:rsidRPr="000127EF">
        <w:rPr>
          <w:rFonts w:cs="Arial"/>
          <w:szCs w:val="22"/>
        </w:rPr>
        <w:t>.</w:t>
      </w:r>
    </w:p>
    <w:p w14:paraId="3CC314B7" w14:textId="7DC9B561" w:rsidR="005120F4" w:rsidRDefault="00AE4FE6" w:rsidP="005120F4">
      <w:pPr>
        <w:pStyle w:val="Heading1"/>
        <w:numPr>
          <w:ilvl w:val="0"/>
          <w:numId w:val="8"/>
        </w:numPr>
        <w:ind w:left="426"/>
        <w:rPr>
          <w:sz w:val="22"/>
          <w:szCs w:val="22"/>
        </w:rPr>
      </w:pPr>
      <w:r w:rsidRPr="000127EF">
        <w:rPr>
          <w:sz w:val="22"/>
          <w:szCs w:val="22"/>
        </w:rPr>
        <w:t>Property, Plant &amp; Equipment</w:t>
      </w:r>
    </w:p>
    <w:p w14:paraId="1C249E8A" w14:textId="5B88B46E" w:rsidR="007E48A6" w:rsidRPr="007E48A6" w:rsidRDefault="007E48A6" w:rsidP="007E48A6">
      <w:pPr>
        <w:rPr>
          <w:b/>
        </w:rPr>
      </w:pPr>
      <w:r w:rsidRPr="007E48A6">
        <w:rPr>
          <w:b/>
        </w:rPr>
        <w:t>Coronavirus (COVID-19)</w:t>
      </w:r>
    </w:p>
    <w:p w14:paraId="43E2E62E" w14:textId="77777777" w:rsidR="007E48A6" w:rsidRDefault="007E48A6" w:rsidP="007E48A6"/>
    <w:p w14:paraId="72A54893" w14:textId="267ED381" w:rsidR="007E48A6" w:rsidRDefault="007E48A6" w:rsidP="007E48A6">
      <w:r>
        <w:t xml:space="preserve">All asset valuations held on the balance sheet do not include any adjustments for the Coronavirus (COVID-19) outbreak, declared by the World Health Organisation on the 11th March 2020. </w:t>
      </w:r>
    </w:p>
    <w:p w14:paraId="49DE35C0" w14:textId="77777777" w:rsidR="007E48A6" w:rsidRDefault="007E48A6" w:rsidP="007E48A6"/>
    <w:p w14:paraId="4AD34B23" w14:textId="7FCBA853" w:rsidR="007E48A6" w:rsidRDefault="007E48A6" w:rsidP="007E48A6">
      <w:r>
        <w:t>All valuations are reported on the basis of 'material valuation uncertainty' as per the Royal Institution of Chartered Surveyors (RICS) Red Book Global Standard. The table below illu</w:t>
      </w:r>
      <w:r w:rsidR="003E6DD5">
        <w:t>strates the possible impact of C</w:t>
      </w:r>
      <w:r>
        <w:t>ovid-19 on Rutland County Council asset should the net book value be reduce by 10%, 5% or 2%</w:t>
      </w:r>
    </w:p>
    <w:p w14:paraId="3CA3277B" w14:textId="77777777" w:rsidR="007E48A6" w:rsidRDefault="007E48A6" w:rsidP="007E48A6"/>
    <w:tbl>
      <w:tblPr>
        <w:tblW w:w="6600" w:type="dxa"/>
        <w:jc w:val="center"/>
        <w:tblLook w:val="04A0" w:firstRow="1" w:lastRow="0" w:firstColumn="1" w:lastColumn="0" w:noHBand="0" w:noVBand="1"/>
      </w:tblPr>
      <w:tblGrid>
        <w:gridCol w:w="2389"/>
        <w:gridCol w:w="1217"/>
        <w:gridCol w:w="1194"/>
        <w:gridCol w:w="1194"/>
        <w:gridCol w:w="1194"/>
      </w:tblGrid>
      <w:tr w:rsidR="0005378C" w:rsidRPr="0005378C" w14:paraId="671D8337" w14:textId="77777777" w:rsidTr="005C7C31">
        <w:trPr>
          <w:trHeight w:val="760"/>
          <w:jc w:val="center"/>
        </w:trPr>
        <w:tc>
          <w:tcPr>
            <w:tcW w:w="2389" w:type="dxa"/>
            <w:tcBorders>
              <w:top w:val="nil"/>
              <w:left w:val="nil"/>
              <w:bottom w:val="nil"/>
              <w:right w:val="single" w:sz="18" w:space="0" w:color="A8D08D" w:themeColor="accent6" w:themeTint="99"/>
            </w:tcBorders>
            <w:shd w:val="clear" w:color="auto" w:fill="auto"/>
            <w:noWrap/>
            <w:vAlign w:val="bottom"/>
            <w:hideMark/>
          </w:tcPr>
          <w:p w14:paraId="54A22F46" w14:textId="77777777" w:rsidR="0005378C" w:rsidRPr="0005378C" w:rsidRDefault="0005378C" w:rsidP="0005378C">
            <w:pPr>
              <w:rPr>
                <w:rFonts w:ascii="Times New Roman" w:hAnsi="Times New Roman"/>
                <w:sz w:val="20"/>
                <w:szCs w:val="24"/>
                <w:lang w:eastAsia="en-GB"/>
              </w:rPr>
            </w:pPr>
          </w:p>
        </w:tc>
        <w:tc>
          <w:tcPr>
            <w:tcW w:w="1217" w:type="dxa"/>
            <w:tcBorders>
              <w:top w:val="single" w:sz="18" w:space="0" w:color="A8D08D" w:themeColor="accent6" w:themeTint="99"/>
              <w:left w:val="single" w:sz="18" w:space="0" w:color="A8D08D" w:themeColor="accent6" w:themeTint="99"/>
            </w:tcBorders>
            <w:shd w:val="clear" w:color="auto" w:fill="auto"/>
            <w:vAlign w:val="center"/>
            <w:hideMark/>
          </w:tcPr>
          <w:p w14:paraId="6CFC6E63" w14:textId="77777777" w:rsidR="0005378C" w:rsidRPr="005C7C31" w:rsidRDefault="0005378C" w:rsidP="0005378C">
            <w:pPr>
              <w:jc w:val="center"/>
              <w:rPr>
                <w:rFonts w:cs="Arial"/>
                <w:b/>
                <w:sz w:val="20"/>
                <w:lang w:eastAsia="en-GB"/>
              </w:rPr>
            </w:pPr>
            <w:r w:rsidRPr="005C7C31">
              <w:rPr>
                <w:rFonts w:cs="Arial"/>
                <w:b/>
                <w:sz w:val="20"/>
                <w:lang w:eastAsia="en-GB"/>
              </w:rPr>
              <w:t>Net Book Value At 31 March 2020</w:t>
            </w:r>
          </w:p>
        </w:tc>
        <w:tc>
          <w:tcPr>
            <w:tcW w:w="998" w:type="dxa"/>
            <w:tcBorders>
              <w:top w:val="single" w:sz="18" w:space="0" w:color="A8D08D" w:themeColor="accent6" w:themeTint="99"/>
            </w:tcBorders>
            <w:shd w:val="clear" w:color="auto" w:fill="auto"/>
            <w:vAlign w:val="center"/>
            <w:hideMark/>
          </w:tcPr>
          <w:p w14:paraId="2B23C3A0" w14:textId="77777777" w:rsidR="0005378C" w:rsidRPr="005C7C31" w:rsidRDefault="0005378C" w:rsidP="0005378C">
            <w:pPr>
              <w:jc w:val="center"/>
              <w:rPr>
                <w:rFonts w:cs="Arial"/>
                <w:b/>
                <w:sz w:val="20"/>
                <w:lang w:eastAsia="en-GB"/>
              </w:rPr>
            </w:pPr>
            <w:r w:rsidRPr="005C7C31">
              <w:rPr>
                <w:rFonts w:cs="Arial"/>
                <w:b/>
                <w:sz w:val="20"/>
                <w:lang w:eastAsia="en-GB"/>
              </w:rPr>
              <w:t>10% asset Reduction</w:t>
            </w:r>
          </w:p>
        </w:tc>
        <w:tc>
          <w:tcPr>
            <w:tcW w:w="998" w:type="dxa"/>
            <w:tcBorders>
              <w:top w:val="single" w:sz="18" w:space="0" w:color="A8D08D" w:themeColor="accent6" w:themeTint="99"/>
            </w:tcBorders>
            <w:shd w:val="clear" w:color="auto" w:fill="auto"/>
            <w:vAlign w:val="center"/>
            <w:hideMark/>
          </w:tcPr>
          <w:p w14:paraId="1614AE1D" w14:textId="77777777" w:rsidR="0005378C" w:rsidRPr="005C7C31" w:rsidRDefault="0005378C" w:rsidP="0005378C">
            <w:pPr>
              <w:jc w:val="center"/>
              <w:rPr>
                <w:rFonts w:cs="Arial"/>
                <w:b/>
                <w:sz w:val="20"/>
                <w:lang w:eastAsia="en-GB"/>
              </w:rPr>
            </w:pPr>
            <w:r w:rsidRPr="005C7C31">
              <w:rPr>
                <w:rFonts w:cs="Arial"/>
                <w:b/>
                <w:sz w:val="20"/>
                <w:lang w:eastAsia="en-GB"/>
              </w:rPr>
              <w:t>5% asset Reduction</w:t>
            </w:r>
          </w:p>
        </w:tc>
        <w:tc>
          <w:tcPr>
            <w:tcW w:w="998" w:type="dxa"/>
            <w:tcBorders>
              <w:top w:val="single" w:sz="18" w:space="0" w:color="A8D08D" w:themeColor="accent6" w:themeTint="99"/>
              <w:right w:val="single" w:sz="18" w:space="0" w:color="A8D08D" w:themeColor="accent6" w:themeTint="99"/>
            </w:tcBorders>
            <w:shd w:val="clear" w:color="auto" w:fill="auto"/>
            <w:vAlign w:val="center"/>
            <w:hideMark/>
          </w:tcPr>
          <w:p w14:paraId="326851F9" w14:textId="77777777" w:rsidR="0005378C" w:rsidRPr="005C7C31" w:rsidRDefault="0005378C" w:rsidP="0005378C">
            <w:pPr>
              <w:jc w:val="center"/>
              <w:rPr>
                <w:rFonts w:cs="Arial"/>
                <w:b/>
                <w:sz w:val="20"/>
                <w:lang w:eastAsia="en-GB"/>
              </w:rPr>
            </w:pPr>
            <w:r w:rsidRPr="005C7C31">
              <w:rPr>
                <w:rFonts w:cs="Arial"/>
                <w:b/>
                <w:sz w:val="20"/>
                <w:lang w:eastAsia="en-GB"/>
              </w:rPr>
              <w:t>2% asset Reduction</w:t>
            </w:r>
          </w:p>
        </w:tc>
      </w:tr>
      <w:tr w:rsidR="0005378C" w:rsidRPr="0005378C" w14:paraId="1CB3B58E" w14:textId="77777777" w:rsidTr="005C7C31">
        <w:trPr>
          <w:trHeight w:val="260"/>
          <w:jc w:val="center"/>
        </w:trPr>
        <w:tc>
          <w:tcPr>
            <w:tcW w:w="2389" w:type="dxa"/>
            <w:tcBorders>
              <w:top w:val="nil"/>
              <w:left w:val="nil"/>
              <w:bottom w:val="single" w:sz="18" w:space="0" w:color="A8D08D" w:themeColor="accent6" w:themeTint="99"/>
              <w:right w:val="single" w:sz="18" w:space="0" w:color="A8D08D" w:themeColor="accent6" w:themeTint="99"/>
            </w:tcBorders>
            <w:shd w:val="clear" w:color="auto" w:fill="auto"/>
            <w:noWrap/>
            <w:vAlign w:val="bottom"/>
            <w:hideMark/>
          </w:tcPr>
          <w:p w14:paraId="723FB2F0" w14:textId="77777777" w:rsidR="0005378C" w:rsidRPr="0005378C" w:rsidRDefault="0005378C" w:rsidP="0005378C">
            <w:pPr>
              <w:jc w:val="center"/>
              <w:rPr>
                <w:rFonts w:cs="Arial"/>
                <w:sz w:val="20"/>
                <w:lang w:eastAsia="en-GB"/>
              </w:rPr>
            </w:pPr>
          </w:p>
        </w:tc>
        <w:tc>
          <w:tcPr>
            <w:tcW w:w="1217" w:type="dxa"/>
            <w:tcBorders>
              <w:left w:val="single" w:sz="18" w:space="0" w:color="A8D08D" w:themeColor="accent6" w:themeTint="99"/>
            </w:tcBorders>
            <w:shd w:val="clear" w:color="auto" w:fill="auto"/>
            <w:vAlign w:val="center"/>
            <w:hideMark/>
          </w:tcPr>
          <w:p w14:paraId="10C098DA" w14:textId="77777777" w:rsidR="0005378C" w:rsidRPr="005C7C31" w:rsidRDefault="0005378C" w:rsidP="0005378C">
            <w:pPr>
              <w:jc w:val="center"/>
              <w:rPr>
                <w:rFonts w:cs="Arial"/>
                <w:b/>
                <w:sz w:val="20"/>
                <w:lang w:eastAsia="en-GB"/>
              </w:rPr>
            </w:pPr>
            <w:r w:rsidRPr="005C7C31">
              <w:rPr>
                <w:rFonts w:cs="Arial"/>
                <w:b/>
                <w:sz w:val="20"/>
                <w:lang w:eastAsia="en-GB"/>
              </w:rPr>
              <w:t>£'000</w:t>
            </w:r>
          </w:p>
        </w:tc>
        <w:tc>
          <w:tcPr>
            <w:tcW w:w="998" w:type="dxa"/>
            <w:shd w:val="clear" w:color="auto" w:fill="auto"/>
            <w:vAlign w:val="center"/>
            <w:hideMark/>
          </w:tcPr>
          <w:p w14:paraId="47B499D1" w14:textId="77777777" w:rsidR="0005378C" w:rsidRPr="005C7C31" w:rsidRDefault="0005378C" w:rsidP="0005378C">
            <w:pPr>
              <w:jc w:val="center"/>
              <w:rPr>
                <w:rFonts w:cs="Arial"/>
                <w:b/>
                <w:sz w:val="20"/>
                <w:lang w:eastAsia="en-GB"/>
              </w:rPr>
            </w:pPr>
            <w:r w:rsidRPr="005C7C31">
              <w:rPr>
                <w:rFonts w:cs="Arial"/>
                <w:b/>
                <w:sz w:val="20"/>
                <w:lang w:eastAsia="en-GB"/>
              </w:rPr>
              <w:t>£'000</w:t>
            </w:r>
          </w:p>
        </w:tc>
        <w:tc>
          <w:tcPr>
            <w:tcW w:w="998" w:type="dxa"/>
            <w:shd w:val="clear" w:color="auto" w:fill="auto"/>
            <w:vAlign w:val="center"/>
            <w:hideMark/>
          </w:tcPr>
          <w:p w14:paraId="767DD0B9" w14:textId="77777777" w:rsidR="0005378C" w:rsidRPr="005C7C31" w:rsidRDefault="0005378C" w:rsidP="0005378C">
            <w:pPr>
              <w:jc w:val="center"/>
              <w:rPr>
                <w:rFonts w:cs="Arial"/>
                <w:b/>
                <w:sz w:val="20"/>
                <w:lang w:eastAsia="en-GB"/>
              </w:rPr>
            </w:pPr>
            <w:r w:rsidRPr="005C7C31">
              <w:rPr>
                <w:rFonts w:cs="Arial"/>
                <w:b/>
                <w:sz w:val="20"/>
                <w:lang w:eastAsia="en-GB"/>
              </w:rPr>
              <w:t>£'000</w:t>
            </w:r>
          </w:p>
        </w:tc>
        <w:tc>
          <w:tcPr>
            <w:tcW w:w="998" w:type="dxa"/>
            <w:tcBorders>
              <w:right w:val="single" w:sz="18" w:space="0" w:color="A8D08D" w:themeColor="accent6" w:themeTint="99"/>
            </w:tcBorders>
            <w:shd w:val="clear" w:color="auto" w:fill="auto"/>
            <w:vAlign w:val="center"/>
            <w:hideMark/>
          </w:tcPr>
          <w:p w14:paraId="53BD3554" w14:textId="77777777" w:rsidR="0005378C" w:rsidRPr="005C7C31" w:rsidRDefault="0005378C" w:rsidP="0005378C">
            <w:pPr>
              <w:jc w:val="center"/>
              <w:rPr>
                <w:rFonts w:cs="Arial"/>
                <w:b/>
                <w:sz w:val="20"/>
                <w:lang w:eastAsia="en-GB"/>
              </w:rPr>
            </w:pPr>
            <w:r w:rsidRPr="005C7C31">
              <w:rPr>
                <w:rFonts w:cs="Arial"/>
                <w:b/>
                <w:sz w:val="20"/>
                <w:lang w:eastAsia="en-GB"/>
              </w:rPr>
              <w:t>£'000</w:t>
            </w:r>
          </w:p>
        </w:tc>
      </w:tr>
      <w:tr w:rsidR="0005378C" w:rsidRPr="0005378C" w14:paraId="0E4D32A8" w14:textId="77777777" w:rsidTr="005C7C31">
        <w:trPr>
          <w:trHeight w:val="260"/>
          <w:jc w:val="center"/>
        </w:trPr>
        <w:tc>
          <w:tcPr>
            <w:tcW w:w="2389" w:type="dxa"/>
            <w:tcBorders>
              <w:top w:val="single" w:sz="18" w:space="0" w:color="A8D08D" w:themeColor="accent6" w:themeTint="99"/>
              <w:left w:val="single" w:sz="18" w:space="0" w:color="A8D08D" w:themeColor="accent6" w:themeTint="99"/>
              <w:bottom w:val="single" w:sz="18" w:space="0" w:color="A8D08D" w:themeColor="accent6" w:themeTint="99"/>
            </w:tcBorders>
            <w:shd w:val="clear" w:color="auto" w:fill="auto"/>
            <w:noWrap/>
            <w:vAlign w:val="bottom"/>
            <w:hideMark/>
          </w:tcPr>
          <w:p w14:paraId="3548BA7D" w14:textId="77777777" w:rsidR="0005378C" w:rsidRPr="0005378C" w:rsidRDefault="0005378C" w:rsidP="0005378C">
            <w:pPr>
              <w:rPr>
                <w:rFonts w:cs="Arial"/>
                <w:sz w:val="20"/>
                <w:lang w:eastAsia="en-GB"/>
              </w:rPr>
            </w:pPr>
            <w:r w:rsidRPr="0005378C">
              <w:rPr>
                <w:rFonts w:cs="Arial"/>
                <w:sz w:val="20"/>
                <w:lang w:eastAsia="en-GB"/>
              </w:rPr>
              <w:t>Other Land &amp; Buildings</w:t>
            </w:r>
          </w:p>
        </w:tc>
        <w:tc>
          <w:tcPr>
            <w:tcW w:w="1217" w:type="dxa"/>
            <w:tcBorders>
              <w:bottom w:val="single" w:sz="18" w:space="0" w:color="A8D08D" w:themeColor="accent6" w:themeTint="99"/>
            </w:tcBorders>
            <w:shd w:val="clear" w:color="auto" w:fill="auto"/>
            <w:noWrap/>
            <w:vAlign w:val="bottom"/>
            <w:hideMark/>
          </w:tcPr>
          <w:p w14:paraId="42272633" w14:textId="0C7E6A05" w:rsidR="0005378C" w:rsidRPr="0005378C" w:rsidRDefault="0005378C" w:rsidP="007A2923">
            <w:pPr>
              <w:jc w:val="right"/>
              <w:rPr>
                <w:rFonts w:cs="Arial"/>
                <w:sz w:val="20"/>
                <w:lang w:eastAsia="en-GB"/>
              </w:rPr>
            </w:pPr>
            <w:r w:rsidRPr="0005378C">
              <w:rPr>
                <w:rFonts w:cs="Arial"/>
                <w:sz w:val="20"/>
                <w:lang w:eastAsia="en-GB"/>
              </w:rPr>
              <w:t xml:space="preserve">        33,41</w:t>
            </w:r>
            <w:r w:rsidR="007A2923">
              <w:rPr>
                <w:rFonts w:cs="Arial"/>
                <w:sz w:val="20"/>
                <w:lang w:eastAsia="en-GB"/>
              </w:rPr>
              <w:t>7</w:t>
            </w:r>
          </w:p>
        </w:tc>
        <w:tc>
          <w:tcPr>
            <w:tcW w:w="998" w:type="dxa"/>
            <w:tcBorders>
              <w:bottom w:val="single" w:sz="18" w:space="0" w:color="A8D08D" w:themeColor="accent6" w:themeTint="99"/>
            </w:tcBorders>
            <w:shd w:val="clear" w:color="auto" w:fill="auto"/>
            <w:noWrap/>
            <w:vAlign w:val="bottom"/>
            <w:hideMark/>
          </w:tcPr>
          <w:p w14:paraId="72F155BB" w14:textId="77777777" w:rsidR="0005378C" w:rsidRPr="0005378C" w:rsidRDefault="0005378C" w:rsidP="0005378C">
            <w:pPr>
              <w:jc w:val="right"/>
              <w:rPr>
                <w:rFonts w:cs="Arial"/>
                <w:sz w:val="20"/>
                <w:lang w:eastAsia="en-GB"/>
              </w:rPr>
            </w:pPr>
            <w:r w:rsidRPr="0005378C">
              <w:rPr>
                <w:rFonts w:cs="Arial"/>
                <w:sz w:val="20"/>
                <w:lang w:eastAsia="en-GB"/>
              </w:rPr>
              <w:t xml:space="preserve">      3,342 </w:t>
            </w:r>
          </w:p>
        </w:tc>
        <w:tc>
          <w:tcPr>
            <w:tcW w:w="998" w:type="dxa"/>
            <w:tcBorders>
              <w:bottom w:val="single" w:sz="18" w:space="0" w:color="A8D08D" w:themeColor="accent6" w:themeTint="99"/>
            </w:tcBorders>
            <w:shd w:val="clear" w:color="auto" w:fill="auto"/>
            <w:noWrap/>
            <w:vAlign w:val="bottom"/>
            <w:hideMark/>
          </w:tcPr>
          <w:p w14:paraId="2F72D3A8" w14:textId="77777777" w:rsidR="0005378C" w:rsidRPr="0005378C" w:rsidRDefault="0005378C" w:rsidP="0005378C">
            <w:pPr>
              <w:jc w:val="right"/>
              <w:rPr>
                <w:rFonts w:cs="Arial"/>
                <w:sz w:val="20"/>
                <w:lang w:eastAsia="en-GB"/>
              </w:rPr>
            </w:pPr>
            <w:r w:rsidRPr="0005378C">
              <w:rPr>
                <w:rFonts w:cs="Arial"/>
                <w:sz w:val="20"/>
                <w:lang w:eastAsia="en-GB"/>
              </w:rPr>
              <w:t xml:space="preserve">      1,671 </w:t>
            </w:r>
          </w:p>
        </w:tc>
        <w:tc>
          <w:tcPr>
            <w:tcW w:w="998" w:type="dxa"/>
            <w:tcBorders>
              <w:bottom w:val="single" w:sz="18" w:space="0" w:color="A8D08D" w:themeColor="accent6" w:themeTint="99"/>
              <w:right w:val="single" w:sz="18" w:space="0" w:color="A8D08D" w:themeColor="accent6" w:themeTint="99"/>
            </w:tcBorders>
            <w:shd w:val="clear" w:color="auto" w:fill="auto"/>
            <w:noWrap/>
            <w:vAlign w:val="bottom"/>
            <w:hideMark/>
          </w:tcPr>
          <w:p w14:paraId="632E9D16" w14:textId="77777777" w:rsidR="0005378C" w:rsidRPr="0005378C" w:rsidRDefault="0005378C" w:rsidP="0005378C">
            <w:pPr>
              <w:jc w:val="right"/>
              <w:rPr>
                <w:rFonts w:cs="Arial"/>
                <w:sz w:val="20"/>
                <w:lang w:eastAsia="en-GB"/>
              </w:rPr>
            </w:pPr>
            <w:r w:rsidRPr="0005378C">
              <w:rPr>
                <w:rFonts w:cs="Arial"/>
                <w:sz w:val="20"/>
                <w:lang w:eastAsia="en-GB"/>
              </w:rPr>
              <w:t xml:space="preserve">         668 </w:t>
            </w:r>
          </w:p>
        </w:tc>
      </w:tr>
    </w:tbl>
    <w:p w14:paraId="5A2E5C25" w14:textId="77777777" w:rsidR="007E48A6" w:rsidRDefault="007E48A6" w:rsidP="007E48A6"/>
    <w:p w14:paraId="4B70015B" w14:textId="71222060" w:rsidR="007E48A6" w:rsidRPr="007E48A6" w:rsidRDefault="007E48A6" w:rsidP="007E48A6">
      <w:pPr>
        <w:rPr>
          <w:b/>
        </w:rPr>
      </w:pPr>
      <w:r w:rsidRPr="007E48A6">
        <w:rPr>
          <w:b/>
        </w:rPr>
        <w:t>Assets under Construction - De-recognition</w:t>
      </w:r>
    </w:p>
    <w:p w14:paraId="22F0E178" w14:textId="77777777" w:rsidR="007E48A6" w:rsidRDefault="007E48A6" w:rsidP="007E48A6"/>
    <w:p w14:paraId="0E06712B" w14:textId="77777777" w:rsidR="007E48A6" w:rsidRDefault="007E48A6" w:rsidP="007E48A6">
      <w:r>
        <w:t>The de-recognition shown under Assets under Construction relates to the following two assets. Both assets have been deemed to no longer provide economic benefits to the Council and therefore de-recognised in 2019/20.</w:t>
      </w:r>
    </w:p>
    <w:p w14:paraId="2830376B" w14:textId="77777777" w:rsidR="007E48A6" w:rsidRDefault="007E48A6" w:rsidP="007E48A6"/>
    <w:p w14:paraId="5CCAD192" w14:textId="6E78AF0C" w:rsidR="007E48A6" w:rsidRDefault="007E48A6" w:rsidP="007E48A6">
      <w:r>
        <w:t xml:space="preserve">Oakham Town Centre - The Council remains committed in the need to invest in </w:t>
      </w:r>
      <w:r w:rsidR="002B687C">
        <w:t>the Town Centre</w:t>
      </w:r>
      <w:r>
        <w:t xml:space="preserve"> and will continue to work closely with all stakeholders, however the original works done in 2017/18 is now out of date and therefore a decision was made to de-recognise the asset from the balance sheet. </w:t>
      </w:r>
    </w:p>
    <w:p w14:paraId="6BD6B5BD" w14:textId="77777777" w:rsidR="007E48A6" w:rsidRDefault="007E48A6" w:rsidP="007E48A6"/>
    <w:p w14:paraId="26F66651" w14:textId="55538507" w:rsidR="007E48A6" w:rsidRDefault="007E48A6" w:rsidP="007E48A6">
      <w:r>
        <w:t>Officers Mess at St Georges Barracks - A feasibility study had shown that there was no business case for investment and therefore the Council choose not to pursue the project further with the Ministry of Defence (MOD)</w:t>
      </w:r>
      <w:r w:rsidR="002B687C">
        <w:t>.</w:t>
      </w:r>
    </w:p>
    <w:p w14:paraId="41EEA5DF" w14:textId="77777777" w:rsidR="007E48A6" w:rsidRPr="007E48A6" w:rsidRDefault="007E48A6" w:rsidP="007E48A6"/>
    <w:tbl>
      <w:tblPr>
        <w:tblStyle w:val="TableGrid"/>
        <w:tblW w:w="10805" w:type="dxa"/>
        <w:tbl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insideH w:val="dashed" w:sz="4" w:space="0" w:color="A8D08D" w:themeColor="accent6" w:themeTint="99"/>
          <w:insideV w:val="dashed" w:sz="4" w:space="0" w:color="A8D08D" w:themeColor="accent6" w:themeTint="99"/>
        </w:tblBorders>
        <w:tblLook w:val="04A0" w:firstRow="1" w:lastRow="0" w:firstColumn="1" w:lastColumn="0" w:noHBand="0" w:noVBand="1"/>
      </w:tblPr>
      <w:tblGrid>
        <w:gridCol w:w="3502"/>
        <w:gridCol w:w="1220"/>
        <w:gridCol w:w="1355"/>
        <w:gridCol w:w="1063"/>
        <w:gridCol w:w="1585"/>
        <w:gridCol w:w="1044"/>
        <w:gridCol w:w="1036"/>
      </w:tblGrid>
      <w:tr w:rsidR="00B062AD" w:rsidRPr="000127EF" w14:paraId="42FA1F3A" w14:textId="77777777" w:rsidTr="00A974E3">
        <w:trPr>
          <w:tblHeader/>
        </w:trPr>
        <w:tc>
          <w:tcPr>
            <w:tcW w:w="1621" w:type="pct"/>
            <w:tcBorders>
              <w:bottom w:val="nil"/>
            </w:tcBorders>
            <w:vAlign w:val="center"/>
          </w:tcPr>
          <w:p w14:paraId="29C4C381" w14:textId="4503CE2D" w:rsidR="00B062AD" w:rsidRPr="000127EF" w:rsidRDefault="00B062AD" w:rsidP="007A79E7">
            <w:pPr>
              <w:rPr>
                <w:b/>
              </w:rPr>
            </w:pPr>
            <w:r w:rsidRPr="000127EF">
              <w:rPr>
                <w:b/>
              </w:rPr>
              <w:t>Property</w:t>
            </w:r>
            <w:r w:rsidR="000528E9" w:rsidRPr="000127EF">
              <w:rPr>
                <w:b/>
              </w:rPr>
              <w:t>, Plant &amp; Equipment (PPE) – 201</w:t>
            </w:r>
            <w:r w:rsidR="00303875">
              <w:rPr>
                <w:b/>
              </w:rPr>
              <w:t>9</w:t>
            </w:r>
            <w:r w:rsidR="000528E9" w:rsidRPr="000127EF">
              <w:rPr>
                <w:b/>
              </w:rPr>
              <w:t>/</w:t>
            </w:r>
            <w:r w:rsidR="00303875">
              <w:rPr>
                <w:b/>
              </w:rPr>
              <w:t>20</w:t>
            </w:r>
          </w:p>
        </w:tc>
        <w:tc>
          <w:tcPr>
            <w:tcW w:w="565" w:type="pct"/>
            <w:tcBorders>
              <w:bottom w:val="nil"/>
            </w:tcBorders>
            <w:vAlign w:val="center"/>
          </w:tcPr>
          <w:p w14:paraId="7C8CE3FC" w14:textId="77777777" w:rsidR="00B062AD" w:rsidRPr="00BE08CA" w:rsidRDefault="00B062AD" w:rsidP="007A79E7">
            <w:pPr>
              <w:jc w:val="center"/>
              <w:rPr>
                <w:b/>
              </w:rPr>
            </w:pPr>
            <w:r w:rsidRPr="00BE08CA">
              <w:rPr>
                <w:b/>
              </w:rPr>
              <w:t>Other Land &amp; Buildings</w:t>
            </w:r>
          </w:p>
        </w:tc>
        <w:tc>
          <w:tcPr>
            <w:tcW w:w="627" w:type="pct"/>
            <w:tcBorders>
              <w:bottom w:val="nil"/>
            </w:tcBorders>
            <w:vAlign w:val="center"/>
          </w:tcPr>
          <w:p w14:paraId="441324A5" w14:textId="77777777" w:rsidR="00B062AD" w:rsidRPr="00BE08CA" w:rsidRDefault="00B062AD" w:rsidP="007A79E7">
            <w:pPr>
              <w:jc w:val="center"/>
              <w:rPr>
                <w:b/>
              </w:rPr>
            </w:pPr>
            <w:r w:rsidRPr="00BE08CA">
              <w:rPr>
                <w:b/>
              </w:rPr>
              <w:t>Vehicles, Plant &amp; Equipment</w:t>
            </w:r>
          </w:p>
        </w:tc>
        <w:tc>
          <w:tcPr>
            <w:tcW w:w="492" w:type="pct"/>
            <w:tcBorders>
              <w:bottom w:val="nil"/>
            </w:tcBorders>
            <w:vAlign w:val="center"/>
          </w:tcPr>
          <w:p w14:paraId="2D71AF93" w14:textId="77777777" w:rsidR="00B062AD" w:rsidRPr="00BE08CA" w:rsidRDefault="00B062AD" w:rsidP="007A79E7">
            <w:pPr>
              <w:jc w:val="center"/>
              <w:rPr>
                <w:b/>
              </w:rPr>
            </w:pPr>
            <w:r w:rsidRPr="00BE08CA">
              <w:rPr>
                <w:b/>
              </w:rPr>
              <w:t>Infrastr-ucture</w:t>
            </w:r>
          </w:p>
        </w:tc>
        <w:tc>
          <w:tcPr>
            <w:tcW w:w="733" w:type="pct"/>
            <w:tcBorders>
              <w:bottom w:val="nil"/>
            </w:tcBorders>
            <w:vAlign w:val="center"/>
          </w:tcPr>
          <w:p w14:paraId="7D6967E0" w14:textId="77777777" w:rsidR="00B062AD" w:rsidRPr="00BE08CA" w:rsidRDefault="00B062AD" w:rsidP="007A79E7">
            <w:pPr>
              <w:jc w:val="center"/>
              <w:rPr>
                <w:b/>
              </w:rPr>
            </w:pPr>
            <w:r w:rsidRPr="00BE08CA">
              <w:rPr>
                <w:b/>
              </w:rPr>
              <w:t>Assets Under Construction</w:t>
            </w:r>
          </w:p>
        </w:tc>
        <w:tc>
          <w:tcPr>
            <w:tcW w:w="483" w:type="pct"/>
            <w:tcBorders>
              <w:bottom w:val="nil"/>
            </w:tcBorders>
            <w:vAlign w:val="center"/>
          </w:tcPr>
          <w:p w14:paraId="4FC2F589" w14:textId="77777777" w:rsidR="00B062AD" w:rsidRPr="00BE08CA" w:rsidRDefault="00B062AD" w:rsidP="007A79E7">
            <w:pPr>
              <w:jc w:val="center"/>
              <w:rPr>
                <w:b/>
              </w:rPr>
            </w:pPr>
            <w:r w:rsidRPr="00BE08CA">
              <w:rPr>
                <w:b/>
              </w:rPr>
              <w:t>Surplus Assets</w:t>
            </w:r>
          </w:p>
        </w:tc>
        <w:tc>
          <w:tcPr>
            <w:tcW w:w="479" w:type="pct"/>
            <w:tcBorders>
              <w:bottom w:val="nil"/>
            </w:tcBorders>
            <w:shd w:val="clear" w:color="auto" w:fill="C5E0B3" w:themeFill="accent6" w:themeFillTint="66"/>
            <w:vAlign w:val="center"/>
          </w:tcPr>
          <w:p w14:paraId="055257AC" w14:textId="77777777" w:rsidR="00B062AD" w:rsidRPr="00BE08CA" w:rsidRDefault="00B062AD" w:rsidP="007A79E7">
            <w:pPr>
              <w:jc w:val="center"/>
              <w:rPr>
                <w:b/>
              </w:rPr>
            </w:pPr>
            <w:r w:rsidRPr="00BE08CA">
              <w:rPr>
                <w:b/>
              </w:rPr>
              <w:t>Total</w:t>
            </w:r>
          </w:p>
        </w:tc>
      </w:tr>
      <w:tr w:rsidR="00B062AD" w:rsidRPr="000127EF" w14:paraId="20C58B8F" w14:textId="77777777" w:rsidTr="00A974E3">
        <w:trPr>
          <w:tblHeader/>
        </w:trPr>
        <w:tc>
          <w:tcPr>
            <w:tcW w:w="1621" w:type="pct"/>
            <w:tcBorders>
              <w:top w:val="nil"/>
              <w:bottom w:val="dashed" w:sz="4" w:space="0" w:color="A8D08D" w:themeColor="accent6" w:themeTint="99"/>
            </w:tcBorders>
          </w:tcPr>
          <w:p w14:paraId="108CC153" w14:textId="77777777" w:rsidR="00B062AD" w:rsidRPr="000127EF" w:rsidRDefault="00B062AD" w:rsidP="007A79E7">
            <w:pPr>
              <w:rPr>
                <w:b/>
              </w:rPr>
            </w:pPr>
          </w:p>
        </w:tc>
        <w:tc>
          <w:tcPr>
            <w:tcW w:w="565" w:type="pct"/>
            <w:tcBorders>
              <w:top w:val="nil"/>
              <w:bottom w:val="dashed" w:sz="4" w:space="0" w:color="A8D08D" w:themeColor="accent6" w:themeTint="99"/>
            </w:tcBorders>
          </w:tcPr>
          <w:p w14:paraId="02E14B0C" w14:textId="77777777" w:rsidR="00B062AD" w:rsidRPr="00BE08CA" w:rsidRDefault="00B062AD" w:rsidP="007A79E7">
            <w:pPr>
              <w:jc w:val="center"/>
              <w:rPr>
                <w:b/>
              </w:rPr>
            </w:pPr>
            <w:r w:rsidRPr="00BE08CA">
              <w:rPr>
                <w:b/>
              </w:rPr>
              <w:t>£000</w:t>
            </w:r>
          </w:p>
        </w:tc>
        <w:tc>
          <w:tcPr>
            <w:tcW w:w="627" w:type="pct"/>
            <w:tcBorders>
              <w:top w:val="nil"/>
              <w:bottom w:val="dashed" w:sz="4" w:space="0" w:color="A8D08D" w:themeColor="accent6" w:themeTint="99"/>
            </w:tcBorders>
          </w:tcPr>
          <w:p w14:paraId="1808C030" w14:textId="77777777" w:rsidR="00B062AD" w:rsidRPr="00BE08CA" w:rsidRDefault="00B062AD" w:rsidP="007A79E7">
            <w:pPr>
              <w:jc w:val="center"/>
              <w:rPr>
                <w:b/>
              </w:rPr>
            </w:pPr>
            <w:r w:rsidRPr="00BE08CA">
              <w:rPr>
                <w:b/>
              </w:rPr>
              <w:t>£000</w:t>
            </w:r>
          </w:p>
        </w:tc>
        <w:tc>
          <w:tcPr>
            <w:tcW w:w="492" w:type="pct"/>
            <w:tcBorders>
              <w:top w:val="nil"/>
              <w:bottom w:val="dashed" w:sz="4" w:space="0" w:color="A8D08D" w:themeColor="accent6" w:themeTint="99"/>
            </w:tcBorders>
          </w:tcPr>
          <w:p w14:paraId="22C1A717" w14:textId="77777777" w:rsidR="00B062AD" w:rsidRPr="00BE08CA" w:rsidRDefault="00B062AD" w:rsidP="007A79E7">
            <w:pPr>
              <w:jc w:val="center"/>
              <w:rPr>
                <w:b/>
              </w:rPr>
            </w:pPr>
            <w:r w:rsidRPr="00BE08CA">
              <w:rPr>
                <w:b/>
              </w:rPr>
              <w:t>£000</w:t>
            </w:r>
          </w:p>
        </w:tc>
        <w:tc>
          <w:tcPr>
            <w:tcW w:w="733" w:type="pct"/>
            <w:tcBorders>
              <w:top w:val="nil"/>
              <w:bottom w:val="dashed" w:sz="4" w:space="0" w:color="A8D08D" w:themeColor="accent6" w:themeTint="99"/>
            </w:tcBorders>
          </w:tcPr>
          <w:p w14:paraId="7A33E9EE" w14:textId="77777777" w:rsidR="00B062AD" w:rsidRPr="00BE08CA" w:rsidRDefault="00B062AD" w:rsidP="007A79E7">
            <w:pPr>
              <w:jc w:val="center"/>
              <w:rPr>
                <w:b/>
              </w:rPr>
            </w:pPr>
            <w:r w:rsidRPr="00BE08CA">
              <w:rPr>
                <w:b/>
              </w:rPr>
              <w:t>£000</w:t>
            </w:r>
          </w:p>
        </w:tc>
        <w:tc>
          <w:tcPr>
            <w:tcW w:w="483" w:type="pct"/>
            <w:tcBorders>
              <w:top w:val="nil"/>
              <w:bottom w:val="dashed" w:sz="4" w:space="0" w:color="A8D08D" w:themeColor="accent6" w:themeTint="99"/>
            </w:tcBorders>
          </w:tcPr>
          <w:p w14:paraId="34A241BA" w14:textId="77777777" w:rsidR="00B062AD" w:rsidRPr="00BE08CA" w:rsidRDefault="00B062AD" w:rsidP="007A79E7">
            <w:pPr>
              <w:jc w:val="center"/>
              <w:rPr>
                <w:b/>
              </w:rPr>
            </w:pPr>
            <w:r w:rsidRPr="00BE08CA">
              <w:rPr>
                <w:b/>
              </w:rPr>
              <w:t>£000</w:t>
            </w:r>
          </w:p>
        </w:tc>
        <w:tc>
          <w:tcPr>
            <w:tcW w:w="479" w:type="pct"/>
            <w:tcBorders>
              <w:top w:val="nil"/>
              <w:bottom w:val="dashed" w:sz="4" w:space="0" w:color="A8D08D" w:themeColor="accent6" w:themeTint="99"/>
            </w:tcBorders>
            <w:shd w:val="clear" w:color="auto" w:fill="C5E0B3" w:themeFill="accent6" w:themeFillTint="66"/>
          </w:tcPr>
          <w:p w14:paraId="4FC0568F" w14:textId="77777777" w:rsidR="00B062AD" w:rsidRPr="00BE08CA" w:rsidRDefault="00B062AD" w:rsidP="007A79E7">
            <w:pPr>
              <w:jc w:val="center"/>
              <w:rPr>
                <w:b/>
              </w:rPr>
            </w:pPr>
            <w:r w:rsidRPr="00BE08CA">
              <w:rPr>
                <w:b/>
              </w:rPr>
              <w:t>£000</w:t>
            </w:r>
          </w:p>
        </w:tc>
      </w:tr>
      <w:tr w:rsidR="00B062AD" w:rsidRPr="000127EF" w14:paraId="0600C82A" w14:textId="77777777" w:rsidTr="007A79E7">
        <w:tc>
          <w:tcPr>
            <w:tcW w:w="4521" w:type="pct"/>
            <w:gridSpan w:val="6"/>
            <w:tcBorders>
              <w:top w:val="dashed" w:sz="4" w:space="0" w:color="A8D08D" w:themeColor="accent6" w:themeTint="99"/>
              <w:bottom w:val="nil"/>
            </w:tcBorders>
            <w:vAlign w:val="center"/>
          </w:tcPr>
          <w:p w14:paraId="5587BE18" w14:textId="77777777" w:rsidR="00B062AD" w:rsidRPr="00BE08CA" w:rsidRDefault="00B062AD" w:rsidP="007A79E7">
            <w:r w:rsidRPr="00BE08CA">
              <w:rPr>
                <w:b/>
              </w:rPr>
              <w:t>Cost or Valuation</w:t>
            </w:r>
          </w:p>
        </w:tc>
        <w:tc>
          <w:tcPr>
            <w:tcW w:w="479" w:type="pct"/>
            <w:tcBorders>
              <w:top w:val="dashed" w:sz="4" w:space="0" w:color="A8D08D" w:themeColor="accent6" w:themeTint="99"/>
              <w:bottom w:val="nil"/>
            </w:tcBorders>
            <w:shd w:val="clear" w:color="auto" w:fill="C5E0B3" w:themeFill="accent6" w:themeFillTint="66"/>
          </w:tcPr>
          <w:p w14:paraId="5394940E" w14:textId="77777777" w:rsidR="00B062AD" w:rsidRPr="00BE08CA" w:rsidRDefault="00B062AD" w:rsidP="007A79E7"/>
        </w:tc>
      </w:tr>
      <w:tr w:rsidR="00B062AD" w:rsidRPr="000127EF" w14:paraId="7DB14B5C" w14:textId="77777777" w:rsidTr="000528E9">
        <w:tc>
          <w:tcPr>
            <w:tcW w:w="1621" w:type="pct"/>
            <w:tcBorders>
              <w:top w:val="nil"/>
            </w:tcBorders>
          </w:tcPr>
          <w:p w14:paraId="670B9606" w14:textId="4131E8AD" w:rsidR="00B062AD" w:rsidRPr="000127EF" w:rsidRDefault="000528E9" w:rsidP="007A79E7">
            <w:pPr>
              <w:rPr>
                <w:b/>
              </w:rPr>
            </w:pPr>
            <w:r w:rsidRPr="000127EF">
              <w:rPr>
                <w:b/>
              </w:rPr>
              <w:t>At 1 April 201</w:t>
            </w:r>
            <w:r w:rsidR="00303875">
              <w:rPr>
                <w:b/>
              </w:rPr>
              <w:t>9</w:t>
            </w:r>
          </w:p>
        </w:tc>
        <w:tc>
          <w:tcPr>
            <w:tcW w:w="565" w:type="pct"/>
            <w:tcBorders>
              <w:top w:val="nil"/>
            </w:tcBorders>
          </w:tcPr>
          <w:p w14:paraId="428748CF" w14:textId="00326D74" w:rsidR="00B062AD" w:rsidRPr="00BE08CA" w:rsidRDefault="005D39CA" w:rsidP="007A79E7">
            <w:pPr>
              <w:jc w:val="right"/>
              <w:rPr>
                <w:b/>
              </w:rPr>
            </w:pPr>
            <w:r>
              <w:rPr>
                <w:b/>
              </w:rPr>
              <w:t>32,780</w:t>
            </w:r>
          </w:p>
        </w:tc>
        <w:tc>
          <w:tcPr>
            <w:tcW w:w="627" w:type="pct"/>
            <w:tcBorders>
              <w:top w:val="nil"/>
            </w:tcBorders>
          </w:tcPr>
          <w:p w14:paraId="5B0104DD" w14:textId="691602D5" w:rsidR="00B062AD" w:rsidRPr="00BE08CA" w:rsidRDefault="005D39CA" w:rsidP="007A79E7">
            <w:pPr>
              <w:jc w:val="right"/>
              <w:rPr>
                <w:b/>
              </w:rPr>
            </w:pPr>
            <w:r>
              <w:rPr>
                <w:b/>
              </w:rPr>
              <w:t>2,201</w:t>
            </w:r>
          </w:p>
        </w:tc>
        <w:tc>
          <w:tcPr>
            <w:tcW w:w="492" w:type="pct"/>
            <w:tcBorders>
              <w:top w:val="nil"/>
            </w:tcBorders>
          </w:tcPr>
          <w:p w14:paraId="5124800E" w14:textId="0E13150C" w:rsidR="00B062AD" w:rsidRPr="00BE08CA" w:rsidRDefault="005D39CA" w:rsidP="007A79E7">
            <w:pPr>
              <w:jc w:val="right"/>
              <w:rPr>
                <w:b/>
              </w:rPr>
            </w:pPr>
            <w:r>
              <w:rPr>
                <w:b/>
              </w:rPr>
              <w:t>49,270</w:t>
            </w:r>
          </w:p>
        </w:tc>
        <w:tc>
          <w:tcPr>
            <w:tcW w:w="733" w:type="pct"/>
            <w:tcBorders>
              <w:top w:val="nil"/>
            </w:tcBorders>
          </w:tcPr>
          <w:p w14:paraId="005176E6" w14:textId="01FEF370" w:rsidR="00B062AD" w:rsidRPr="00BE08CA" w:rsidRDefault="005D39CA" w:rsidP="007A79E7">
            <w:pPr>
              <w:jc w:val="right"/>
              <w:rPr>
                <w:b/>
              </w:rPr>
            </w:pPr>
            <w:r>
              <w:rPr>
                <w:b/>
              </w:rPr>
              <w:t>578</w:t>
            </w:r>
          </w:p>
        </w:tc>
        <w:tc>
          <w:tcPr>
            <w:tcW w:w="483" w:type="pct"/>
            <w:tcBorders>
              <w:top w:val="nil"/>
            </w:tcBorders>
          </w:tcPr>
          <w:p w14:paraId="504B18EA" w14:textId="6F45F717" w:rsidR="00B062AD" w:rsidRPr="00BE08CA" w:rsidRDefault="005D39CA" w:rsidP="007A79E7">
            <w:pPr>
              <w:jc w:val="right"/>
              <w:rPr>
                <w:b/>
              </w:rPr>
            </w:pPr>
            <w:r>
              <w:rPr>
                <w:b/>
              </w:rPr>
              <w:t>65</w:t>
            </w:r>
          </w:p>
        </w:tc>
        <w:tc>
          <w:tcPr>
            <w:tcW w:w="479" w:type="pct"/>
            <w:shd w:val="clear" w:color="auto" w:fill="C5E0B3" w:themeFill="accent6" w:themeFillTint="66"/>
            <w:vAlign w:val="center"/>
          </w:tcPr>
          <w:p w14:paraId="6C07AE29" w14:textId="10F8BB39" w:rsidR="00B062AD" w:rsidRPr="00BE08CA" w:rsidRDefault="005D39CA" w:rsidP="007A79E7">
            <w:pPr>
              <w:jc w:val="right"/>
              <w:rPr>
                <w:b/>
              </w:rPr>
            </w:pPr>
            <w:r>
              <w:rPr>
                <w:b/>
              </w:rPr>
              <w:t>84,894</w:t>
            </w:r>
          </w:p>
        </w:tc>
      </w:tr>
      <w:tr w:rsidR="00B062AD" w:rsidRPr="000127EF" w14:paraId="43D25B55" w14:textId="77777777" w:rsidTr="000528E9">
        <w:tc>
          <w:tcPr>
            <w:tcW w:w="1621" w:type="pct"/>
          </w:tcPr>
          <w:p w14:paraId="22C07EC5" w14:textId="77777777" w:rsidR="00B062AD" w:rsidRPr="000127EF" w:rsidRDefault="00B062AD" w:rsidP="007A79E7">
            <w:r w:rsidRPr="000127EF">
              <w:t>Additions</w:t>
            </w:r>
          </w:p>
        </w:tc>
        <w:tc>
          <w:tcPr>
            <w:tcW w:w="565" w:type="pct"/>
          </w:tcPr>
          <w:p w14:paraId="4DCC1213" w14:textId="63203E5E" w:rsidR="00B062AD" w:rsidRPr="00BE08CA" w:rsidRDefault="005D39CA" w:rsidP="007A79E7">
            <w:pPr>
              <w:jc w:val="right"/>
            </w:pPr>
            <w:r>
              <w:t>262</w:t>
            </w:r>
          </w:p>
        </w:tc>
        <w:tc>
          <w:tcPr>
            <w:tcW w:w="627" w:type="pct"/>
          </w:tcPr>
          <w:p w14:paraId="28DE39D2" w14:textId="6B591F01" w:rsidR="00B062AD" w:rsidRPr="00BE08CA" w:rsidRDefault="005D39CA" w:rsidP="007A79E7">
            <w:pPr>
              <w:jc w:val="right"/>
            </w:pPr>
            <w:r>
              <w:t>136</w:t>
            </w:r>
          </w:p>
        </w:tc>
        <w:tc>
          <w:tcPr>
            <w:tcW w:w="492" w:type="pct"/>
          </w:tcPr>
          <w:p w14:paraId="705CFBBD" w14:textId="025B8892" w:rsidR="00B062AD" w:rsidRPr="00BE08CA" w:rsidRDefault="005D39CA" w:rsidP="007A79E7">
            <w:pPr>
              <w:jc w:val="right"/>
            </w:pPr>
            <w:r>
              <w:t>2,755</w:t>
            </w:r>
          </w:p>
        </w:tc>
        <w:tc>
          <w:tcPr>
            <w:tcW w:w="733" w:type="pct"/>
          </w:tcPr>
          <w:p w14:paraId="3A326251" w14:textId="1259BF97" w:rsidR="00B062AD" w:rsidRPr="00BE08CA" w:rsidRDefault="005D39CA" w:rsidP="007A79E7">
            <w:pPr>
              <w:jc w:val="right"/>
            </w:pPr>
            <w:r>
              <w:t>105</w:t>
            </w:r>
          </w:p>
        </w:tc>
        <w:tc>
          <w:tcPr>
            <w:tcW w:w="483" w:type="pct"/>
          </w:tcPr>
          <w:p w14:paraId="39F2A38E" w14:textId="195C1A44" w:rsidR="00B062AD" w:rsidRPr="00BE08CA" w:rsidRDefault="005D39CA" w:rsidP="007A79E7">
            <w:pPr>
              <w:jc w:val="right"/>
            </w:pPr>
            <w:r>
              <w:t>0</w:t>
            </w:r>
          </w:p>
        </w:tc>
        <w:tc>
          <w:tcPr>
            <w:tcW w:w="479" w:type="pct"/>
            <w:shd w:val="clear" w:color="auto" w:fill="C5E0B3" w:themeFill="accent6" w:themeFillTint="66"/>
          </w:tcPr>
          <w:p w14:paraId="2C79482B" w14:textId="38546965" w:rsidR="00B062AD" w:rsidRPr="00BE08CA" w:rsidRDefault="005D39CA" w:rsidP="007A79E7">
            <w:pPr>
              <w:jc w:val="right"/>
            </w:pPr>
            <w:r>
              <w:t>3,258</w:t>
            </w:r>
          </w:p>
        </w:tc>
      </w:tr>
      <w:tr w:rsidR="00B062AD" w:rsidRPr="000127EF" w14:paraId="386440A4" w14:textId="77777777" w:rsidTr="000528E9">
        <w:tc>
          <w:tcPr>
            <w:tcW w:w="1621" w:type="pct"/>
          </w:tcPr>
          <w:p w14:paraId="7806B12E" w14:textId="77777777" w:rsidR="00B062AD" w:rsidRPr="000127EF" w:rsidRDefault="00B062AD" w:rsidP="007A79E7">
            <w:r w:rsidRPr="000127EF">
              <w:t>Revaluation increase / (decrease) recognised in the Revaluation Reserve</w:t>
            </w:r>
          </w:p>
        </w:tc>
        <w:tc>
          <w:tcPr>
            <w:tcW w:w="565" w:type="pct"/>
            <w:vAlign w:val="center"/>
          </w:tcPr>
          <w:p w14:paraId="33C821BB" w14:textId="27FD3925" w:rsidR="00B062AD" w:rsidRPr="00BE08CA" w:rsidRDefault="005D39CA" w:rsidP="007A79E7">
            <w:pPr>
              <w:jc w:val="right"/>
            </w:pPr>
            <w:r>
              <w:t>1,234</w:t>
            </w:r>
          </w:p>
        </w:tc>
        <w:tc>
          <w:tcPr>
            <w:tcW w:w="627" w:type="pct"/>
            <w:vAlign w:val="center"/>
          </w:tcPr>
          <w:p w14:paraId="1FC2CBB1" w14:textId="38861303" w:rsidR="00B062AD" w:rsidRPr="00BE08CA" w:rsidRDefault="005D39CA" w:rsidP="007A79E7">
            <w:pPr>
              <w:jc w:val="right"/>
            </w:pPr>
            <w:r>
              <w:t>0</w:t>
            </w:r>
          </w:p>
        </w:tc>
        <w:tc>
          <w:tcPr>
            <w:tcW w:w="492" w:type="pct"/>
            <w:vAlign w:val="center"/>
          </w:tcPr>
          <w:p w14:paraId="0F0D0717" w14:textId="0A943A60" w:rsidR="00B062AD" w:rsidRPr="00BE08CA" w:rsidRDefault="005D39CA" w:rsidP="007A79E7">
            <w:pPr>
              <w:jc w:val="right"/>
            </w:pPr>
            <w:r>
              <w:t>0</w:t>
            </w:r>
          </w:p>
        </w:tc>
        <w:tc>
          <w:tcPr>
            <w:tcW w:w="733" w:type="pct"/>
            <w:vAlign w:val="center"/>
          </w:tcPr>
          <w:p w14:paraId="01D5C345" w14:textId="73903802" w:rsidR="00B062AD" w:rsidRPr="00BE08CA" w:rsidRDefault="005D39CA" w:rsidP="007A79E7">
            <w:pPr>
              <w:jc w:val="right"/>
            </w:pPr>
            <w:r>
              <w:t>0</w:t>
            </w:r>
          </w:p>
        </w:tc>
        <w:tc>
          <w:tcPr>
            <w:tcW w:w="483" w:type="pct"/>
            <w:vAlign w:val="center"/>
          </w:tcPr>
          <w:p w14:paraId="00B0CD3E" w14:textId="7EC19B56" w:rsidR="00B062AD" w:rsidRPr="00BE08CA" w:rsidRDefault="005D39CA" w:rsidP="007A79E7">
            <w:pPr>
              <w:jc w:val="right"/>
            </w:pPr>
            <w:r>
              <w:t>0</w:t>
            </w:r>
          </w:p>
        </w:tc>
        <w:tc>
          <w:tcPr>
            <w:tcW w:w="479" w:type="pct"/>
            <w:shd w:val="clear" w:color="auto" w:fill="C5E0B3" w:themeFill="accent6" w:themeFillTint="66"/>
            <w:vAlign w:val="center"/>
          </w:tcPr>
          <w:p w14:paraId="19BE6638" w14:textId="4A5020F6" w:rsidR="00B062AD" w:rsidRPr="00BE08CA" w:rsidRDefault="005D39CA" w:rsidP="007A79E7">
            <w:pPr>
              <w:jc w:val="right"/>
            </w:pPr>
            <w:r>
              <w:t>1,234</w:t>
            </w:r>
          </w:p>
        </w:tc>
      </w:tr>
      <w:tr w:rsidR="00B062AD" w:rsidRPr="000127EF" w14:paraId="1B4B88D0" w14:textId="77777777" w:rsidTr="000528E9">
        <w:tc>
          <w:tcPr>
            <w:tcW w:w="1621" w:type="pct"/>
          </w:tcPr>
          <w:p w14:paraId="7910932C" w14:textId="3CAB07A2" w:rsidR="00B062AD" w:rsidRPr="000127EF" w:rsidRDefault="00B062AD" w:rsidP="007A79E7">
            <w:r w:rsidRPr="000127EF">
              <w:t>Revaluation increase / (decrease) recognised in the Surplus/Deficit on the Provision of Services</w:t>
            </w:r>
            <w:r w:rsidR="00EB50B3" w:rsidRPr="000127EF">
              <w:t>.</w:t>
            </w:r>
          </w:p>
        </w:tc>
        <w:tc>
          <w:tcPr>
            <w:tcW w:w="565" w:type="pct"/>
            <w:vAlign w:val="center"/>
          </w:tcPr>
          <w:p w14:paraId="0BEAE8DD" w14:textId="1C62A6C3" w:rsidR="00B062AD" w:rsidRPr="00BE08CA" w:rsidRDefault="005D39CA" w:rsidP="007A79E7">
            <w:pPr>
              <w:jc w:val="right"/>
            </w:pPr>
            <w:r>
              <w:t>(34)</w:t>
            </w:r>
          </w:p>
        </w:tc>
        <w:tc>
          <w:tcPr>
            <w:tcW w:w="627" w:type="pct"/>
            <w:vAlign w:val="center"/>
          </w:tcPr>
          <w:p w14:paraId="4DF40CB9" w14:textId="31905ABF" w:rsidR="00B062AD" w:rsidRPr="00BE08CA" w:rsidRDefault="005D39CA" w:rsidP="007A79E7">
            <w:pPr>
              <w:jc w:val="right"/>
            </w:pPr>
            <w:r>
              <w:t>0</w:t>
            </w:r>
          </w:p>
        </w:tc>
        <w:tc>
          <w:tcPr>
            <w:tcW w:w="492" w:type="pct"/>
            <w:vAlign w:val="center"/>
          </w:tcPr>
          <w:p w14:paraId="2698F604" w14:textId="33545A40" w:rsidR="00B062AD" w:rsidRPr="00BE08CA" w:rsidRDefault="005D39CA" w:rsidP="007A79E7">
            <w:pPr>
              <w:jc w:val="right"/>
            </w:pPr>
            <w:r>
              <w:t>0</w:t>
            </w:r>
          </w:p>
        </w:tc>
        <w:tc>
          <w:tcPr>
            <w:tcW w:w="733" w:type="pct"/>
            <w:vAlign w:val="center"/>
          </w:tcPr>
          <w:p w14:paraId="5522C501" w14:textId="728A00FA" w:rsidR="00B062AD" w:rsidRPr="00BE08CA" w:rsidRDefault="005D39CA" w:rsidP="007A79E7">
            <w:pPr>
              <w:jc w:val="right"/>
            </w:pPr>
            <w:r>
              <w:t>0</w:t>
            </w:r>
          </w:p>
        </w:tc>
        <w:tc>
          <w:tcPr>
            <w:tcW w:w="483" w:type="pct"/>
            <w:vAlign w:val="center"/>
          </w:tcPr>
          <w:p w14:paraId="31EC9121" w14:textId="1226B8BE" w:rsidR="00B062AD" w:rsidRPr="00BE08CA" w:rsidRDefault="005D39CA" w:rsidP="007A79E7">
            <w:pPr>
              <w:jc w:val="right"/>
            </w:pPr>
            <w:r>
              <w:t>0</w:t>
            </w:r>
          </w:p>
        </w:tc>
        <w:tc>
          <w:tcPr>
            <w:tcW w:w="479" w:type="pct"/>
            <w:shd w:val="clear" w:color="auto" w:fill="C5E0B3" w:themeFill="accent6" w:themeFillTint="66"/>
            <w:vAlign w:val="center"/>
          </w:tcPr>
          <w:p w14:paraId="5B8869B1" w14:textId="4F7D39FF" w:rsidR="00B062AD" w:rsidRPr="00BE08CA" w:rsidRDefault="005D39CA" w:rsidP="007A79E7">
            <w:pPr>
              <w:jc w:val="right"/>
            </w:pPr>
            <w:r>
              <w:t>(34)</w:t>
            </w:r>
          </w:p>
        </w:tc>
      </w:tr>
      <w:tr w:rsidR="00B062AD" w:rsidRPr="000127EF" w14:paraId="4D168B70" w14:textId="77777777" w:rsidTr="000528E9">
        <w:tc>
          <w:tcPr>
            <w:tcW w:w="1621" w:type="pct"/>
          </w:tcPr>
          <w:p w14:paraId="4DA9DA8C" w14:textId="77777777" w:rsidR="00B062AD" w:rsidRPr="000127EF" w:rsidRDefault="00B062AD" w:rsidP="007A79E7">
            <w:r w:rsidRPr="000127EF">
              <w:t>De-recognition - Disposals</w:t>
            </w:r>
          </w:p>
        </w:tc>
        <w:tc>
          <w:tcPr>
            <w:tcW w:w="565" w:type="pct"/>
          </w:tcPr>
          <w:p w14:paraId="08321BE8" w14:textId="0FA450F2" w:rsidR="00B062AD" w:rsidRPr="00BE08CA" w:rsidRDefault="005D39CA" w:rsidP="007A79E7">
            <w:pPr>
              <w:jc w:val="right"/>
            </w:pPr>
            <w:r>
              <w:t>0</w:t>
            </w:r>
          </w:p>
        </w:tc>
        <w:tc>
          <w:tcPr>
            <w:tcW w:w="627" w:type="pct"/>
          </w:tcPr>
          <w:p w14:paraId="05654E1B" w14:textId="2DC2200B" w:rsidR="00B062AD" w:rsidRPr="00BE08CA" w:rsidRDefault="005D39CA" w:rsidP="007A79E7">
            <w:pPr>
              <w:jc w:val="right"/>
            </w:pPr>
            <w:r>
              <w:t>0</w:t>
            </w:r>
          </w:p>
        </w:tc>
        <w:tc>
          <w:tcPr>
            <w:tcW w:w="492" w:type="pct"/>
          </w:tcPr>
          <w:p w14:paraId="1A72057A" w14:textId="0B540E75" w:rsidR="00B062AD" w:rsidRPr="00BE08CA" w:rsidRDefault="005D39CA" w:rsidP="007A79E7">
            <w:pPr>
              <w:jc w:val="right"/>
            </w:pPr>
            <w:r>
              <w:t>0</w:t>
            </w:r>
          </w:p>
        </w:tc>
        <w:tc>
          <w:tcPr>
            <w:tcW w:w="733" w:type="pct"/>
          </w:tcPr>
          <w:p w14:paraId="2348DE7B" w14:textId="7E65F3D3" w:rsidR="00B062AD" w:rsidRPr="00BE08CA" w:rsidRDefault="005D39CA" w:rsidP="007A79E7">
            <w:pPr>
              <w:jc w:val="right"/>
            </w:pPr>
            <w:r>
              <w:t>(390)</w:t>
            </w:r>
          </w:p>
        </w:tc>
        <w:tc>
          <w:tcPr>
            <w:tcW w:w="483" w:type="pct"/>
          </w:tcPr>
          <w:p w14:paraId="3D8BE143" w14:textId="2847E050" w:rsidR="00B062AD" w:rsidRPr="00BE08CA" w:rsidRDefault="005D39CA" w:rsidP="007A79E7">
            <w:pPr>
              <w:jc w:val="right"/>
            </w:pPr>
            <w:r>
              <w:t>0</w:t>
            </w:r>
          </w:p>
        </w:tc>
        <w:tc>
          <w:tcPr>
            <w:tcW w:w="479" w:type="pct"/>
            <w:shd w:val="clear" w:color="auto" w:fill="C5E0B3" w:themeFill="accent6" w:themeFillTint="66"/>
          </w:tcPr>
          <w:p w14:paraId="3A4D933E" w14:textId="63A6F4FD" w:rsidR="00B062AD" w:rsidRPr="00BE08CA" w:rsidRDefault="005D39CA" w:rsidP="007A79E7">
            <w:pPr>
              <w:jc w:val="right"/>
            </w:pPr>
            <w:r>
              <w:t>(390)</w:t>
            </w:r>
          </w:p>
        </w:tc>
      </w:tr>
      <w:tr w:rsidR="00B062AD" w:rsidRPr="000127EF" w14:paraId="3C93B76A" w14:textId="77777777" w:rsidTr="000528E9">
        <w:tc>
          <w:tcPr>
            <w:tcW w:w="1621" w:type="pct"/>
          </w:tcPr>
          <w:p w14:paraId="74F02053" w14:textId="77777777" w:rsidR="00B062AD" w:rsidRPr="000127EF" w:rsidRDefault="00B062AD" w:rsidP="007A79E7">
            <w:r w:rsidRPr="000127EF">
              <w:t>Transfer to other IFRS categories</w:t>
            </w:r>
          </w:p>
        </w:tc>
        <w:tc>
          <w:tcPr>
            <w:tcW w:w="565" w:type="pct"/>
            <w:vAlign w:val="center"/>
          </w:tcPr>
          <w:p w14:paraId="3B150BC9" w14:textId="7106CF9C" w:rsidR="00B062AD" w:rsidRPr="00BE08CA" w:rsidRDefault="005D39CA" w:rsidP="007A79E7">
            <w:pPr>
              <w:jc w:val="right"/>
            </w:pPr>
            <w:r>
              <w:t>78</w:t>
            </w:r>
          </w:p>
        </w:tc>
        <w:tc>
          <w:tcPr>
            <w:tcW w:w="627" w:type="pct"/>
            <w:vAlign w:val="center"/>
          </w:tcPr>
          <w:p w14:paraId="3171ECC5" w14:textId="4348E531" w:rsidR="00B062AD" w:rsidRPr="00BE08CA" w:rsidRDefault="005D39CA" w:rsidP="007A79E7">
            <w:pPr>
              <w:jc w:val="right"/>
            </w:pPr>
            <w:r>
              <w:t>0</w:t>
            </w:r>
          </w:p>
        </w:tc>
        <w:tc>
          <w:tcPr>
            <w:tcW w:w="492" w:type="pct"/>
            <w:vAlign w:val="center"/>
          </w:tcPr>
          <w:p w14:paraId="7A9517BB" w14:textId="20504A8E" w:rsidR="00B062AD" w:rsidRPr="00BE08CA" w:rsidRDefault="005D39CA" w:rsidP="007A79E7">
            <w:pPr>
              <w:jc w:val="right"/>
            </w:pPr>
            <w:r>
              <w:t>0</w:t>
            </w:r>
          </w:p>
        </w:tc>
        <w:tc>
          <w:tcPr>
            <w:tcW w:w="733" w:type="pct"/>
            <w:vAlign w:val="center"/>
          </w:tcPr>
          <w:p w14:paraId="44BC5CCA" w14:textId="2D3C630E" w:rsidR="00B062AD" w:rsidRPr="00BE08CA" w:rsidRDefault="005D39CA" w:rsidP="007A79E7">
            <w:pPr>
              <w:jc w:val="right"/>
            </w:pPr>
            <w:r>
              <w:t>(13)</w:t>
            </w:r>
          </w:p>
        </w:tc>
        <w:tc>
          <w:tcPr>
            <w:tcW w:w="483" w:type="pct"/>
            <w:vAlign w:val="center"/>
          </w:tcPr>
          <w:p w14:paraId="094094F7" w14:textId="3AD687BE" w:rsidR="00B062AD" w:rsidRPr="00BE08CA" w:rsidRDefault="005D39CA" w:rsidP="007A79E7">
            <w:pPr>
              <w:jc w:val="right"/>
            </w:pPr>
            <w:r>
              <w:t>(65)</w:t>
            </w:r>
          </w:p>
        </w:tc>
        <w:tc>
          <w:tcPr>
            <w:tcW w:w="479" w:type="pct"/>
            <w:shd w:val="clear" w:color="auto" w:fill="C5E0B3" w:themeFill="accent6" w:themeFillTint="66"/>
            <w:vAlign w:val="center"/>
          </w:tcPr>
          <w:p w14:paraId="0D9F8A92" w14:textId="17116BE0" w:rsidR="00B062AD" w:rsidRPr="00BE08CA" w:rsidRDefault="005D39CA" w:rsidP="007A79E7">
            <w:pPr>
              <w:jc w:val="right"/>
            </w:pPr>
            <w:r>
              <w:t>0</w:t>
            </w:r>
          </w:p>
        </w:tc>
      </w:tr>
      <w:tr w:rsidR="00B062AD" w:rsidRPr="000127EF" w14:paraId="3D2EB304" w14:textId="77777777" w:rsidTr="000528E9">
        <w:tc>
          <w:tcPr>
            <w:tcW w:w="1621" w:type="pct"/>
          </w:tcPr>
          <w:p w14:paraId="09F03614" w14:textId="5FA165D6" w:rsidR="00B062AD" w:rsidRPr="000127EF" w:rsidRDefault="000528E9" w:rsidP="007A79E7">
            <w:pPr>
              <w:rPr>
                <w:b/>
              </w:rPr>
            </w:pPr>
            <w:r w:rsidRPr="000127EF">
              <w:rPr>
                <w:b/>
              </w:rPr>
              <w:t>At 31 March 20</w:t>
            </w:r>
            <w:r w:rsidR="00303875">
              <w:rPr>
                <w:b/>
              </w:rPr>
              <w:t>20</w:t>
            </w:r>
          </w:p>
        </w:tc>
        <w:tc>
          <w:tcPr>
            <w:tcW w:w="565" w:type="pct"/>
          </w:tcPr>
          <w:p w14:paraId="5F574533" w14:textId="1B80C7DF" w:rsidR="00B062AD" w:rsidRPr="00BE08CA" w:rsidRDefault="005D39CA" w:rsidP="007A79E7">
            <w:pPr>
              <w:jc w:val="right"/>
              <w:rPr>
                <w:b/>
              </w:rPr>
            </w:pPr>
            <w:r>
              <w:rPr>
                <w:b/>
              </w:rPr>
              <w:t>34,320</w:t>
            </w:r>
          </w:p>
        </w:tc>
        <w:tc>
          <w:tcPr>
            <w:tcW w:w="627" w:type="pct"/>
          </w:tcPr>
          <w:p w14:paraId="3206AE9D" w14:textId="7DE1DE28" w:rsidR="00B062AD" w:rsidRPr="00BE08CA" w:rsidRDefault="005D39CA" w:rsidP="007A79E7">
            <w:pPr>
              <w:jc w:val="right"/>
              <w:rPr>
                <w:b/>
              </w:rPr>
            </w:pPr>
            <w:r>
              <w:rPr>
                <w:b/>
              </w:rPr>
              <w:t>2,337</w:t>
            </w:r>
          </w:p>
        </w:tc>
        <w:tc>
          <w:tcPr>
            <w:tcW w:w="492" w:type="pct"/>
          </w:tcPr>
          <w:p w14:paraId="456584E4" w14:textId="2F5324FC" w:rsidR="00B062AD" w:rsidRPr="00BE08CA" w:rsidRDefault="005D39CA" w:rsidP="007A79E7">
            <w:pPr>
              <w:jc w:val="right"/>
              <w:rPr>
                <w:b/>
              </w:rPr>
            </w:pPr>
            <w:r>
              <w:rPr>
                <w:b/>
              </w:rPr>
              <w:t>52,025</w:t>
            </w:r>
          </w:p>
        </w:tc>
        <w:tc>
          <w:tcPr>
            <w:tcW w:w="733" w:type="pct"/>
          </w:tcPr>
          <w:p w14:paraId="62A80015" w14:textId="6B9A3AE6" w:rsidR="00B062AD" w:rsidRPr="00BE08CA" w:rsidRDefault="005D39CA" w:rsidP="007A79E7">
            <w:pPr>
              <w:jc w:val="right"/>
              <w:rPr>
                <w:b/>
              </w:rPr>
            </w:pPr>
            <w:r>
              <w:rPr>
                <w:b/>
              </w:rPr>
              <w:t>280</w:t>
            </w:r>
          </w:p>
        </w:tc>
        <w:tc>
          <w:tcPr>
            <w:tcW w:w="483" w:type="pct"/>
          </w:tcPr>
          <w:p w14:paraId="62181CFD" w14:textId="16D27647" w:rsidR="00B062AD" w:rsidRPr="00BE08CA" w:rsidRDefault="005D39CA" w:rsidP="007A79E7">
            <w:pPr>
              <w:jc w:val="right"/>
              <w:rPr>
                <w:b/>
              </w:rPr>
            </w:pPr>
            <w:r>
              <w:rPr>
                <w:b/>
              </w:rPr>
              <w:t>0</w:t>
            </w:r>
          </w:p>
        </w:tc>
        <w:tc>
          <w:tcPr>
            <w:tcW w:w="479" w:type="pct"/>
            <w:shd w:val="clear" w:color="auto" w:fill="C5E0B3" w:themeFill="accent6" w:themeFillTint="66"/>
          </w:tcPr>
          <w:p w14:paraId="521CFD4F" w14:textId="676D36F0" w:rsidR="00B062AD" w:rsidRPr="00BE08CA" w:rsidRDefault="005D39CA" w:rsidP="007A79E7">
            <w:pPr>
              <w:jc w:val="right"/>
              <w:rPr>
                <w:b/>
              </w:rPr>
            </w:pPr>
            <w:r>
              <w:rPr>
                <w:b/>
              </w:rPr>
              <w:t>88,962</w:t>
            </w:r>
          </w:p>
        </w:tc>
      </w:tr>
      <w:tr w:rsidR="00B062AD" w:rsidRPr="000127EF" w14:paraId="7C409F0C" w14:textId="77777777" w:rsidTr="007A79E7">
        <w:trPr>
          <w:trHeight w:val="64"/>
        </w:trPr>
        <w:tc>
          <w:tcPr>
            <w:tcW w:w="5000" w:type="pct"/>
            <w:gridSpan w:val="7"/>
            <w:tcBorders>
              <w:bottom w:val="nil"/>
            </w:tcBorders>
            <w:vAlign w:val="center"/>
          </w:tcPr>
          <w:p w14:paraId="439668D5" w14:textId="77777777" w:rsidR="00B062AD" w:rsidRPr="00BE08CA" w:rsidRDefault="00B062AD" w:rsidP="007A79E7"/>
        </w:tc>
      </w:tr>
      <w:tr w:rsidR="00B062AD" w:rsidRPr="000127EF" w14:paraId="47DE4DF4" w14:textId="77777777" w:rsidTr="007A79E7">
        <w:tc>
          <w:tcPr>
            <w:tcW w:w="4521" w:type="pct"/>
            <w:gridSpan w:val="6"/>
            <w:tcBorders>
              <w:bottom w:val="nil"/>
            </w:tcBorders>
            <w:vAlign w:val="center"/>
          </w:tcPr>
          <w:p w14:paraId="5622903C" w14:textId="77777777" w:rsidR="00B062AD" w:rsidRPr="00BE08CA" w:rsidRDefault="00B062AD" w:rsidP="007A79E7">
            <w:r w:rsidRPr="00BE08CA">
              <w:rPr>
                <w:b/>
              </w:rPr>
              <w:t>Accumulated Depreciation &amp; Impairment</w:t>
            </w:r>
          </w:p>
        </w:tc>
        <w:tc>
          <w:tcPr>
            <w:tcW w:w="479" w:type="pct"/>
            <w:tcBorders>
              <w:bottom w:val="nil"/>
            </w:tcBorders>
            <w:shd w:val="clear" w:color="auto" w:fill="C5E0B3" w:themeFill="accent6" w:themeFillTint="66"/>
          </w:tcPr>
          <w:p w14:paraId="070437D3" w14:textId="77777777" w:rsidR="00B062AD" w:rsidRPr="00BE08CA" w:rsidRDefault="00B062AD" w:rsidP="007A79E7">
            <w:pPr>
              <w:jc w:val="right"/>
            </w:pPr>
          </w:p>
        </w:tc>
      </w:tr>
      <w:tr w:rsidR="00B062AD" w:rsidRPr="000127EF" w14:paraId="0D63FE08" w14:textId="77777777" w:rsidTr="000528E9">
        <w:tc>
          <w:tcPr>
            <w:tcW w:w="1621" w:type="pct"/>
            <w:tcBorders>
              <w:top w:val="nil"/>
              <w:bottom w:val="dashed" w:sz="4" w:space="0" w:color="A8D08D" w:themeColor="accent6" w:themeTint="99"/>
            </w:tcBorders>
          </w:tcPr>
          <w:p w14:paraId="36615B3D" w14:textId="6A342809" w:rsidR="00B062AD" w:rsidRPr="000127EF" w:rsidRDefault="000528E9" w:rsidP="007A79E7">
            <w:pPr>
              <w:rPr>
                <w:b/>
              </w:rPr>
            </w:pPr>
            <w:r w:rsidRPr="000127EF">
              <w:rPr>
                <w:b/>
              </w:rPr>
              <w:t>At 1 April 201</w:t>
            </w:r>
            <w:r w:rsidR="00303875">
              <w:rPr>
                <w:b/>
              </w:rPr>
              <w:t>9</w:t>
            </w:r>
          </w:p>
        </w:tc>
        <w:tc>
          <w:tcPr>
            <w:tcW w:w="565" w:type="pct"/>
            <w:tcBorders>
              <w:top w:val="nil"/>
              <w:bottom w:val="dashed" w:sz="4" w:space="0" w:color="A8D08D" w:themeColor="accent6" w:themeTint="99"/>
            </w:tcBorders>
            <w:vAlign w:val="center"/>
          </w:tcPr>
          <w:p w14:paraId="4FF60595" w14:textId="3110B53A" w:rsidR="00B062AD" w:rsidRPr="00BE08CA" w:rsidRDefault="00C445C6" w:rsidP="007A79E7">
            <w:pPr>
              <w:jc w:val="right"/>
              <w:rPr>
                <w:b/>
              </w:rPr>
            </w:pPr>
            <w:r>
              <w:rPr>
                <w:b/>
              </w:rPr>
              <w:t>(732)</w:t>
            </w:r>
          </w:p>
        </w:tc>
        <w:tc>
          <w:tcPr>
            <w:tcW w:w="627" w:type="pct"/>
            <w:tcBorders>
              <w:top w:val="nil"/>
              <w:bottom w:val="dashed" w:sz="4" w:space="0" w:color="A8D08D" w:themeColor="accent6" w:themeTint="99"/>
            </w:tcBorders>
            <w:vAlign w:val="center"/>
          </w:tcPr>
          <w:p w14:paraId="2C40F77A" w14:textId="51B87217" w:rsidR="00B062AD" w:rsidRPr="00BE08CA" w:rsidRDefault="00C445C6" w:rsidP="007A79E7">
            <w:pPr>
              <w:jc w:val="right"/>
              <w:rPr>
                <w:b/>
              </w:rPr>
            </w:pPr>
            <w:r>
              <w:rPr>
                <w:b/>
              </w:rPr>
              <w:t>(1,791)</w:t>
            </w:r>
          </w:p>
        </w:tc>
        <w:tc>
          <w:tcPr>
            <w:tcW w:w="492" w:type="pct"/>
            <w:tcBorders>
              <w:top w:val="nil"/>
              <w:bottom w:val="dashed" w:sz="4" w:space="0" w:color="A8D08D" w:themeColor="accent6" w:themeTint="99"/>
            </w:tcBorders>
            <w:vAlign w:val="center"/>
          </w:tcPr>
          <w:p w14:paraId="5362CEB3" w14:textId="6242D61F" w:rsidR="00B062AD" w:rsidRPr="00BE08CA" w:rsidRDefault="00C445C6" w:rsidP="007A79E7">
            <w:pPr>
              <w:jc w:val="right"/>
              <w:rPr>
                <w:b/>
              </w:rPr>
            </w:pPr>
            <w:r>
              <w:rPr>
                <w:b/>
              </w:rPr>
              <w:t>(12,675)</w:t>
            </w:r>
          </w:p>
        </w:tc>
        <w:tc>
          <w:tcPr>
            <w:tcW w:w="733" w:type="pct"/>
            <w:tcBorders>
              <w:top w:val="nil"/>
              <w:bottom w:val="dashed" w:sz="4" w:space="0" w:color="A8D08D" w:themeColor="accent6" w:themeTint="99"/>
            </w:tcBorders>
            <w:vAlign w:val="center"/>
          </w:tcPr>
          <w:p w14:paraId="10A07888" w14:textId="391D5FB8" w:rsidR="00B062AD" w:rsidRPr="00BE08CA" w:rsidRDefault="00C445C6" w:rsidP="007A79E7">
            <w:pPr>
              <w:jc w:val="right"/>
              <w:rPr>
                <w:b/>
              </w:rPr>
            </w:pPr>
            <w:r>
              <w:rPr>
                <w:b/>
              </w:rPr>
              <w:t>0</w:t>
            </w:r>
          </w:p>
        </w:tc>
        <w:tc>
          <w:tcPr>
            <w:tcW w:w="483" w:type="pct"/>
            <w:tcBorders>
              <w:top w:val="nil"/>
              <w:bottom w:val="dashed" w:sz="4" w:space="0" w:color="A8D08D" w:themeColor="accent6" w:themeTint="99"/>
            </w:tcBorders>
            <w:vAlign w:val="center"/>
          </w:tcPr>
          <w:p w14:paraId="773CA22A" w14:textId="53A27AC9" w:rsidR="00B062AD" w:rsidRPr="00BE08CA" w:rsidRDefault="00C445C6" w:rsidP="007A79E7">
            <w:pPr>
              <w:jc w:val="right"/>
              <w:rPr>
                <w:b/>
              </w:rPr>
            </w:pPr>
            <w:r>
              <w:rPr>
                <w:b/>
              </w:rPr>
              <w:t>(3)</w:t>
            </w:r>
          </w:p>
        </w:tc>
        <w:tc>
          <w:tcPr>
            <w:tcW w:w="479" w:type="pct"/>
            <w:tcBorders>
              <w:top w:val="nil"/>
              <w:bottom w:val="dashed" w:sz="4" w:space="0" w:color="A8D08D" w:themeColor="accent6" w:themeTint="99"/>
            </w:tcBorders>
            <w:shd w:val="clear" w:color="auto" w:fill="C5E0B3" w:themeFill="accent6" w:themeFillTint="66"/>
            <w:vAlign w:val="center"/>
          </w:tcPr>
          <w:p w14:paraId="6C261E44" w14:textId="79C182C1" w:rsidR="00B062AD" w:rsidRPr="00BE08CA" w:rsidRDefault="00C445C6" w:rsidP="007A79E7">
            <w:pPr>
              <w:jc w:val="right"/>
              <w:rPr>
                <w:b/>
              </w:rPr>
            </w:pPr>
            <w:r>
              <w:rPr>
                <w:b/>
              </w:rPr>
              <w:t>(15,201)</w:t>
            </w:r>
          </w:p>
        </w:tc>
      </w:tr>
      <w:tr w:rsidR="00B062AD" w:rsidRPr="000127EF" w14:paraId="0E8E9461" w14:textId="77777777" w:rsidTr="000528E9">
        <w:tc>
          <w:tcPr>
            <w:tcW w:w="1621" w:type="pct"/>
            <w:tcBorders>
              <w:top w:val="dashed" w:sz="4" w:space="0" w:color="A8D08D" w:themeColor="accent6" w:themeTint="99"/>
            </w:tcBorders>
          </w:tcPr>
          <w:p w14:paraId="50153EF7" w14:textId="77777777" w:rsidR="00B062AD" w:rsidRPr="000127EF" w:rsidRDefault="00B062AD" w:rsidP="007A79E7">
            <w:r w:rsidRPr="000127EF">
              <w:t>Depreciation charge in year</w:t>
            </w:r>
          </w:p>
        </w:tc>
        <w:tc>
          <w:tcPr>
            <w:tcW w:w="565" w:type="pct"/>
            <w:tcBorders>
              <w:top w:val="dashed" w:sz="4" w:space="0" w:color="A8D08D" w:themeColor="accent6" w:themeTint="99"/>
            </w:tcBorders>
            <w:vAlign w:val="center"/>
          </w:tcPr>
          <w:p w14:paraId="5A1D5D33" w14:textId="08CDA379" w:rsidR="00B062AD" w:rsidRPr="00BE08CA" w:rsidRDefault="00C445C6" w:rsidP="007A79E7">
            <w:pPr>
              <w:jc w:val="right"/>
            </w:pPr>
            <w:r>
              <w:t>(423)</w:t>
            </w:r>
          </w:p>
        </w:tc>
        <w:tc>
          <w:tcPr>
            <w:tcW w:w="627" w:type="pct"/>
            <w:tcBorders>
              <w:top w:val="dashed" w:sz="4" w:space="0" w:color="A8D08D" w:themeColor="accent6" w:themeTint="99"/>
            </w:tcBorders>
            <w:vAlign w:val="center"/>
          </w:tcPr>
          <w:p w14:paraId="338D54B4" w14:textId="2E94301D" w:rsidR="00B062AD" w:rsidRPr="00BE08CA" w:rsidRDefault="00C445C6" w:rsidP="007A79E7">
            <w:pPr>
              <w:jc w:val="right"/>
            </w:pPr>
            <w:r>
              <w:t>(64)</w:t>
            </w:r>
          </w:p>
        </w:tc>
        <w:tc>
          <w:tcPr>
            <w:tcW w:w="492" w:type="pct"/>
            <w:tcBorders>
              <w:top w:val="dashed" w:sz="4" w:space="0" w:color="A8D08D" w:themeColor="accent6" w:themeTint="99"/>
            </w:tcBorders>
            <w:vAlign w:val="center"/>
          </w:tcPr>
          <w:p w14:paraId="4FF75BCD" w14:textId="5511977D" w:rsidR="00B062AD" w:rsidRPr="00BE08CA" w:rsidRDefault="00C445C6" w:rsidP="007A79E7">
            <w:pPr>
              <w:jc w:val="right"/>
            </w:pPr>
            <w:r>
              <w:t>(1,718)</w:t>
            </w:r>
          </w:p>
        </w:tc>
        <w:tc>
          <w:tcPr>
            <w:tcW w:w="733" w:type="pct"/>
            <w:tcBorders>
              <w:top w:val="dashed" w:sz="4" w:space="0" w:color="A8D08D" w:themeColor="accent6" w:themeTint="99"/>
            </w:tcBorders>
            <w:vAlign w:val="center"/>
          </w:tcPr>
          <w:p w14:paraId="5F899C37" w14:textId="26E98E2F" w:rsidR="00B062AD" w:rsidRPr="00BE08CA" w:rsidRDefault="00C445C6" w:rsidP="007A79E7">
            <w:pPr>
              <w:jc w:val="right"/>
            </w:pPr>
            <w:r>
              <w:t>0</w:t>
            </w:r>
          </w:p>
        </w:tc>
        <w:tc>
          <w:tcPr>
            <w:tcW w:w="483" w:type="pct"/>
            <w:tcBorders>
              <w:top w:val="dashed" w:sz="4" w:space="0" w:color="A8D08D" w:themeColor="accent6" w:themeTint="99"/>
            </w:tcBorders>
            <w:vAlign w:val="center"/>
          </w:tcPr>
          <w:p w14:paraId="3D3AD487" w14:textId="3B6EDB8D" w:rsidR="00B062AD" w:rsidRPr="00BE08CA" w:rsidRDefault="00C445C6" w:rsidP="007A79E7">
            <w:pPr>
              <w:jc w:val="right"/>
            </w:pPr>
            <w:r>
              <w:t>(1)</w:t>
            </w:r>
          </w:p>
        </w:tc>
        <w:tc>
          <w:tcPr>
            <w:tcW w:w="479" w:type="pct"/>
            <w:tcBorders>
              <w:top w:val="dashed" w:sz="4" w:space="0" w:color="A8D08D" w:themeColor="accent6" w:themeTint="99"/>
            </w:tcBorders>
            <w:shd w:val="clear" w:color="auto" w:fill="C5E0B3" w:themeFill="accent6" w:themeFillTint="66"/>
            <w:vAlign w:val="center"/>
          </w:tcPr>
          <w:p w14:paraId="14F82420" w14:textId="1CF83D92" w:rsidR="00B062AD" w:rsidRPr="00BE08CA" w:rsidRDefault="00C445C6" w:rsidP="007A79E7">
            <w:pPr>
              <w:jc w:val="right"/>
            </w:pPr>
            <w:r>
              <w:t>(2,206)</w:t>
            </w:r>
          </w:p>
        </w:tc>
      </w:tr>
      <w:tr w:rsidR="00B062AD" w:rsidRPr="000127EF" w14:paraId="4A0E3A14" w14:textId="77777777" w:rsidTr="000528E9">
        <w:tc>
          <w:tcPr>
            <w:tcW w:w="1621" w:type="pct"/>
          </w:tcPr>
          <w:p w14:paraId="0EDEFBEC" w14:textId="77777777" w:rsidR="00B062AD" w:rsidRPr="000127EF" w:rsidRDefault="00B062AD" w:rsidP="007A79E7">
            <w:r w:rsidRPr="000127EF">
              <w:t>Depreciation written out to the revaluation reserve</w:t>
            </w:r>
          </w:p>
        </w:tc>
        <w:tc>
          <w:tcPr>
            <w:tcW w:w="565" w:type="pct"/>
            <w:vAlign w:val="center"/>
          </w:tcPr>
          <w:p w14:paraId="1B73466F" w14:textId="42D5B9BE" w:rsidR="00B062AD" w:rsidRPr="00BE08CA" w:rsidRDefault="00C445C6" w:rsidP="007A79E7">
            <w:pPr>
              <w:jc w:val="right"/>
            </w:pPr>
            <w:r>
              <w:t>241</w:t>
            </w:r>
          </w:p>
        </w:tc>
        <w:tc>
          <w:tcPr>
            <w:tcW w:w="627" w:type="pct"/>
            <w:vAlign w:val="center"/>
          </w:tcPr>
          <w:p w14:paraId="3061BE8E" w14:textId="1C437DE6" w:rsidR="00B062AD" w:rsidRPr="00BE08CA" w:rsidRDefault="00C445C6" w:rsidP="007A79E7">
            <w:pPr>
              <w:jc w:val="right"/>
            </w:pPr>
            <w:r>
              <w:t>0</w:t>
            </w:r>
          </w:p>
        </w:tc>
        <w:tc>
          <w:tcPr>
            <w:tcW w:w="492" w:type="pct"/>
            <w:vAlign w:val="center"/>
          </w:tcPr>
          <w:p w14:paraId="30D82A33" w14:textId="6441AC28" w:rsidR="00B062AD" w:rsidRPr="00BE08CA" w:rsidRDefault="00C445C6" w:rsidP="007A79E7">
            <w:pPr>
              <w:jc w:val="right"/>
            </w:pPr>
            <w:r>
              <w:t>0</w:t>
            </w:r>
          </w:p>
        </w:tc>
        <w:tc>
          <w:tcPr>
            <w:tcW w:w="733" w:type="pct"/>
            <w:vAlign w:val="center"/>
          </w:tcPr>
          <w:p w14:paraId="6FD7AD7B" w14:textId="46765EEF" w:rsidR="00B062AD" w:rsidRPr="00BE08CA" w:rsidRDefault="00C445C6" w:rsidP="007A79E7">
            <w:pPr>
              <w:jc w:val="right"/>
            </w:pPr>
            <w:r>
              <w:t>0</w:t>
            </w:r>
          </w:p>
        </w:tc>
        <w:tc>
          <w:tcPr>
            <w:tcW w:w="483" w:type="pct"/>
            <w:vAlign w:val="center"/>
          </w:tcPr>
          <w:p w14:paraId="40274869" w14:textId="4624DFF3" w:rsidR="00B062AD" w:rsidRPr="00BE08CA" w:rsidRDefault="00C445C6" w:rsidP="007A79E7">
            <w:pPr>
              <w:jc w:val="right"/>
            </w:pPr>
            <w:r>
              <w:t>0</w:t>
            </w:r>
          </w:p>
        </w:tc>
        <w:tc>
          <w:tcPr>
            <w:tcW w:w="479" w:type="pct"/>
            <w:shd w:val="clear" w:color="auto" w:fill="C5E0B3" w:themeFill="accent6" w:themeFillTint="66"/>
            <w:vAlign w:val="center"/>
          </w:tcPr>
          <w:p w14:paraId="3E11C062" w14:textId="0CD8084A" w:rsidR="00B062AD" w:rsidRPr="00BE08CA" w:rsidRDefault="00C445C6" w:rsidP="007A79E7">
            <w:pPr>
              <w:jc w:val="right"/>
            </w:pPr>
            <w:r>
              <w:t>241</w:t>
            </w:r>
          </w:p>
        </w:tc>
      </w:tr>
      <w:tr w:rsidR="00B062AD" w:rsidRPr="000127EF" w14:paraId="43E347F0" w14:textId="77777777" w:rsidTr="000528E9">
        <w:tc>
          <w:tcPr>
            <w:tcW w:w="1621" w:type="pct"/>
          </w:tcPr>
          <w:p w14:paraId="1ED7003D" w14:textId="16DDB93F" w:rsidR="00B062AD" w:rsidRPr="000127EF" w:rsidRDefault="00B062AD" w:rsidP="007A79E7">
            <w:r w:rsidRPr="000127EF">
              <w:t>Depr</w:t>
            </w:r>
            <w:r w:rsidR="00EB50B3" w:rsidRPr="000127EF">
              <w:t xml:space="preserve">eciation Written out to the Surplus/ Deficit on the Provision of Services </w:t>
            </w:r>
          </w:p>
        </w:tc>
        <w:tc>
          <w:tcPr>
            <w:tcW w:w="565" w:type="pct"/>
            <w:vAlign w:val="center"/>
          </w:tcPr>
          <w:p w14:paraId="3930D803" w14:textId="6402C6A4" w:rsidR="00B062AD" w:rsidRPr="00BE08CA" w:rsidRDefault="00C445C6" w:rsidP="007A79E7">
            <w:pPr>
              <w:jc w:val="right"/>
            </w:pPr>
            <w:r>
              <w:t>13</w:t>
            </w:r>
          </w:p>
        </w:tc>
        <w:tc>
          <w:tcPr>
            <w:tcW w:w="627" w:type="pct"/>
            <w:vAlign w:val="center"/>
          </w:tcPr>
          <w:p w14:paraId="21DBB93E" w14:textId="2DF218AB" w:rsidR="00B062AD" w:rsidRPr="00BE08CA" w:rsidRDefault="00C445C6" w:rsidP="007A79E7">
            <w:pPr>
              <w:jc w:val="right"/>
            </w:pPr>
            <w:r>
              <w:t>0</w:t>
            </w:r>
          </w:p>
        </w:tc>
        <w:tc>
          <w:tcPr>
            <w:tcW w:w="492" w:type="pct"/>
            <w:vAlign w:val="center"/>
          </w:tcPr>
          <w:p w14:paraId="055E4450" w14:textId="26628E19" w:rsidR="00B062AD" w:rsidRPr="00BE08CA" w:rsidRDefault="00C445C6" w:rsidP="007A79E7">
            <w:pPr>
              <w:jc w:val="right"/>
            </w:pPr>
            <w:r>
              <w:t>0</w:t>
            </w:r>
          </w:p>
        </w:tc>
        <w:tc>
          <w:tcPr>
            <w:tcW w:w="733" w:type="pct"/>
            <w:vAlign w:val="center"/>
          </w:tcPr>
          <w:p w14:paraId="0C6F5ACD" w14:textId="56D78DAA" w:rsidR="00B062AD" w:rsidRPr="00BE08CA" w:rsidRDefault="00C445C6" w:rsidP="007A79E7">
            <w:pPr>
              <w:jc w:val="right"/>
            </w:pPr>
            <w:r>
              <w:t>0</w:t>
            </w:r>
          </w:p>
        </w:tc>
        <w:tc>
          <w:tcPr>
            <w:tcW w:w="483" w:type="pct"/>
            <w:vAlign w:val="center"/>
          </w:tcPr>
          <w:p w14:paraId="26FB249E" w14:textId="63D0A85B" w:rsidR="00B062AD" w:rsidRPr="00BE08CA" w:rsidRDefault="00C445C6" w:rsidP="007A79E7">
            <w:pPr>
              <w:jc w:val="right"/>
            </w:pPr>
            <w:r>
              <w:t>0</w:t>
            </w:r>
          </w:p>
        </w:tc>
        <w:tc>
          <w:tcPr>
            <w:tcW w:w="479" w:type="pct"/>
            <w:shd w:val="clear" w:color="auto" w:fill="C5E0B3" w:themeFill="accent6" w:themeFillTint="66"/>
            <w:vAlign w:val="center"/>
          </w:tcPr>
          <w:p w14:paraId="0BB89971" w14:textId="05B74B4E" w:rsidR="00B062AD" w:rsidRPr="00BE08CA" w:rsidRDefault="00C445C6" w:rsidP="007A79E7">
            <w:pPr>
              <w:jc w:val="right"/>
            </w:pPr>
            <w:r>
              <w:t>13</w:t>
            </w:r>
          </w:p>
        </w:tc>
      </w:tr>
      <w:tr w:rsidR="00B062AD" w:rsidRPr="000127EF" w14:paraId="4D7A70B1" w14:textId="77777777" w:rsidTr="000528E9">
        <w:tc>
          <w:tcPr>
            <w:tcW w:w="1621" w:type="pct"/>
          </w:tcPr>
          <w:p w14:paraId="014B8B66" w14:textId="5408BD06" w:rsidR="00B062AD" w:rsidRPr="000127EF" w:rsidRDefault="00B062AD" w:rsidP="007A79E7">
            <w:r w:rsidRPr="000127EF">
              <w:t xml:space="preserve">Impairment </w:t>
            </w:r>
            <w:r w:rsidR="00EB50B3" w:rsidRPr="000127EF">
              <w:t>(losses)/ reversals recognis</w:t>
            </w:r>
            <w:r w:rsidRPr="000127EF">
              <w:t xml:space="preserve">ed in Revaluation Reserve </w:t>
            </w:r>
          </w:p>
        </w:tc>
        <w:tc>
          <w:tcPr>
            <w:tcW w:w="565" w:type="pct"/>
            <w:vAlign w:val="center"/>
          </w:tcPr>
          <w:p w14:paraId="4A2F66ED" w14:textId="598B79FD" w:rsidR="00B062AD" w:rsidRPr="00BE08CA" w:rsidRDefault="00C445C6" w:rsidP="007A79E7">
            <w:pPr>
              <w:jc w:val="right"/>
            </w:pPr>
            <w:r>
              <w:t>0</w:t>
            </w:r>
          </w:p>
        </w:tc>
        <w:tc>
          <w:tcPr>
            <w:tcW w:w="627" w:type="pct"/>
            <w:vAlign w:val="center"/>
          </w:tcPr>
          <w:p w14:paraId="178C65A6" w14:textId="56D3B4C7" w:rsidR="00B062AD" w:rsidRPr="00BE08CA" w:rsidRDefault="00C445C6" w:rsidP="007A79E7">
            <w:pPr>
              <w:jc w:val="right"/>
            </w:pPr>
            <w:r>
              <w:t>0</w:t>
            </w:r>
          </w:p>
        </w:tc>
        <w:tc>
          <w:tcPr>
            <w:tcW w:w="492" w:type="pct"/>
            <w:vAlign w:val="center"/>
          </w:tcPr>
          <w:p w14:paraId="00243E31" w14:textId="12CB1647" w:rsidR="00B062AD" w:rsidRPr="00BE08CA" w:rsidRDefault="00C445C6" w:rsidP="007A79E7">
            <w:pPr>
              <w:jc w:val="right"/>
            </w:pPr>
            <w:r>
              <w:t>0</w:t>
            </w:r>
          </w:p>
        </w:tc>
        <w:tc>
          <w:tcPr>
            <w:tcW w:w="733" w:type="pct"/>
            <w:vAlign w:val="center"/>
          </w:tcPr>
          <w:p w14:paraId="097289B6" w14:textId="14226F6C" w:rsidR="00B062AD" w:rsidRPr="00BE08CA" w:rsidRDefault="00C445C6" w:rsidP="007A79E7">
            <w:pPr>
              <w:jc w:val="right"/>
            </w:pPr>
            <w:r>
              <w:t>0</w:t>
            </w:r>
          </w:p>
        </w:tc>
        <w:tc>
          <w:tcPr>
            <w:tcW w:w="483" w:type="pct"/>
            <w:vAlign w:val="center"/>
          </w:tcPr>
          <w:p w14:paraId="0A19CF88" w14:textId="08193C9B" w:rsidR="00B062AD" w:rsidRPr="00BE08CA" w:rsidRDefault="00C445C6" w:rsidP="007A79E7">
            <w:pPr>
              <w:jc w:val="right"/>
            </w:pPr>
            <w:r>
              <w:t>0</w:t>
            </w:r>
          </w:p>
        </w:tc>
        <w:tc>
          <w:tcPr>
            <w:tcW w:w="479" w:type="pct"/>
            <w:shd w:val="clear" w:color="auto" w:fill="C5E0B3" w:themeFill="accent6" w:themeFillTint="66"/>
            <w:vAlign w:val="center"/>
          </w:tcPr>
          <w:p w14:paraId="1B3B500B" w14:textId="4B36CCE4" w:rsidR="00B062AD" w:rsidRPr="00BE08CA" w:rsidRDefault="00C445C6" w:rsidP="007A79E7">
            <w:pPr>
              <w:jc w:val="right"/>
            </w:pPr>
            <w:r>
              <w:t>0</w:t>
            </w:r>
          </w:p>
        </w:tc>
      </w:tr>
      <w:tr w:rsidR="00B062AD" w:rsidRPr="000127EF" w14:paraId="487129E7" w14:textId="77777777" w:rsidTr="000528E9">
        <w:tc>
          <w:tcPr>
            <w:tcW w:w="1621" w:type="pct"/>
          </w:tcPr>
          <w:p w14:paraId="6D42202C" w14:textId="284263C6" w:rsidR="00B062AD" w:rsidRPr="000127EF" w:rsidRDefault="00B062AD" w:rsidP="007A79E7">
            <w:r w:rsidRPr="000127EF">
              <w:t xml:space="preserve">Impairment </w:t>
            </w:r>
            <w:r w:rsidR="00EB50B3" w:rsidRPr="000127EF">
              <w:t>(losses)/ reversals recognised in the Surplus/ Deficit on the Provision of Services</w:t>
            </w:r>
          </w:p>
        </w:tc>
        <w:tc>
          <w:tcPr>
            <w:tcW w:w="565" w:type="pct"/>
            <w:vAlign w:val="center"/>
          </w:tcPr>
          <w:p w14:paraId="1CD92B14" w14:textId="4636E443" w:rsidR="00B062AD" w:rsidRPr="00BE08CA" w:rsidRDefault="00C445C6" w:rsidP="007A79E7">
            <w:pPr>
              <w:jc w:val="right"/>
            </w:pPr>
            <w:r>
              <w:t>3</w:t>
            </w:r>
          </w:p>
        </w:tc>
        <w:tc>
          <w:tcPr>
            <w:tcW w:w="627" w:type="pct"/>
            <w:vAlign w:val="center"/>
          </w:tcPr>
          <w:p w14:paraId="525651BE" w14:textId="1CF0353B" w:rsidR="00B062AD" w:rsidRPr="00BE08CA" w:rsidRDefault="00C445C6" w:rsidP="007A79E7">
            <w:pPr>
              <w:jc w:val="right"/>
            </w:pPr>
            <w:r>
              <w:t>0</w:t>
            </w:r>
          </w:p>
        </w:tc>
        <w:tc>
          <w:tcPr>
            <w:tcW w:w="492" w:type="pct"/>
            <w:vAlign w:val="center"/>
          </w:tcPr>
          <w:p w14:paraId="548AB7B2" w14:textId="1C9861E4" w:rsidR="00B062AD" w:rsidRPr="00BE08CA" w:rsidRDefault="00C445C6" w:rsidP="007A79E7">
            <w:pPr>
              <w:jc w:val="right"/>
            </w:pPr>
            <w:r>
              <w:t>0</w:t>
            </w:r>
          </w:p>
        </w:tc>
        <w:tc>
          <w:tcPr>
            <w:tcW w:w="733" w:type="pct"/>
            <w:vAlign w:val="center"/>
          </w:tcPr>
          <w:p w14:paraId="68B6010D" w14:textId="6512C83B" w:rsidR="00B062AD" w:rsidRPr="00BE08CA" w:rsidRDefault="00C445C6" w:rsidP="007A79E7">
            <w:pPr>
              <w:jc w:val="right"/>
            </w:pPr>
            <w:r>
              <w:t>0</w:t>
            </w:r>
          </w:p>
        </w:tc>
        <w:tc>
          <w:tcPr>
            <w:tcW w:w="483" w:type="pct"/>
            <w:vAlign w:val="center"/>
          </w:tcPr>
          <w:p w14:paraId="29534450" w14:textId="2D104AD0" w:rsidR="00B062AD" w:rsidRPr="00BE08CA" w:rsidRDefault="00C445C6" w:rsidP="007A79E7">
            <w:pPr>
              <w:jc w:val="right"/>
            </w:pPr>
            <w:r>
              <w:t>0</w:t>
            </w:r>
          </w:p>
        </w:tc>
        <w:tc>
          <w:tcPr>
            <w:tcW w:w="479" w:type="pct"/>
            <w:shd w:val="clear" w:color="auto" w:fill="C5E0B3" w:themeFill="accent6" w:themeFillTint="66"/>
            <w:vAlign w:val="center"/>
          </w:tcPr>
          <w:p w14:paraId="7A707CD0" w14:textId="105F24B7" w:rsidR="00B062AD" w:rsidRPr="00BE08CA" w:rsidRDefault="00C445C6" w:rsidP="007A79E7">
            <w:pPr>
              <w:jc w:val="right"/>
            </w:pPr>
            <w:r>
              <w:t>3</w:t>
            </w:r>
          </w:p>
        </w:tc>
      </w:tr>
      <w:tr w:rsidR="00B062AD" w:rsidRPr="000127EF" w14:paraId="1E733FAE" w14:textId="77777777" w:rsidTr="000528E9">
        <w:tc>
          <w:tcPr>
            <w:tcW w:w="1621" w:type="pct"/>
          </w:tcPr>
          <w:p w14:paraId="386163F3" w14:textId="77777777" w:rsidR="00B062AD" w:rsidRPr="000127EF" w:rsidRDefault="00B062AD" w:rsidP="007A79E7">
            <w:r w:rsidRPr="000127EF">
              <w:t>De-recognition – Disposal</w:t>
            </w:r>
          </w:p>
        </w:tc>
        <w:tc>
          <w:tcPr>
            <w:tcW w:w="565" w:type="pct"/>
            <w:vAlign w:val="center"/>
          </w:tcPr>
          <w:p w14:paraId="0B4443BD" w14:textId="42DFB149" w:rsidR="00B062AD" w:rsidRPr="00BE08CA" w:rsidRDefault="00C445C6" w:rsidP="007A79E7">
            <w:pPr>
              <w:jc w:val="right"/>
            </w:pPr>
            <w:r>
              <w:t>0</w:t>
            </w:r>
          </w:p>
        </w:tc>
        <w:tc>
          <w:tcPr>
            <w:tcW w:w="627" w:type="pct"/>
            <w:vAlign w:val="center"/>
          </w:tcPr>
          <w:p w14:paraId="54E750B2" w14:textId="1AA11A49" w:rsidR="00B062AD" w:rsidRPr="00BE08CA" w:rsidRDefault="00C445C6" w:rsidP="007A79E7">
            <w:pPr>
              <w:jc w:val="right"/>
            </w:pPr>
            <w:r>
              <w:t>0</w:t>
            </w:r>
          </w:p>
        </w:tc>
        <w:tc>
          <w:tcPr>
            <w:tcW w:w="492" w:type="pct"/>
            <w:vAlign w:val="center"/>
          </w:tcPr>
          <w:p w14:paraId="490FAEDB" w14:textId="317A110D" w:rsidR="00B062AD" w:rsidRPr="00BE08CA" w:rsidRDefault="00C445C6" w:rsidP="007A79E7">
            <w:pPr>
              <w:jc w:val="right"/>
            </w:pPr>
            <w:r>
              <w:t>0</w:t>
            </w:r>
          </w:p>
        </w:tc>
        <w:tc>
          <w:tcPr>
            <w:tcW w:w="733" w:type="pct"/>
            <w:vAlign w:val="center"/>
          </w:tcPr>
          <w:p w14:paraId="79B3DA80" w14:textId="32ECF1D8" w:rsidR="00B062AD" w:rsidRPr="00BE08CA" w:rsidRDefault="00C445C6" w:rsidP="007A79E7">
            <w:pPr>
              <w:jc w:val="right"/>
            </w:pPr>
            <w:r>
              <w:t>0</w:t>
            </w:r>
          </w:p>
        </w:tc>
        <w:tc>
          <w:tcPr>
            <w:tcW w:w="483" w:type="pct"/>
            <w:vAlign w:val="center"/>
          </w:tcPr>
          <w:p w14:paraId="03D263A1" w14:textId="4706C84E" w:rsidR="00B062AD" w:rsidRPr="00BE08CA" w:rsidRDefault="00C445C6" w:rsidP="007A79E7">
            <w:pPr>
              <w:jc w:val="right"/>
            </w:pPr>
            <w:r>
              <w:t>0</w:t>
            </w:r>
          </w:p>
        </w:tc>
        <w:tc>
          <w:tcPr>
            <w:tcW w:w="479" w:type="pct"/>
            <w:shd w:val="clear" w:color="auto" w:fill="C5E0B3" w:themeFill="accent6" w:themeFillTint="66"/>
            <w:vAlign w:val="center"/>
          </w:tcPr>
          <w:p w14:paraId="3944C62B" w14:textId="6A3F3432" w:rsidR="00B062AD" w:rsidRPr="00BE08CA" w:rsidRDefault="00C445C6" w:rsidP="007A79E7">
            <w:pPr>
              <w:jc w:val="right"/>
            </w:pPr>
            <w:r>
              <w:t>0</w:t>
            </w:r>
          </w:p>
        </w:tc>
      </w:tr>
      <w:tr w:rsidR="009B48F4" w:rsidRPr="000127EF" w14:paraId="55F82C74" w14:textId="77777777" w:rsidTr="000528E9">
        <w:tc>
          <w:tcPr>
            <w:tcW w:w="1621" w:type="pct"/>
            <w:tcBorders>
              <w:bottom w:val="dashed" w:sz="4" w:space="0" w:color="A8D08D" w:themeColor="accent6" w:themeTint="99"/>
            </w:tcBorders>
          </w:tcPr>
          <w:p w14:paraId="1FF3B016" w14:textId="5C98B020" w:rsidR="009B48F4" w:rsidRPr="009B48F4" w:rsidRDefault="009B48F4" w:rsidP="007A79E7">
            <w:pPr>
              <w:rPr>
                <w:bCs/>
              </w:rPr>
            </w:pPr>
            <w:r>
              <w:rPr>
                <w:bCs/>
              </w:rPr>
              <w:lastRenderedPageBreak/>
              <w:t>Reclassification from Assets Held for Sale</w:t>
            </w:r>
          </w:p>
        </w:tc>
        <w:tc>
          <w:tcPr>
            <w:tcW w:w="565" w:type="pct"/>
            <w:tcBorders>
              <w:bottom w:val="dashed" w:sz="4" w:space="0" w:color="A8D08D" w:themeColor="accent6" w:themeTint="99"/>
            </w:tcBorders>
            <w:vAlign w:val="center"/>
          </w:tcPr>
          <w:p w14:paraId="62B70F3C" w14:textId="0551F977" w:rsidR="009B48F4" w:rsidRPr="00BE08CA" w:rsidRDefault="00C445C6" w:rsidP="007A79E7">
            <w:pPr>
              <w:jc w:val="right"/>
              <w:rPr>
                <w:bCs/>
              </w:rPr>
            </w:pPr>
            <w:r>
              <w:rPr>
                <w:bCs/>
              </w:rPr>
              <w:t>0</w:t>
            </w:r>
          </w:p>
        </w:tc>
        <w:tc>
          <w:tcPr>
            <w:tcW w:w="627" w:type="pct"/>
            <w:tcBorders>
              <w:bottom w:val="dashed" w:sz="4" w:space="0" w:color="A8D08D" w:themeColor="accent6" w:themeTint="99"/>
            </w:tcBorders>
            <w:vAlign w:val="center"/>
          </w:tcPr>
          <w:p w14:paraId="23D0696F" w14:textId="2BA21D7C" w:rsidR="009B48F4" w:rsidRPr="00BE08CA" w:rsidRDefault="00C445C6" w:rsidP="007A79E7">
            <w:pPr>
              <w:jc w:val="right"/>
              <w:rPr>
                <w:bCs/>
              </w:rPr>
            </w:pPr>
            <w:r>
              <w:rPr>
                <w:bCs/>
              </w:rPr>
              <w:t>0</w:t>
            </w:r>
          </w:p>
        </w:tc>
        <w:tc>
          <w:tcPr>
            <w:tcW w:w="492" w:type="pct"/>
            <w:tcBorders>
              <w:bottom w:val="dashed" w:sz="4" w:space="0" w:color="A8D08D" w:themeColor="accent6" w:themeTint="99"/>
            </w:tcBorders>
            <w:vAlign w:val="center"/>
          </w:tcPr>
          <w:p w14:paraId="0D698BBD" w14:textId="08908745" w:rsidR="009B48F4" w:rsidRPr="00BE08CA" w:rsidRDefault="00C445C6" w:rsidP="007A79E7">
            <w:pPr>
              <w:jc w:val="right"/>
            </w:pPr>
            <w:r>
              <w:t>0</w:t>
            </w:r>
          </w:p>
        </w:tc>
        <w:tc>
          <w:tcPr>
            <w:tcW w:w="733" w:type="pct"/>
            <w:tcBorders>
              <w:bottom w:val="dashed" w:sz="4" w:space="0" w:color="A8D08D" w:themeColor="accent6" w:themeTint="99"/>
            </w:tcBorders>
            <w:vAlign w:val="center"/>
          </w:tcPr>
          <w:p w14:paraId="25227EEB" w14:textId="4D158323" w:rsidR="009B48F4" w:rsidRPr="00BE08CA" w:rsidRDefault="00C445C6" w:rsidP="007A79E7">
            <w:pPr>
              <w:jc w:val="right"/>
            </w:pPr>
            <w:r>
              <w:t>0</w:t>
            </w:r>
          </w:p>
        </w:tc>
        <w:tc>
          <w:tcPr>
            <w:tcW w:w="483" w:type="pct"/>
            <w:tcBorders>
              <w:bottom w:val="dashed" w:sz="4" w:space="0" w:color="A8D08D" w:themeColor="accent6" w:themeTint="99"/>
            </w:tcBorders>
            <w:vAlign w:val="center"/>
          </w:tcPr>
          <w:p w14:paraId="376BCC1F" w14:textId="12331767" w:rsidR="009B48F4" w:rsidRPr="00BE08CA" w:rsidRDefault="00C445C6" w:rsidP="007A79E7">
            <w:pPr>
              <w:jc w:val="right"/>
            </w:pPr>
            <w:r>
              <w:t>0</w:t>
            </w:r>
          </w:p>
        </w:tc>
        <w:tc>
          <w:tcPr>
            <w:tcW w:w="479" w:type="pct"/>
            <w:tcBorders>
              <w:bottom w:val="dashed" w:sz="4" w:space="0" w:color="A8D08D" w:themeColor="accent6" w:themeTint="99"/>
            </w:tcBorders>
            <w:shd w:val="clear" w:color="auto" w:fill="C5E0B3" w:themeFill="accent6" w:themeFillTint="66"/>
            <w:vAlign w:val="center"/>
          </w:tcPr>
          <w:p w14:paraId="3D82976E" w14:textId="18BFD3F5" w:rsidR="009B48F4" w:rsidRPr="00BE08CA" w:rsidRDefault="00C445C6" w:rsidP="007A79E7">
            <w:pPr>
              <w:jc w:val="right"/>
            </w:pPr>
            <w:r>
              <w:t>0</w:t>
            </w:r>
          </w:p>
        </w:tc>
      </w:tr>
      <w:tr w:rsidR="009B48F4" w:rsidRPr="000127EF" w14:paraId="3EEADD6E" w14:textId="77777777" w:rsidTr="000528E9">
        <w:tc>
          <w:tcPr>
            <w:tcW w:w="1621" w:type="pct"/>
            <w:tcBorders>
              <w:bottom w:val="dashed" w:sz="4" w:space="0" w:color="A8D08D" w:themeColor="accent6" w:themeTint="99"/>
            </w:tcBorders>
          </w:tcPr>
          <w:p w14:paraId="3E155C04" w14:textId="644C1461" w:rsidR="009B48F4" w:rsidRPr="009B48F4" w:rsidRDefault="00C445C6" w:rsidP="007A79E7">
            <w:pPr>
              <w:rPr>
                <w:bCs/>
              </w:rPr>
            </w:pPr>
            <w:r>
              <w:rPr>
                <w:bCs/>
              </w:rPr>
              <w:t>Reclassification to Surplus Assets</w:t>
            </w:r>
          </w:p>
        </w:tc>
        <w:tc>
          <w:tcPr>
            <w:tcW w:w="565" w:type="pct"/>
            <w:tcBorders>
              <w:bottom w:val="dashed" w:sz="4" w:space="0" w:color="A8D08D" w:themeColor="accent6" w:themeTint="99"/>
            </w:tcBorders>
            <w:vAlign w:val="center"/>
          </w:tcPr>
          <w:p w14:paraId="5477EA61" w14:textId="5FA6F9B2" w:rsidR="009B48F4" w:rsidRPr="00BE08CA" w:rsidRDefault="00C445C6" w:rsidP="007A79E7">
            <w:pPr>
              <w:jc w:val="right"/>
              <w:rPr>
                <w:bCs/>
              </w:rPr>
            </w:pPr>
            <w:r>
              <w:rPr>
                <w:bCs/>
              </w:rPr>
              <w:t>(5)</w:t>
            </w:r>
          </w:p>
        </w:tc>
        <w:tc>
          <w:tcPr>
            <w:tcW w:w="627" w:type="pct"/>
            <w:tcBorders>
              <w:bottom w:val="dashed" w:sz="4" w:space="0" w:color="A8D08D" w:themeColor="accent6" w:themeTint="99"/>
            </w:tcBorders>
            <w:vAlign w:val="center"/>
          </w:tcPr>
          <w:p w14:paraId="17677EC8" w14:textId="23C602B3" w:rsidR="009B48F4" w:rsidRPr="00BE08CA" w:rsidRDefault="00C445C6" w:rsidP="007A79E7">
            <w:pPr>
              <w:jc w:val="right"/>
              <w:rPr>
                <w:bCs/>
              </w:rPr>
            </w:pPr>
            <w:r>
              <w:rPr>
                <w:bCs/>
              </w:rPr>
              <w:t>0</w:t>
            </w:r>
          </w:p>
        </w:tc>
        <w:tc>
          <w:tcPr>
            <w:tcW w:w="492" w:type="pct"/>
            <w:tcBorders>
              <w:bottom w:val="dashed" w:sz="4" w:space="0" w:color="A8D08D" w:themeColor="accent6" w:themeTint="99"/>
            </w:tcBorders>
            <w:vAlign w:val="center"/>
          </w:tcPr>
          <w:p w14:paraId="78777593" w14:textId="7E62491E" w:rsidR="009B48F4" w:rsidRPr="00BE08CA" w:rsidRDefault="00C445C6" w:rsidP="007A79E7">
            <w:pPr>
              <w:jc w:val="right"/>
            </w:pPr>
            <w:r>
              <w:t>0</w:t>
            </w:r>
          </w:p>
        </w:tc>
        <w:tc>
          <w:tcPr>
            <w:tcW w:w="733" w:type="pct"/>
            <w:tcBorders>
              <w:bottom w:val="dashed" w:sz="4" w:space="0" w:color="A8D08D" w:themeColor="accent6" w:themeTint="99"/>
            </w:tcBorders>
            <w:vAlign w:val="center"/>
          </w:tcPr>
          <w:p w14:paraId="19E68E14" w14:textId="1B9BF7AA" w:rsidR="009B48F4" w:rsidRPr="00BE08CA" w:rsidRDefault="00C445C6" w:rsidP="007A79E7">
            <w:pPr>
              <w:jc w:val="right"/>
            </w:pPr>
            <w:r>
              <w:t>0</w:t>
            </w:r>
          </w:p>
        </w:tc>
        <w:tc>
          <w:tcPr>
            <w:tcW w:w="483" w:type="pct"/>
            <w:tcBorders>
              <w:bottom w:val="dashed" w:sz="4" w:space="0" w:color="A8D08D" w:themeColor="accent6" w:themeTint="99"/>
            </w:tcBorders>
            <w:vAlign w:val="center"/>
          </w:tcPr>
          <w:p w14:paraId="3CE54A8A" w14:textId="497900A9" w:rsidR="009B48F4" w:rsidRPr="00BE08CA" w:rsidRDefault="00C445C6" w:rsidP="007A79E7">
            <w:pPr>
              <w:jc w:val="right"/>
            </w:pPr>
            <w:r>
              <w:t>5</w:t>
            </w:r>
          </w:p>
        </w:tc>
        <w:tc>
          <w:tcPr>
            <w:tcW w:w="479" w:type="pct"/>
            <w:tcBorders>
              <w:bottom w:val="dashed" w:sz="4" w:space="0" w:color="A8D08D" w:themeColor="accent6" w:themeTint="99"/>
            </w:tcBorders>
            <w:shd w:val="clear" w:color="auto" w:fill="C5E0B3" w:themeFill="accent6" w:themeFillTint="66"/>
            <w:vAlign w:val="center"/>
          </w:tcPr>
          <w:p w14:paraId="43696F97" w14:textId="421B2D4F" w:rsidR="009B48F4" w:rsidRPr="00BE08CA" w:rsidRDefault="00C445C6" w:rsidP="007A79E7">
            <w:pPr>
              <w:jc w:val="right"/>
            </w:pPr>
            <w:r>
              <w:t>0</w:t>
            </w:r>
          </w:p>
        </w:tc>
      </w:tr>
      <w:tr w:rsidR="00B062AD" w:rsidRPr="000127EF" w14:paraId="21DF277A" w14:textId="77777777" w:rsidTr="000528E9">
        <w:tc>
          <w:tcPr>
            <w:tcW w:w="1621" w:type="pct"/>
            <w:tcBorders>
              <w:bottom w:val="dashed" w:sz="4" w:space="0" w:color="A8D08D" w:themeColor="accent6" w:themeTint="99"/>
            </w:tcBorders>
          </w:tcPr>
          <w:p w14:paraId="3786A47D" w14:textId="4350572F" w:rsidR="00B062AD" w:rsidRPr="00BE08CA" w:rsidRDefault="000528E9" w:rsidP="007A79E7">
            <w:pPr>
              <w:rPr>
                <w:b/>
              </w:rPr>
            </w:pPr>
            <w:r w:rsidRPr="00BE08CA">
              <w:rPr>
                <w:b/>
              </w:rPr>
              <w:t>At 31 March 20</w:t>
            </w:r>
            <w:r w:rsidR="00303875" w:rsidRPr="00BE08CA">
              <w:rPr>
                <w:b/>
              </w:rPr>
              <w:t>20</w:t>
            </w:r>
          </w:p>
        </w:tc>
        <w:tc>
          <w:tcPr>
            <w:tcW w:w="565" w:type="pct"/>
            <w:tcBorders>
              <w:bottom w:val="dashed" w:sz="4" w:space="0" w:color="A8D08D" w:themeColor="accent6" w:themeTint="99"/>
            </w:tcBorders>
            <w:vAlign w:val="center"/>
          </w:tcPr>
          <w:p w14:paraId="43610DFA" w14:textId="3DD4DBA7" w:rsidR="00B062AD" w:rsidRPr="00BE08CA" w:rsidRDefault="00C445C6" w:rsidP="007A79E7">
            <w:pPr>
              <w:jc w:val="right"/>
              <w:rPr>
                <w:b/>
              </w:rPr>
            </w:pPr>
            <w:r>
              <w:rPr>
                <w:b/>
              </w:rPr>
              <w:t>(903)</w:t>
            </w:r>
          </w:p>
        </w:tc>
        <w:tc>
          <w:tcPr>
            <w:tcW w:w="627" w:type="pct"/>
            <w:tcBorders>
              <w:bottom w:val="dashed" w:sz="4" w:space="0" w:color="A8D08D" w:themeColor="accent6" w:themeTint="99"/>
            </w:tcBorders>
            <w:vAlign w:val="center"/>
          </w:tcPr>
          <w:p w14:paraId="7D61FCFE" w14:textId="653C770E" w:rsidR="00B062AD" w:rsidRPr="00BE08CA" w:rsidRDefault="00C445C6" w:rsidP="007A79E7">
            <w:pPr>
              <w:jc w:val="right"/>
              <w:rPr>
                <w:b/>
              </w:rPr>
            </w:pPr>
            <w:r>
              <w:rPr>
                <w:b/>
              </w:rPr>
              <w:t>(1,855)</w:t>
            </w:r>
          </w:p>
        </w:tc>
        <w:tc>
          <w:tcPr>
            <w:tcW w:w="492" w:type="pct"/>
            <w:tcBorders>
              <w:bottom w:val="dashed" w:sz="4" w:space="0" w:color="A8D08D" w:themeColor="accent6" w:themeTint="99"/>
            </w:tcBorders>
            <w:vAlign w:val="center"/>
          </w:tcPr>
          <w:p w14:paraId="33339FEC" w14:textId="1858B8FB" w:rsidR="00B062AD" w:rsidRPr="00BE08CA" w:rsidRDefault="00C445C6" w:rsidP="007A79E7">
            <w:pPr>
              <w:jc w:val="right"/>
              <w:rPr>
                <w:b/>
              </w:rPr>
            </w:pPr>
            <w:r>
              <w:rPr>
                <w:b/>
              </w:rPr>
              <w:t>(14,393)</w:t>
            </w:r>
          </w:p>
        </w:tc>
        <w:tc>
          <w:tcPr>
            <w:tcW w:w="733" w:type="pct"/>
            <w:tcBorders>
              <w:bottom w:val="dashed" w:sz="4" w:space="0" w:color="A8D08D" w:themeColor="accent6" w:themeTint="99"/>
            </w:tcBorders>
            <w:vAlign w:val="center"/>
          </w:tcPr>
          <w:p w14:paraId="5E8B001E" w14:textId="692EA950" w:rsidR="00B062AD" w:rsidRPr="00BE08CA" w:rsidRDefault="00C445C6" w:rsidP="007A79E7">
            <w:pPr>
              <w:jc w:val="right"/>
              <w:rPr>
                <w:b/>
              </w:rPr>
            </w:pPr>
            <w:r>
              <w:rPr>
                <w:b/>
              </w:rPr>
              <w:t>0</w:t>
            </w:r>
          </w:p>
        </w:tc>
        <w:tc>
          <w:tcPr>
            <w:tcW w:w="483" w:type="pct"/>
            <w:tcBorders>
              <w:bottom w:val="dashed" w:sz="4" w:space="0" w:color="A8D08D" w:themeColor="accent6" w:themeTint="99"/>
            </w:tcBorders>
            <w:vAlign w:val="center"/>
          </w:tcPr>
          <w:p w14:paraId="15906182" w14:textId="7F25D378" w:rsidR="00B062AD" w:rsidRPr="00BE08CA" w:rsidRDefault="00C445C6" w:rsidP="007A79E7">
            <w:pPr>
              <w:jc w:val="right"/>
              <w:rPr>
                <w:b/>
              </w:rPr>
            </w:pPr>
            <w:r>
              <w:rPr>
                <w:b/>
              </w:rPr>
              <w:t>1</w:t>
            </w:r>
          </w:p>
        </w:tc>
        <w:tc>
          <w:tcPr>
            <w:tcW w:w="479" w:type="pct"/>
            <w:tcBorders>
              <w:bottom w:val="dashed" w:sz="4" w:space="0" w:color="A8D08D" w:themeColor="accent6" w:themeTint="99"/>
            </w:tcBorders>
            <w:shd w:val="clear" w:color="auto" w:fill="C5E0B3" w:themeFill="accent6" w:themeFillTint="66"/>
            <w:vAlign w:val="center"/>
          </w:tcPr>
          <w:p w14:paraId="5EF96D33" w14:textId="34E63902" w:rsidR="00B062AD" w:rsidRPr="00BE08CA" w:rsidRDefault="00C445C6" w:rsidP="007A79E7">
            <w:pPr>
              <w:jc w:val="right"/>
              <w:rPr>
                <w:b/>
              </w:rPr>
            </w:pPr>
            <w:r>
              <w:rPr>
                <w:b/>
              </w:rPr>
              <w:t>(17,150)</w:t>
            </w:r>
          </w:p>
        </w:tc>
      </w:tr>
      <w:tr w:rsidR="00B062AD" w:rsidRPr="000127EF" w14:paraId="6EC2C512" w14:textId="77777777" w:rsidTr="000528E9">
        <w:tc>
          <w:tcPr>
            <w:tcW w:w="1621" w:type="pct"/>
            <w:tcBorders>
              <w:top w:val="dashed" w:sz="4" w:space="0" w:color="A8D08D" w:themeColor="accent6" w:themeTint="99"/>
              <w:bottom w:val="nil"/>
            </w:tcBorders>
          </w:tcPr>
          <w:p w14:paraId="08FA4705" w14:textId="77777777" w:rsidR="00B062AD" w:rsidRPr="000127EF" w:rsidRDefault="00B062AD" w:rsidP="007A79E7">
            <w:pPr>
              <w:rPr>
                <w:b/>
              </w:rPr>
            </w:pPr>
          </w:p>
        </w:tc>
        <w:tc>
          <w:tcPr>
            <w:tcW w:w="565" w:type="pct"/>
            <w:tcBorders>
              <w:top w:val="dashed" w:sz="4" w:space="0" w:color="A8D08D" w:themeColor="accent6" w:themeTint="99"/>
              <w:bottom w:val="nil"/>
            </w:tcBorders>
            <w:vAlign w:val="center"/>
          </w:tcPr>
          <w:p w14:paraId="04833A2D" w14:textId="77777777" w:rsidR="00B062AD" w:rsidRPr="00BE08CA" w:rsidRDefault="00B062AD" w:rsidP="007A79E7">
            <w:pPr>
              <w:jc w:val="right"/>
              <w:rPr>
                <w:b/>
              </w:rPr>
            </w:pPr>
          </w:p>
        </w:tc>
        <w:tc>
          <w:tcPr>
            <w:tcW w:w="627" w:type="pct"/>
            <w:tcBorders>
              <w:top w:val="dashed" w:sz="4" w:space="0" w:color="A8D08D" w:themeColor="accent6" w:themeTint="99"/>
              <w:bottom w:val="nil"/>
            </w:tcBorders>
            <w:vAlign w:val="center"/>
          </w:tcPr>
          <w:p w14:paraId="395B7C08" w14:textId="77777777" w:rsidR="00B062AD" w:rsidRPr="00BE08CA" w:rsidRDefault="00B062AD" w:rsidP="007A79E7">
            <w:pPr>
              <w:jc w:val="right"/>
              <w:rPr>
                <w:b/>
              </w:rPr>
            </w:pPr>
          </w:p>
        </w:tc>
        <w:tc>
          <w:tcPr>
            <w:tcW w:w="492" w:type="pct"/>
            <w:tcBorders>
              <w:top w:val="dashed" w:sz="4" w:space="0" w:color="A8D08D" w:themeColor="accent6" w:themeTint="99"/>
              <w:bottom w:val="nil"/>
            </w:tcBorders>
            <w:vAlign w:val="center"/>
          </w:tcPr>
          <w:p w14:paraId="05B214C7" w14:textId="77777777" w:rsidR="00B062AD" w:rsidRPr="00BE08CA" w:rsidRDefault="00B062AD" w:rsidP="007A79E7">
            <w:pPr>
              <w:jc w:val="right"/>
              <w:rPr>
                <w:b/>
              </w:rPr>
            </w:pPr>
          </w:p>
        </w:tc>
        <w:tc>
          <w:tcPr>
            <w:tcW w:w="733" w:type="pct"/>
            <w:tcBorders>
              <w:top w:val="dashed" w:sz="4" w:space="0" w:color="A8D08D" w:themeColor="accent6" w:themeTint="99"/>
              <w:bottom w:val="nil"/>
            </w:tcBorders>
            <w:vAlign w:val="center"/>
          </w:tcPr>
          <w:p w14:paraId="1BD3CFEA" w14:textId="77777777" w:rsidR="00B062AD" w:rsidRPr="00BE08CA" w:rsidRDefault="00B062AD" w:rsidP="007A79E7">
            <w:pPr>
              <w:jc w:val="right"/>
              <w:rPr>
                <w:b/>
              </w:rPr>
            </w:pPr>
          </w:p>
        </w:tc>
        <w:tc>
          <w:tcPr>
            <w:tcW w:w="483" w:type="pct"/>
            <w:tcBorders>
              <w:top w:val="dashed" w:sz="4" w:space="0" w:color="A8D08D" w:themeColor="accent6" w:themeTint="99"/>
              <w:bottom w:val="nil"/>
            </w:tcBorders>
            <w:vAlign w:val="center"/>
          </w:tcPr>
          <w:p w14:paraId="27DC11A3" w14:textId="77777777" w:rsidR="00B062AD" w:rsidRPr="00BE08CA" w:rsidRDefault="00B062AD" w:rsidP="007A79E7">
            <w:pPr>
              <w:jc w:val="right"/>
              <w:rPr>
                <w:b/>
              </w:rPr>
            </w:pPr>
          </w:p>
        </w:tc>
        <w:tc>
          <w:tcPr>
            <w:tcW w:w="479" w:type="pct"/>
            <w:tcBorders>
              <w:top w:val="dashed" w:sz="4" w:space="0" w:color="A8D08D" w:themeColor="accent6" w:themeTint="99"/>
              <w:bottom w:val="nil"/>
            </w:tcBorders>
            <w:shd w:val="clear" w:color="auto" w:fill="C5E0B3" w:themeFill="accent6" w:themeFillTint="66"/>
            <w:vAlign w:val="center"/>
          </w:tcPr>
          <w:p w14:paraId="409D5496" w14:textId="77777777" w:rsidR="00B062AD" w:rsidRPr="00BE08CA" w:rsidRDefault="00B062AD" w:rsidP="007A79E7">
            <w:pPr>
              <w:jc w:val="right"/>
              <w:rPr>
                <w:b/>
              </w:rPr>
            </w:pPr>
          </w:p>
        </w:tc>
      </w:tr>
      <w:tr w:rsidR="00B062AD" w:rsidRPr="000127EF" w14:paraId="77FFC63D" w14:textId="77777777" w:rsidTr="000528E9">
        <w:trPr>
          <w:trHeight w:val="103"/>
        </w:trPr>
        <w:tc>
          <w:tcPr>
            <w:tcW w:w="1621" w:type="pct"/>
            <w:tcBorders>
              <w:top w:val="nil"/>
              <w:bottom w:val="dashed" w:sz="4" w:space="0" w:color="A8D08D" w:themeColor="accent6" w:themeTint="99"/>
            </w:tcBorders>
          </w:tcPr>
          <w:p w14:paraId="410F47CA" w14:textId="364EF377" w:rsidR="00B062AD" w:rsidRPr="000127EF" w:rsidRDefault="00B062AD" w:rsidP="007A79E7">
            <w:pPr>
              <w:rPr>
                <w:sz w:val="6"/>
                <w:szCs w:val="6"/>
              </w:rPr>
            </w:pPr>
            <w:r w:rsidRPr="000127EF">
              <w:rPr>
                <w:b/>
              </w:rPr>
              <w:t>Net Book Value A</w:t>
            </w:r>
            <w:r w:rsidR="000528E9" w:rsidRPr="000127EF">
              <w:rPr>
                <w:b/>
              </w:rPr>
              <w:t>t 31 March 20</w:t>
            </w:r>
            <w:r w:rsidR="00303875">
              <w:rPr>
                <w:b/>
              </w:rPr>
              <w:t>20</w:t>
            </w:r>
          </w:p>
        </w:tc>
        <w:tc>
          <w:tcPr>
            <w:tcW w:w="565" w:type="pct"/>
            <w:tcBorders>
              <w:top w:val="nil"/>
              <w:bottom w:val="dashed" w:sz="4" w:space="0" w:color="A8D08D" w:themeColor="accent6" w:themeTint="99"/>
            </w:tcBorders>
            <w:vAlign w:val="center"/>
          </w:tcPr>
          <w:p w14:paraId="0241DACA" w14:textId="021C2803" w:rsidR="00B062AD" w:rsidRPr="00BE08CA" w:rsidRDefault="00C445C6" w:rsidP="007A79E7">
            <w:pPr>
              <w:jc w:val="right"/>
              <w:rPr>
                <w:b/>
                <w:bCs/>
                <w:szCs w:val="22"/>
              </w:rPr>
            </w:pPr>
            <w:r>
              <w:rPr>
                <w:b/>
                <w:bCs/>
                <w:szCs w:val="22"/>
              </w:rPr>
              <w:t>33,417</w:t>
            </w:r>
          </w:p>
        </w:tc>
        <w:tc>
          <w:tcPr>
            <w:tcW w:w="627" w:type="pct"/>
            <w:tcBorders>
              <w:top w:val="nil"/>
              <w:bottom w:val="dashed" w:sz="4" w:space="0" w:color="A8D08D" w:themeColor="accent6" w:themeTint="99"/>
            </w:tcBorders>
            <w:vAlign w:val="center"/>
          </w:tcPr>
          <w:p w14:paraId="33733905" w14:textId="0D5A297E" w:rsidR="00B062AD" w:rsidRPr="00BE08CA" w:rsidRDefault="00C445C6" w:rsidP="007A79E7">
            <w:pPr>
              <w:jc w:val="right"/>
              <w:rPr>
                <w:b/>
                <w:bCs/>
                <w:szCs w:val="22"/>
              </w:rPr>
            </w:pPr>
            <w:r>
              <w:rPr>
                <w:b/>
                <w:bCs/>
                <w:szCs w:val="22"/>
              </w:rPr>
              <w:t>482</w:t>
            </w:r>
          </w:p>
        </w:tc>
        <w:tc>
          <w:tcPr>
            <w:tcW w:w="492" w:type="pct"/>
            <w:tcBorders>
              <w:top w:val="nil"/>
              <w:bottom w:val="dashed" w:sz="4" w:space="0" w:color="A8D08D" w:themeColor="accent6" w:themeTint="99"/>
            </w:tcBorders>
            <w:vAlign w:val="center"/>
          </w:tcPr>
          <w:p w14:paraId="665F5327" w14:textId="1905FFD7" w:rsidR="00B062AD" w:rsidRPr="00BE08CA" w:rsidRDefault="00C445C6" w:rsidP="007A79E7">
            <w:pPr>
              <w:jc w:val="right"/>
              <w:rPr>
                <w:b/>
                <w:bCs/>
                <w:szCs w:val="22"/>
              </w:rPr>
            </w:pPr>
            <w:r>
              <w:rPr>
                <w:b/>
                <w:bCs/>
                <w:szCs w:val="22"/>
              </w:rPr>
              <w:t>37,632</w:t>
            </w:r>
          </w:p>
        </w:tc>
        <w:tc>
          <w:tcPr>
            <w:tcW w:w="733" w:type="pct"/>
            <w:tcBorders>
              <w:top w:val="nil"/>
              <w:bottom w:val="dashed" w:sz="4" w:space="0" w:color="A8D08D" w:themeColor="accent6" w:themeTint="99"/>
            </w:tcBorders>
            <w:vAlign w:val="center"/>
          </w:tcPr>
          <w:p w14:paraId="7205E3F2" w14:textId="4090C7CB" w:rsidR="00B062AD" w:rsidRPr="00BE08CA" w:rsidRDefault="00C445C6" w:rsidP="007A79E7">
            <w:pPr>
              <w:jc w:val="right"/>
              <w:rPr>
                <w:b/>
                <w:bCs/>
                <w:szCs w:val="22"/>
              </w:rPr>
            </w:pPr>
            <w:r>
              <w:rPr>
                <w:b/>
                <w:bCs/>
                <w:szCs w:val="22"/>
              </w:rPr>
              <w:t>280</w:t>
            </w:r>
          </w:p>
        </w:tc>
        <w:tc>
          <w:tcPr>
            <w:tcW w:w="483" w:type="pct"/>
            <w:tcBorders>
              <w:top w:val="nil"/>
              <w:bottom w:val="dashed" w:sz="4" w:space="0" w:color="A8D08D" w:themeColor="accent6" w:themeTint="99"/>
            </w:tcBorders>
            <w:vAlign w:val="center"/>
          </w:tcPr>
          <w:p w14:paraId="6706A084" w14:textId="0D4D874C" w:rsidR="00B062AD" w:rsidRPr="00BE08CA" w:rsidRDefault="00C445C6" w:rsidP="007A79E7">
            <w:pPr>
              <w:jc w:val="right"/>
              <w:rPr>
                <w:b/>
                <w:bCs/>
                <w:szCs w:val="22"/>
              </w:rPr>
            </w:pPr>
            <w:r>
              <w:rPr>
                <w:b/>
                <w:bCs/>
                <w:szCs w:val="22"/>
              </w:rPr>
              <w:t>1</w:t>
            </w:r>
          </w:p>
        </w:tc>
        <w:tc>
          <w:tcPr>
            <w:tcW w:w="479" w:type="pct"/>
            <w:tcBorders>
              <w:top w:val="nil"/>
              <w:bottom w:val="dashed" w:sz="4" w:space="0" w:color="A8D08D" w:themeColor="accent6" w:themeTint="99"/>
            </w:tcBorders>
            <w:shd w:val="clear" w:color="auto" w:fill="C5E0B3" w:themeFill="accent6" w:themeFillTint="66"/>
            <w:vAlign w:val="center"/>
          </w:tcPr>
          <w:p w14:paraId="0448CD7C" w14:textId="7753ADD5" w:rsidR="00B062AD" w:rsidRPr="00BE08CA" w:rsidRDefault="00C445C6" w:rsidP="007A79E7">
            <w:pPr>
              <w:jc w:val="right"/>
              <w:rPr>
                <w:b/>
                <w:bCs/>
                <w:szCs w:val="22"/>
              </w:rPr>
            </w:pPr>
            <w:r>
              <w:rPr>
                <w:b/>
                <w:bCs/>
                <w:szCs w:val="22"/>
              </w:rPr>
              <w:t>71,812</w:t>
            </w:r>
          </w:p>
        </w:tc>
      </w:tr>
      <w:tr w:rsidR="00B062AD" w:rsidRPr="000127EF" w14:paraId="2CB3D71E" w14:textId="77777777" w:rsidTr="000528E9">
        <w:tc>
          <w:tcPr>
            <w:tcW w:w="1621" w:type="pct"/>
            <w:tcBorders>
              <w:top w:val="dashed" w:sz="4" w:space="0" w:color="A8D08D" w:themeColor="accent6" w:themeTint="99"/>
              <w:bottom w:val="nil"/>
            </w:tcBorders>
          </w:tcPr>
          <w:p w14:paraId="2A651B35" w14:textId="77777777" w:rsidR="00B062AD" w:rsidRPr="000127EF" w:rsidRDefault="00B062AD" w:rsidP="007A79E7">
            <w:pPr>
              <w:rPr>
                <w:b/>
              </w:rPr>
            </w:pPr>
          </w:p>
        </w:tc>
        <w:tc>
          <w:tcPr>
            <w:tcW w:w="565" w:type="pct"/>
            <w:tcBorders>
              <w:top w:val="dashed" w:sz="4" w:space="0" w:color="A8D08D" w:themeColor="accent6" w:themeTint="99"/>
              <w:bottom w:val="nil"/>
            </w:tcBorders>
            <w:vAlign w:val="center"/>
          </w:tcPr>
          <w:p w14:paraId="03D17C47" w14:textId="63675D93" w:rsidR="00B062AD" w:rsidRPr="004B07F7" w:rsidRDefault="00B062AD" w:rsidP="007A79E7">
            <w:pPr>
              <w:jc w:val="right"/>
              <w:rPr>
                <w:bCs/>
                <w:szCs w:val="22"/>
              </w:rPr>
            </w:pPr>
          </w:p>
        </w:tc>
        <w:tc>
          <w:tcPr>
            <w:tcW w:w="627" w:type="pct"/>
            <w:tcBorders>
              <w:top w:val="dashed" w:sz="4" w:space="0" w:color="A8D08D" w:themeColor="accent6" w:themeTint="99"/>
              <w:bottom w:val="nil"/>
            </w:tcBorders>
            <w:vAlign w:val="center"/>
          </w:tcPr>
          <w:p w14:paraId="16994FDD" w14:textId="41793EB4" w:rsidR="00B062AD" w:rsidRPr="004B07F7" w:rsidRDefault="00B062AD" w:rsidP="007A79E7">
            <w:pPr>
              <w:jc w:val="right"/>
              <w:rPr>
                <w:bCs/>
                <w:szCs w:val="22"/>
              </w:rPr>
            </w:pPr>
          </w:p>
        </w:tc>
        <w:tc>
          <w:tcPr>
            <w:tcW w:w="492" w:type="pct"/>
            <w:tcBorders>
              <w:top w:val="dashed" w:sz="4" w:space="0" w:color="A8D08D" w:themeColor="accent6" w:themeTint="99"/>
              <w:bottom w:val="nil"/>
            </w:tcBorders>
            <w:vAlign w:val="center"/>
          </w:tcPr>
          <w:p w14:paraId="1299A13D" w14:textId="16687C67" w:rsidR="00B062AD" w:rsidRPr="004B07F7" w:rsidRDefault="00B062AD" w:rsidP="007A79E7">
            <w:pPr>
              <w:jc w:val="right"/>
              <w:rPr>
                <w:bCs/>
                <w:szCs w:val="22"/>
              </w:rPr>
            </w:pPr>
          </w:p>
        </w:tc>
        <w:tc>
          <w:tcPr>
            <w:tcW w:w="733" w:type="pct"/>
            <w:tcBorders>
              <w:top w:val="dashed" w:sz="4" w:space="0" w:color="A8D08D" w:themeColor="accent6" w:themeTint="99"/>
              <w:bottom w:val="nil"/>
            </w:tcBorders>
            <w:vAlign w:val="center"/>
          </w:tcPr>
          <w:p w14:paraId="2ACB4D5F" w14:textId="5B243094" w:rsidR="00B062AD" w:rsidRPr="004B07F7" w:rsidRDefault="00B062AD" w:rsidP="007A79E7">
            <w:pPr>
              <w:jc w:val="right"/>
              <w:rPr>
                <w:bCs/>
                <w:szCs w:val="22"/>
              </w:rPr>
            </w:pPr>
          </w:p>
        </w:tc>
        <w:tc>
          <w:tcPr>
            <w:tcW w:w="483" w:type="pct"/>
            <w:tcBorders>
              <w:top w:val="dashed" w:sz="4" w:space="0" w:color="A8D08D" w:themeColor="accent6" w:themeTint="99"/>
              <w:bottom w:val="nil"/>
            </w:tcBorders>
            <w:vAlign w:val="center"/>
          </w:tcPr>
          <w:p w14:paraId="5463EF6E" w14:textId="7C581B81" w:rsidR="00B062AD" w:rsidRPr="004B07F7" w:rsidRDefault="00B062AD" w:rsidP="007A79E7">
            <w:pPr>
              <w:jc w:val="right"/>
              <w:rPr>
                <w:bCs/>
                <w:szCs w:val="22"/>
              </w:rPr>
            </w:pPr>
          </w:p>
        </w:tc>
        <w:tc>
          <w:tcPr>
            <w:tcW w:w="479" w:type="pct"/>
            <w:tcBorders>
              <w:top w:val="dashed" w:sz="4" w:space="0" w:color="A8D08D" w:themeColor="accent6" w:themeTint="99"/>
              <w:bottom w:val="nil"/>
            </w:tcBorders>
            <w:shd w:val="clear" w:color="auto" w:fill="C5E0B3" w:themeFill="accent6" w:themeFillTint="66"/>
            <w:vAlign w:val="center"/>
          </w:tcPr>
          <w:p w14:paraId="18E53876" w14:textId="2639394E" w:rsidR="00B062AD" w:rsidRPr="004B07F7" w:rsidRDefault="00B062AD" w:rsidP="007A79E7">
            <w:pPr>
              <w:jc w:val="right"/>
              <w:rPr>
                <w:bCs/>
                <w:szCs w:val="22"/>
              </w:rPr>
            </w:pPr>
          </w:p>
        </w:tc>
      </w:tr>
      <w:tr w:rsidR="00B062AD" w:rsidRPr="000127EF" w14:paraId="2C3DE823" w14:textId="77777777" w:rsidTr="000528E9">
        <w:trPr>
          <w:trHeight w:val="80"/>
        </w:trPr>
        <w:tc>
          <w:tcPr>
            <w:tcW w:w="1621" w:type="pct"/>
            <w:tcBorders>
              <w:top w:val="nil"/>
            </w:tcBorders>
          </w:tcPr>
          <w:p w14:paraId="0A5061FC" w14:textId="1AC433E9" w:rsidR="00B062AD" w:rsidRPr="000127EF" w:rsidRDefault="000528E9" w:rsidP="007A79E7">
            <w:pPr>
              <w:rPr>
                <w:sz w:val="6"/>
                <w:szCs w:val="6"/>
              </w:rPr>
            </w:pPr>
            <w:r w:rsidRPr="000127EF">
              <w:t>At 1 April 20</w:t>
            </w:r>
            <w:r w:rsidR="00303875">
              <w:t>19</w:t>
            </w:r>
          </w:p>
        </w:tc>
        <w:tc>
          <w:tcPr>
            <w:tcW w:w="565" w:type="pct"/>
            <w:tcBorders>
              <w:top w:val="nil"/>
            </w:tcBorders>
          </w:tcPr>
          <w:p w14:paraId="48CBA9FB" w14:textId="2944CA44" w:rsidR="00B062AD" w:rsidRPr="004B07F7" w:rsidRDefault="00C445C6" w:rsidP="007A79E7">
            <w:pPr>
              <w:jc w:val="right"/>
              <w:rPr>
                <w:bCs/>
                <w:szCs w:val="22"/>
              </w:rPr>
            </w:pPr>
            <w:r w:rsidRPr="004B07F7">
              <w:rPr>
                <w:bCs/>
                <w:szCs w:val="22"/>
              </w:rPr>
              <w:t>32,048</w:t>
            </w:r>
          </w:p>
        </w:tc>
        <w:tc>
          <w:tcPr>
            <w:tcW w:w="627" w:type="pct"/>
            <w:tcBorders>
              <w:top w:val="nil"/>
            </w:tcBorders>
          </w:tcPr>
          <w:p w14:paraId="4844ED2E" w14:textId="1944CC8D" w:rsidR="00B062AD" w:rsidRPr="004B07F7" w:rsidRDefault="00C445C6" w:rsidP="007A79E7">
            <w:pPr>
              <w:jc w:val="right"/>
              <w:rPr>
                <w:bCs/>
                <w:szCs w:val="22"/>
              </w:rPr>
            </w:pPr>
            <w:r w:rsidRPr="004B07F7">
              <w:rPr>
                <w:bCs/>
                <w:szCs w:val="22"/>
              </w:rPr>
              <w:t>410</w:t>
            </w:r>
          </w:p>
        </w:tc>
        <w:tc>
          <w:tcPr>
            <w:tcW w:w="492" w:type="pct"/>
            <w:tcBorders>
              <w:top w:val="nil"/>
            </w:tcBorders>
          </w:tcPr>
          <w:p w14:paraId="174BE63D" w14:textId="057E8939" w:rsidR="00B062AD" w:rsidRPr="004B07F7" w:rsidRDefault="00C445C6" w:rsidP="007A79E7">
            <w:pPr>
              <w:jc w:val="right"/>
              <w:rPr>
                <w:bCs/>
                <w:szCs w:val="22"/>
              </w:rPr>
            </w:pPr>
            <w:r w:rsidRPr="004B07F7">
              <w:rPr>
                <w:bCs/>
                <w:szCs w:val="22"/>
              </w:rPr>
              <w:t>36,595</w:t>
            </w:r>
          </w:p>
        </w:tc>
        <w:tc>
          <w:tcPr>
            <w:tcW w:w="733" w:type="pct"/>
            <w:tcBorders>
              <w:top w:val="nil"/>
            </w:tcBorders>
          </w:tcPr>
          <w:p w14:paraId="55CC748C" w14:textId="4A7F5DF0" w:rsidR="00B062AD" w:rsidRPr="004B07F7" w:rsidRDefault="00C445C6" w:rsidP="007A79E7">
            <w:pPr>
              <w:jc w:val="right"/>
              <w:rPr>
                <w:bCs/>
                <w:szCs w:val="22"/>
              </w:rPr>
            </w:pPr>
            <w:r w:rsidRPr="004B07F7">
              <w:rPr>
                <w:bCs/>
                <w:szCs w:val="22"/>
              </w:rPr>
              <w:t>578</w:t>
            </w:r>
          </w:p>
        </w:tc>
        <w:tc>
          <w:tcPr>
            <w:tcW w:w="483" w:type="pct"/>
            <w:tcBorders>
              <w:top w:val="nil"/>
            </w:tcBorders>
          </w:tcPr>
          <w:p w14:paraId="1F9FF627" w14:textId="50F6BC02" w:rsidR="00B062AD" w:rsidRPr="004B07F7" w:rsidRDefault="00C445C6" w:rsidP="007A79E7">
            <w:pPr>
              <w:jc w:val="right"/>
              <w:rPr>
                <w:bCs/>
                <w:szCs w:val="22"/>
              </w:rPr>
            </w:pPr>
            <w:r w:rsidRPr="004B07F7">
              <w:rPr>
                <w:bCs/>
                <w:szCs w:val="22"/>
              </w:rPr>
              <w:t>62</w:t>
            </w:r>
          </w:p>
        </w:tc>
        <w:tc>
          <w:tcPr>
            <w:tcW w:w="479" w:type="pct"/>
            <w:tcBorders>
              <w:top w:val="nil"/>
            </w:tcBorders>
            <w:shd w:val="clear" w:color="auto" w:fill="C5E0B3" w:themeFill="accent6" w:themeFillTint="66"/>
            <w:vAlign w:val="center"/>
          </w:tcPr>
          <w:p w14:paraId="56B30118" w14:textId="22800560" w:rsidR="00B062AD" w:rsidRPr="004B07F7" w:rsidRDefault="00C445C6" w:rsidP="007A79E7">
            <w:pPr>
              <w:jc w:val="right"/>
              <w:rPr>
                <w:bCs/>
                <w:szCs w:val="22"/>
              </w:rPr>
            </w:pPr>
            <w:r w:rsidRPr="004B07F7">
              <w:rPr>
                <w:bCs/>
                <w:szCs w:val="22"/>
              </w:rPr>
              <w:t>69,693</w:t>
            </w:r>
          </w:p>
        </w:tc>
      </w:tr>
      <w:tr w:rsidR="00B062AD" w:rsidRPr="000127EF" w14:paraId="1C14B340" w14:textId="77777777" w:rsidTr="000528E9">
        <w:tc>
          <w:tcPr>
            <w:tcW w:w="1621" w:type="pct"/>
            <w:tcBorders>
              <w:top w:val="nil"/>
            </w:tcBorders>
          </w:tcPr>
          <w:p w14:paraId="5DFF4833" w14:textId="77777777" w:rsidR="00B062AD" w:rsidRPr="000127EF" w:rsidRDefault="00B062AD" w:rsidP="007A79E7"/>
        </w:tc>
        <w:tc>
          <w:tcPr>
            <w:tcW w:w="565" w:type="pct"/>
            <w:tcBorders>
              <w:top w:val="nil"/>
            </w:tcBorders>
          </w:tcPr>
          <w:p w14:paraId="2581C34A" w14:textId="77777777" w:rsidR="00B062AD" w:rsidRPr="00501FBE" w:rsidRDefault="00B062AD" w:rsidP="007A79E7">
            <w:pPr>
              <w:jc w:val="right"/>
              <w:rPr>
                <w:b/>
                <w:highlight w:val="yellow"/>
              </w:rPr>
            </w:pPr>
          </w:p>
        </w:tc>
        <w:tc>
          <w:tcPr>
            <w:tcW w:w="627" w:type="pct"/>
            <w:tcBorders>
              <w:top w:val="nil"/>
            </w:tcBorders>
          </w:tcPr>
          <w:p w14:paraId="7E2DC3E6" w14:textId="77777777" w:rsidR="00B062AD" w:rsidRPr="00501FBE" w:rsidRDefault="00B062AD" w:rsidP="007A79E7">
            <w:pPr>
              <w:jc w:val="right"/>
              <w:rPr>
                <w:b/>
                <w:highlight w:val="yellow"/>
              </w:rPr>
            </w:pPr>
          </w:p>
        </w:tc>
        <w:tc>
          <w:tcPr>
            <w:tcW w:w="492" w:type="pct"/>
            <w:tcBorders>
              <w:top w:val="nil"/>
            </w:tcBorders>
          </w:tcPr>
          <w:p w14:paraId="3CC13C7A" w14:textId="77777777" w:rsidR="00B062AD" w:rsidRPr="00501FBE" w:rsidRDefault="00B062AD" w:rsidP="007A79E7">
            <w:pPr>
              <w:jc w:val="right"/>
              <w:rPr>
                <w:b/>
                <w:highlight w:val="yellow"/>
              </w:rPr>
            </w:pPr>
          </w:p>
        </w:tc>
        <w:tc>
          <w:tcPr>
            <w:tcW w:w="733" w:type="pct"/>
            <w:tcBorders>
              <w:top w:val="nil"/>
            </w:tcBorders>
          </w:tcPr>
          <w:p w14:paraId="5C39D9C7" w14:textId="77777777" w:rsidR="00B062AD" w:rsidRPr="00501FBE" w:rsidRDefault="00B062AD" w:rsidP="007A79E7">
            <w:pPr>
              <w:jc w:val="right"/>
              <w:rPr>
                <w:b/>
                <w:highlight w:val="yellow"/>
              </w:rPr>
            </w:pPr>
          </w:p>
        </w:tc>
        <w:tc>
          <w:tcPr>
            <w:tcW w:w="483" w:type="pct"/>
            <w:tcBorders>
              <w:top w:val="nil"/>
            </w:tcBorders>
          </w:tcPr>
          <w:p w14:paraId="32648FBF" w14:textId="77777777" w:rsidR="00B062AD" w:rsidRPr="00501FBE" w:rsidRDefault="00B062AD" w:rsidP="007A79E7">
            <w:pPr>
              <w:jc w:val="right"/>
              <w:rPr>
                <w:b/>
                <w:highlight w:val="yellow"/>
              </w:rPr>
            </w:pPr>
          </w:p>
        </w:tc>
        <w:tc>
          <w:tcPr>
            <w:tcW w:w="479" w:type="pct"/>
            <w:tcBorders>
              <w:top w:val="nil"/>
            </w:tcBorders>
            <w:shd w:val="clear" w:color="auto" w:fill="C5E0B3" w:themeFill="accent6" w:themeFillTint="66"/>
            <w:vAlign w:val="center"/>
          </w:tcPr>
          <w:p w14:paraId="56EB4DCE" w14:textId="77777777" w:rsidR="00B062AD" w:rsidRPr="00501FBE" w:rsidRDefault="00B062AD" w:rsidP="007A79E7">
            <w:pPr>
              <w:jc w:val="right"/>
              <w:rPr>
                <w:b/>
                <w:highlight w:val="yellow"/>
              </w:rPr>
            </w:pPr>
          </w:p>
        </w:tc>
      </w:tr>
    </w:tbl>
    <w:p w14:paraId="22FE8F1E" w14:textId="77777777" w:rsidR="00442FCD" w:rsidRDefault="00442FCD" w:rsidP="005120F4"/>
    <w:tbl>
      <w:tblPr>
        <w:tblStyle w:val="TableGrid"/>
        <w:tblW w:w="10805" w:type="dxa"/>
        <w:tbl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insideH w:val="dashed" w:sz="4" w:space="0" w:color="A8D08D" w:themeColor="accent6" w:themeTint="99"/>
          <w:insideV w:val="dashed" w:sz="4" w:space="0" w:color="A8D08D" w:themeColor="accent6" w:themeTint="99"/>
        </w:tblBorders>
        <w:tblLook w:val="04A0" w:firstRow="1" w:lastRow="0" w:firstColumn="1" w:lastColumn="0" w:noHBand="0" w:noVBand="1"/>
      </w:tblPr>
      <w:tblGrid>
        <w:gridCol w:w="3502"/>
        <w:gridCol w:w="1220"/>
        <w:gridCol w:w="1355"/>
        <w:gridCol w:w="1063"/>
        <w:gridCol w:w="1585"/>
        <w:gridCol w:w="1044"/>
        <w:gridCol w:w="1036"/>
      </w:tblGrid>
      <w:tr w:rsidR="00303875" w:rsidRPr="000127EF" w14:paraId="6E75C6C7" w14:textId="77777777" w:rsidTr="009671E7">
        <w:tc>
          <w:tcPr>
            <w:tcW w:w="1621" w:type="pct"/>
            <w:tcBorders>
              <w:top w:val="single" w:sz="18" w:space="0" w:color="C5E0B3" w:themeColor="accent6" w:themeTint="66"/>
              <w:bottom w:val="nil"/>
            </w:tcBorders>
            <w:vAlign w:val="center"/>
          </w:tcPr>
          <w:p w14:paraId="2559CD55" w14:textId="3A54989D" w:rsidR="00303875" w:rsidRPr="000127EF" w:rsidRDefault="00303875" w:rsidP="00303875">
            <w:pPr>
              <w:rPr>
                <w:b/>
              </w:rPr>
            </w:pPr>
            <w:r w:rsidRPr="000127EF">
              <w:rPr>
                <w:b/>
              </w:rPr>
              <w:t>Property, Plant &amp; Equipment (PPE) – 2018/19</w:t>
            </w:r>
          </w:p>
        </w:tc>
        <w:tc>
          <w:tcPr>
            <w:tcW w:w="565" w:type="pct"/>
            <w:tcBorders>
              <w:top w:val="single" w:sz="18" w:space="0" w:color="C5E0B3" w:themeColor="accent6" w:themeTint="66"/>
              <w:bottom w:val="nil"/>
            </w:tcBorders>
            <w:vAlign w:val="center"/>
          </w:tcPr>
          <w:p w14:paraId="0126F3D9" w14:textId="0323BF43" w:rsidR="00303875" w:rsidRPr="000127EF" w:rsidRDefault="00303875" w:rsidP="00303875">
            <w:pPr>
              <w:jc w:val="center"/>
              <w:rPr>
                <w:b/>
              </w:rPr>
            </w:pPr>
            <w:r w:rsidRPr="000127EF">
              <w:rPr>
                <w:b/>
              </w:rPr>
              <w:t>Other Land &amp; Buildings</w:t>
            </w:r>
          </w:p>
        </w:tc>
        <w:tc>
          <w:tcPr>
            <w:tcW w:w="627" w:type="pct"/>
            <w:tcBorders>
              <w:top w:val="single" w:sz="18" w:space="0" w:color="C5E0B3" w:themeColor="accent6" w:themeTint="66"/>
              <w:bottom w:val="nil"/>
            </w:tcBorders>
            <w:vAlign w:val="center"/>
          </w:tcPr>
          <w:p w14:paraId="4E6587A0" w14:textId="2EF27F34" w:rsidR="00303875" w:rsidRPr="000127EF" w:rsidRDefault="00303875" w:rsidP="00303875">
            <w:pPr>
              <w:jc w:val="center"/>
              <w:rPr>
                <w:b/>
              </w:rPr>
            </w:pPr>
            <w:r w:rsidRPr="000127EF">
              <w:rPr>
                <w:b/>
              </w:rPr>
              <w:t>Vehicles, Plant &amp; Equipment</w:t>
            </w:r>
          </w:p>
        </w:tc>
        <w:tc>
          <w:tcPr>
            <w:tcW w:w="492" w:type="pct"/>
            <w:tcBorders>
              <w:top w:val="single" w:sz="18" w:space="0" w:color="C5E0B3" w:themeColor="accent6" w:themeTint="66"/>
              <w:bottom w:val="nil"/>
            </w:tcBorders>
            <w:vAlign w:val="center"/>
          </w:tcPr>
          <w:p w14:paraId="2810DD05" w14:textId="26CA46E0" w:rsidR="00303875" w:rsidRPr="000127EF" w:rsidRDefault="00303875" w:rsidP="00303875">
            <w:pPr>
              <w:jc w:val="center"/>
              <w:rPr>
                <w:b/>
              </w:rPr>
            </w:pPr>
            <w:r w:rsidRPr="000127EF">
              <w:rPr>
                <w:b/>
              </w:rPr>
              <w:t>Infrastr-ucture</w:t>
            </w:r>
          </w:p>
        </w:tc>
        <w:tc>
          <w:tcPr>
            <w:tcW w:w="733" w:type="pct"/>
            <w:tcBorders>
              <w:top w:val="single" w:sz="18" w:space="0" w:color="C5E0B3" w:themeColor="accent6" w:themeTint="66"/>
              <w:bottom w:val="nil"/>
            </w:tcBorders>
            <w:vAlign w:val="center"/>
          </w:tcPr>
          <w:p w14:paraId="29FBCA3B" w14:textId="60A3E38F" w:rsidR="00303875" w:rsidRPr="000127EF" w:rsidRDefault="00303875" w:rsidP="00303875">
            <w:pPr>
              <w:jc w:val="center"/>
              <w:rPr>
                <w:b/>
              </w:rPr>
            </w:pPr>
            <w:r w:rsidRPr="000127EF">
              <w:rPr>
                <w:b/>
              </w:rPr>
              <w:t>Assets Under Construction</w:t>
            </w:r>
          </w:p>
        </w:tc>
        <w:tc>
          <w:tcPr>
            <w:tcW w:w="483" w:type="pct"/>
            <w:tcBorders>
              <w:top w:val="single" w:sz="18" w:space="0" w:color="C5E0B3" w:themeColor="accent6" w:themeTint="66"/>
              <w:bottom w:val="nil"/>
            </w:tcBorders>
            <w:vAlign w:val="center"/>
          </w:tcPr>
          <w:p w14:paraId="3B8A02DD" w14:textId="4D3B9136" w:rsidR="00303875" w:rsidRPr="000127EF" w:rsidRDefault="00303875" w:rsidP="00303875">
            <w:pPr>
              <w:jc w:val="center"/>
              <w:rPr>
                <w:b/>
              </w:rPr>
            </w:pPr>
            <w:r w:rsidRPr="000127EF">
              <w:rPr>
                <w:b/>
              </w:rPr>
              <w:t>Surplus Assets</w:t>
            </w:r>
          </w:p>
        </w:tc>
        <w:tc>
          <w:tcPr>
            <w:tcW w:w="479" w:type="pct"/>
            <w:tcBorders>
              <w:top w:val="single" w:sz="18" w:space="0" w:color="C5E0B3" w:themeColor="accent6" w:themeTint="66"/>
              <w:bottom w:val="nil"/>
            </w:tcBorders>
            <w:shd w:val="clear" w:color="auto" w:fill="C5E0B3" w:themeFill="accent6" w:themeFillTint="66"/>
            <w:vAlign w:val="center"/>
          </w:tcPr>
          <w:p w14:paraId="389CB26D" w14:textId="5D9BFA48" w:rsidR="00303875" w:rsidRPr="000127EF" w:rsidRDefault="00303875" w:rsidP="00303875">
            <w:pPr>
              <w:jc w:val="center"/>
              <w:rPr>
                <w:b/>
              </w:rPr>
            </w:pPr>
            <w:r w:rsidRPr="000127EF">
              <w:rPr>
                <w:b/>
              </w:rPr>
              <w:t>Total</w:t>
            </w:r>
          </w:p>
        </w:tc>
      </w:tr>
      <w:tr w:rsidR="00303875" w:rsidRPr="000127EF" w14:paraId="464B203A" w14:textId="77777777" w:rsidTr="00C97136">
        <w:tc>
          <w:tcPr>
            <w:tcW w:w="1621" w:type="pct"/>
            <w:tcBorders>
              <w:top w:val="nil"/>
              <w:bottom w:val="dashed" w:sz="4" w:space="0" w:color="A8D08D" w:themeColor="accent6" w:themeTint="99"/>
            </w:tcBorders>
          </w:tcPr>
          <w:p w14:paraId="3757AF90" w14:textId="77777777" w:rsidR="00303875" w:rsidRPr="000127EF" w:rsidRDefault="00303875" w:rsidP="00303875">
            <w:pPr>
              <w:rPr>
                <w:b/>
              </w:rPr>
            </w:pPr>
          </w:p>
        </w:tc>
        <w:tc>
          <w:tcPr>
            <w:tcW w:w="565" w:type="pct"/>
            <w:tcBorders>
              <w:top w:val="nil"/>
              <w:bottom w:val="dashed" w:sz="4" w:space="0" w:color="A8D08D" w:themeColor="accent6" w:themeTint="99"/>
            </w:tcBorders>
          </w:tcPr>
          <w:p w14:paraId="39F6F71D" w14:textId="24F892C3" w:rsidR="00303875" w:rsidRPr="000127EF" w:rsidRDefault="00303875" w:rsidP="00303875">
            <w:pPr>
              <w:jc w:val="center"/>
              <w:rPr>
                <w:b/>
              </w:rPr>
            </w:pPr>
            <w:r w:rsidRPr="000127EF">
              <w:rPr>
                <w:b/>
              </w:rPr>
              <w:t>£000</w:t>
            </w:r>
          </w:p>
        </w:tc>
        <w:tc>
          <w:tcPr>
            <w:tcW w:w="627" w:type="pct"/>
            <w:tcBorders>
              <w:top w:val="nil"/>
              <w:bottom w:val="dashed" w:sz="4" w:space="0" w:color="A8D08D" w:themeColor="accent6" w:themeTint="99"/>
            </w:tcBorders>
          </w:tcPr>
          <w:p w14:paraId="5272D82B" w14:textId="2E58702E" w:rsidR="00303875" w:rsidRPr="000127EF" w:rsidRDefault="00303875" w:rsidP="00303875">
            <w:pPr>
              <w:jc w:val="center"/>
              <w:rPr>
                <w:b/>
              </w:rPr>
            </w:pPr>
            <w:r w:rsidRPr="000127EF">
              <w:rPr>
                <w:b/>
              </w:rPr>
              <w:t>£000</w:t>
            </w:r>
          </w:p>
        </w:tc>
        <w:tc>
          <w:tcPr>
            <w:tcW w:w="492" w:type="pct"/>
            <w:tcBorders>
              <w:top w:val="nil"/>
              <w:bottom w:val="dashed" w:sz="4" w:space="0" w:color="A8D08D" w:themeColor="accent6" w:themeTint="99"/>
            </w:tcBorders>
          </w:tcPr>
          <w:p w14:paraId="1ADBD226" w14:textId="1D8AE9EE" w:rsidR="00303875" w:rsidRPr="000127EF" w:rsidRDefault="00303875" w:rsidP="00303875">
            <w:pPr>
              <w:jc w:val="center"/>
              <w:rPr>
                <w:b/>
              </w:rPr>
            </w:pPr>
            <w:r w:rsidRPr="000127EF">
              <w:rPr>
                <w:b/>
              </w:rPr>
              <w:t>£000</w:t>
            </w:r>
          </w:p>
        </w:tc>
        <w:tc>
          <w:tcPr>
            <w:tcW w:w="733" w:type="pct"/>
            <w:tcBorders>
              <w:top w:val="nil"/>
              <w:bottom w:val="dashed" w:sz="4" w:space="0" w:color="A8D08D" w:themeColor="accent6" w:themeTint="99"/>
            </w:tcBorders>
          </w:tcPr>
          <w:p w14:paraId="7E19BE30" w14:textId="45860ABB" w:rsidR="00303875" w:rsidRPr="000127EF" w:rsidRDefault="00303875" w:rsidP="00303875">
            <w:pPr>
              <w:jc w:val="center"/>
              <w:rPr>
                <w:b/>
              </w:rPr>
            </w:pPr>
            <w:r w:rsidRPr="000127EF">
              <w:rPr>
                <w:b/>
              </w:rPr>
              <w:t>£000</w:t>
            </w:r>
          </w:p>
        </w:tc>
        <w:tc>
          <w:tcPr>
            <w:tcW w:w="483" w:type="pct"/>
            <w:tcBorders>
              <w:top w:val="nil"/>
              <w:bottom w:val="dashed" w:sz="4" w:space="0" w:color="A8D08D" w:themeColor="accent6" w:themeTint="99"/>
            </w:tcBorders>
          </w:tcPr>
          <w:p w14:paraId="3CA23518" w14:textId="0DD9C24B" w:rsidR="00303875" w:rsidRPr="000127EF" w:rsidRDefault="00303875" w:rsidP="00303875">
            <w:pPr>
              <w:jc w:val="center"/>
              <w:rPr>
                <w:b/>
              </w:rPr>
            </w:pPr>
            <w:r w:rsidRPr="000127EF">
              <w:rPr>
                <w:b/>
              </w:rPr>
              <w:t>£000</w:t>
            </w:r>
          </w:p>
        </w:tc>
        <w:tc>
          <w:tcPr>
            <w:tcW w:w="479" w:type="pct"/>
            <w:tcBorders>
              <w:top w:val="nil"/>
              <w:bottom w:val="dashed" w:sz="4" w:space="0" w:color="A8D08D" w:themeColor="accent6" w:themeTint="99"/>
            </w:tcBorders>
            <w:shd w:val="clear" w:color="auto" w:fill="C5E0B3" w:themeFill="accent6" w:themeFillTint="66"/>
          </w:tcPr>
          <w:p w14:paraId="35DBA4B9" w14:textId="617D5A96" w:rsidR="00303875" w:rsidRPr="000127EF" w:rsidRDefault="00303875" w:rsidP="00303875">
            <w:pPr>
              <w:jc w:val="center"/>
              <w:rPr>
                <w:b/>
              </w:rPr>
            </w:pPr>
            <w:r w:rsidRPr="000127EF">
              <w:rPr>
                <w:b/>
              </w:rPr>
              <w:t>£000</w:t>
            </w:r>
          </w:p>
        </w:tc>
      </w:tr>
      <w:tr w:rsidR="00303875" w:rsidRPr="000127EF" w14:paraId="7EE9DC61" w14:textId="77777777" w:rsidTr="00C97136">
        <w:tc>
          <w:tcPr>
            <w:tcW w:w="4521" w:type="pct"/>
            <w:gridSpan w:val="6"/>
            <w:tcBorders>
              <w:top w:val="dashed" w:sz="4" w:space="0" w:color="A8D08D" w:themeColor="accent6" w:themeTint="99"/>
              <w:bottom w:val="nil"/>
            </w:tcBorders>
            <w:vAlign w:val="center"/>
          </w:tcPr>
          <w:p w14:paraId="4B2034CD" w14:textId="746CA3B8" w:rsidR="00303875" w:rsidRPr="000127EF" w:rsidRDefault="00303875" w:rsidP="00303875">
            <w:pPr>
              <w:rPr>
                <w:i/>
              </w:rPr>
            </w:pPr>
            <w:r w:rsidRPr="000127EF">
              <w:rPr>
                <w:b/>
              </w:rPr>
              <w:t>Cost or Valuation</w:t>
            </w:r>
          </w:p>
        </w:tc>
        <w:tc>
          <w:tcPr>
            <w:tcW w:w="479" w:type="pct"/>
            <w:tcBorders>
              <w:top w:val="dashed" w:sz="4" w:space="0" w:color="A8D08D" w:themeColor="accent6" w:themeTint="99"/>
              <w:bottom w:val="nil"/>
            </w:tcBorders>
            <w:shd w:val="clear" w:color="auto" w:fill="C5E0B3" w:themeFill="accent6" w:themeFillTint="66"/>
          </w:tcPr>
          <w:p w14:paraId="2D966D3F" w14:textId="77777777" w:rsidR="00303875" w:rsidRPr="000127EF" w:rsidRDefault="00303875" w:rsidP="00303875">
            <w:pPr>
              <w:rPr>
                <w:i/>
              </w:rPr>
            </w:pPr>
          </w:p>
        </w:tc>
      </w:tr>
      <w:tr w:rsidR="00303875" w:rsidRPr="000127EF" w14:paraId="44690E7D" w14:textId="77777777" w:rsidTr="00C97136">
        <w:tc>
          <w:tcPr>
            <w:tcW w:w="1621" w:type="pct"/>
            <w:tcBorders>
              <w:top w:val="nil"/>
            </w:tcBorders>
          </w:tcPr>
          <w:p w14:paraId="6CB874EA" w14:textId="3597EA44" w:rsidR="00303875" w:rsidRPr="000127EF" w:rsidRDefault="00303875" w:rsidP="00303875">
            <w:pPr>
              <w:rPr>
                <w:b/>
                <w:i/>
              </w:rPr>
            </w:pPr>
            <w:r w:rsidRPr="000127EF">
              <w:rPr>
                <w:b/>
              </w:rPr>
              <w:t>At 1 April 2018</w:t>
            </w:r>
          </w:p>
        </w:tc>
        <w:tc>
          <w:tcPr>
            <w:tcW w:w="565" w:type="pct"/>
            <w:tcBorders>
              <w:top w:val="nil"/>
            </w:tcBorders>
          </w:tcPr>
          <w:p w14:paraId="7B6A22A0" w14:textId="311BD5A0" w:rsidR="00303875" w:rsidRPr="000127EF" w:rsidRDefault="00303875" w:rsidP="00303875">
            <w:pPr>
              <w:jc w:val="right"/>
              <w:rPr>
                <w:b/>
                <w:i/>
              </w:rPr>
            </w:pPr>
            <w:r w:rsidRPr="000127EF">
              <w:rPr>
                <w:b/>
              </w:rPr>
              <w:t>38,173</w:t>
            </w:r>
          </w:p>
        </w:tc>
        <w:tc>
          <w:tcPr>
            <w:tcW w:w="627" w:type="pct"/>
            <w:tcBorders>
              <w:top w:val="nil"/>
            </w:tcBorders>
          </w:tcPr>
          <w:p w14:paraId="31BF4A70" w14:textId="728475FB" w:rsidR="00303875" w:rsidRPr="000127EF" w:rsidRDefault="00303875" w:rsidP="00303875">
            <w:pPr>
              <w:jc w:val="right"/>
              <w:rPr>
                <w:b/>
                <w:i/>
              </w:rPr>
            </w:pPr>
            <w:r w:rsidRPr="000127EF">
              <w:rPr>
                <w:b/>
              </w:rPr>
              <w:t>2,003</w:t>
            </w:r>
          </w:p>
        </w:tc>
        <w:tc>
          <w:tcPr>
            <w:tcW w:w="492" w:type="pct"/>
            <w:tcBorders>
              <w:top w:val="nil"/>
            </w:tcBorders>
          </w:tcPr>
          <w:p w14:paraId="12977D56" w14:textId="7D9DFF9C" w:rsidR="00303875" w:rsidRPr="000127EF" w:rsidRDefault="00303875" w:rsidP="00303875">
            <w:pPr>
              <w:jc w:val="right"/>
              <w:rPr>
                <w:b/>
                <w:i/>
              </w:rPr>
            </w:pPr>
            <w:r w:rsidRPr="000127EF">
              <w:rPr>
                <w:b/>
              </w:rPr>
              <w:t>46,570</w:t>
            </w:r>
          </w:p>
        </w:tc>
        <w:tc>
          <w:tcPr>
            <w:tcW w:w="733" w:type="pct"/>
            <w:tcBorders>
              <w:top w:val="nil"/>
            </w:tcBorders>
          </w:tcPr>
          <w:p w14:paraId="58B00D21" w14:textId="647F9F7F" w:rsidR="00303875" w:rsidRPr="000127EF" w:rsidRDefault="00303875" w:rsidP="00303875">
            <w:pPr>
              <w:jc w:val="right"/>
              <w:rPr>
                <w:b/>
                <w:i/>
              </w:rPr>
            </w:pPr>
            <w:r w:rsidRPr="000127EF">
              <w:rPr>
                <w:b/>
              </w:rPr>
              <w:t>419</w:t>
            </w:r>
          </w:p>
        </w:tc>
        <w:tc>
          <w:tcPr>
            <w:tcW w:w="483" w:type="pct"/>
            <w:tcBorders>
              <w:top w:val="nil"/>
            </w:tcBorders>
          </w:tcPr>
          <w:p w14:paraId="74F4905D" w14:textId="771C4A71" w:rsidR="00303875" w:rsidRPr="000127EF" w:rsidRDefault="00303875" w:rsidP="00303875">
            <w:pPr>
              <w:jc w:val="right"/>
              <w:rPr>
                <w:b/>
                <w:i/>
              </w:rPr>
            </w:pPr>
            <w:r w:rsidRPr="000127EF">
              <w:rPr>
                <w:b/>
              </w:rPr>
              <w:t>65</w:t>
            </w:r>
          </w:p>
        </w:tc>
        <w:tc>
          <w:tcPr>
            <w:tcW w:w="479" w:type="pct"/>
            <w:shd w:val="clear" w:color="auto" w:fill="C5E0B3" w:themeFill="accent6" w:themeFillTint="66"/>
            <w:vAlign w:val="center"/>
          </w:tcPr>
          <w:p w14:paraId="655336C5" w14:textId="00ED02F5" w:rsidR="00303875" w:rsidRPr="000127EF" w:rsidRDefault="00303875" w:rsidP="00303875">
            <w:pPr>
              <w:jc w:val="right"/>
              <w:rPr>
                <w:b/>
                <w:i/>
              </w:rPr>
            </w:pPr>
            <w:r w:rsidRPr="000127EF">
              <w:rPr>
                <w:b/>
              </w:rPr>
              <w:t>87,230</w:t>
            </w:r>
          </w:p>
        </w:tc>
      </w:tr>
      <w:tr w:rsidR="00303875" w:rsidRPr="000127EF" w14:paraId="35AEFC1D" w14:textId="77777777" w:rsidTr="00C97136">
        <w:tc>
          <w:tcPr>
            <w:tcW w:w="1621" w:type="pct"/>
          </w:tcPr>
          <w:p w14:paraId="635856BD" w14:textId="0F8163B8" w:rsidR="00303875" w:rsidRPr="00303875" w:rsidRDefault="00303875" w:rsidP="00303875">
            <w:pPr>
              <w:rPr>
                <w:i/>
                <w:iCs/>
              </w:rPr>
            </w:pPr>
            <w:r w:rsidRPr="00303875">
              <w:rPr>
                <w:i/>
                <w:iCs/>
              </w:rPr>
              <w:t>Additions</w:t>
            </w:r>
          </w:p>
        </w:tc>
        <w:tc>
          <w:tcPr>
            <w:tcW w:w="565" w:type="pct"/>
          </w:tcPr>
          <w:p w14:paraId="4F04882C" w14:textId="0344FF09" w:rsidR="00303875" w:rsidRPr="00303875" w:rsidRDefault="00303875" w:rsidP="00303875">
            <w:pPr>
              <w:jc w:val="right"/>
              <w:rPr>
                <w:i/>
                <w:iCs/>
              </w:rPr>
            </w:pPr>
            <w:r w:rsidRPr="00303875">
              <w:rPr>
                <w:i/>
                <w:iCs/>
              </w:rPr>
              <w:t>158</w:t>
            </w:r>
          </w:p>
        </w:tc>
        <w:tc>
          <w:tcPr>
            <w:tcW w:w="627" w:type="pct"/>
          </w:tcPr>
          <w:p w14:paraId="7BE8CEF5" w14:textId="4478A6B8" w:rsidR="00303875" w:rsidRPr="00303875" w:rsidRDefault="00303875" w:rsidP="00303875">
            <w:pPr>
              <w:jc w:val="right"/>
              <w:rPr>
                <w:i/>
                <w:iCs/>
              </w:rPr>
            </w:pPr>
            <w:r w:rsidRPr="00303875">
              <w:rPr>
                <w:i/>
                <w:iCs/>
              </w:rPr>
              <w:t>198</w:t>
            </w:r>
          </w:p>
        </w:tc>
        <w:tc>
          <w:tcPr>
            <w:tcW w:w="492" w:type="pct"/>
          </w:tcPr>
          <w:p w14:paraId="2D587814" w14:textId="2A510847" w:rsidR="00303875" w:rsidRPr="00303875" w:rsidRDefault="00303875" w:rsidP="00303875">
            <w:pPr>
              <w:jc w:val="right"/>
              <w:rPr>
                <w:i/>
                <w:iCs/>
              </w:rPr>
            </w:pPr>
            <w:r w:rsidRPr="00303875">
              <w:rPr>
                <w:i/>
                <w:iCs/>
              </w:rPr>
              <w:t>2,653</w:t>
            </w:r>
          </w:p>
        </w:tc>
        <w:tc>
          <w:tcPr>
            <w:tcW w:w="733" w:type="pct"/>
          </w:tcPr>
          <w:p w14:paraId="36036079" w14:textId="6F2B1E6A" w:rsidR="00303875" w:rsidRPr="00303875" w:rsidRDefault="00303875" w:rsidP="00303875">
            <w:pPr>
              <w:jc w:val="right"/>
              <w:rPr>
                <w:i/>
                <w:iCs/>
              </w:rPr>
            </w:pPr>
            <w:r w:rsidRPr="00303875">
              <w:rPr>
                <w:i/>
                <w:iCs/>
              </w:rPr>
              <w:t>264</w:t>
            </w:r>
          </w:p>
        </w:tc>
        <w:tc>
          <w:tcPr>
            <w:tcW w:w="483" w:type="pct"/>
          </w:tcPr>
          <w:p w14:paraId="3A98C731" w14:textId="3DC2BBE9" w:rsidR="00303875" w:rsidRPr="00303875" w:rsidRDefault="00303875" w:rsidP="00303875">
            <w:pPr>
              <w:jc w:val="right"/>
              <w:rPr>
                <w:i/>
                <w:iCs/>
              </w:rPr>
            </w:pPr>
            <w:r w:rsidRPr="00303875">
              <w:rPr>
                <w:i/>
                <w:iCs/>
              </w:rPr>
              <w:t>-</w:t>
            </w:r>
          </w:p>
        </w:tc>
        <w:tc>
          <w:tcPr>
            <w:tcW w:w="479" w:type="pct"/>
            <w:shd w:val="clear" w:color="auto" w:fill="C5E0B3" w:themeFill="accent6" w:themeFillTint="66"/>
          </w:tcPr>
          <w:p w14:paraId="121E7659" w14:textId="5A3A8592" w:rsidR="00303875" w:rsidRPr="00303875" w:rsidRDefault="00303875" w:rsidP="00303875">
            <w:pPr>
              <w:jc w:val="right"/>
              <w:rPr>
                <w:i/>
                <w:iCs/>
              </w:rPr>
            </w:pPr>
            <w:r w:rsidRPr="00303875">
              <w:rPr>
                <w:i/>
                <w:iCs/>
              </w:rPr>
              <w:fldChar w:fldCharType="begin"/>
            </w:r>
            <w:r w:rsidRPr="00303875">
              <w:rPr>
                <w:i/>
                <w:iCs/>
              </w:rPr>
              <w:instrText xml:space="preserve"> =SUM(B6:F6) </w:instrText>
            </w:r>
            <w:r w:rsidRPr="00303875">
              <w:rPr>
                <w:i/>
                <w:iCs/>
              </w:rPr>
              <w:fldChar w:fldCharType="separate"/>
            </w:r>
            <w:r w:rsidRPr="00303875">
              <w:rPr>
                <w:i/>
                <w:iCs/>
                <w:noProof/>
              </w:rPr>
              <w:t>3,273</w:t>
            </w:r>
            <w:r w:rsidRPr="00303875">
              <w:rPr>
                <w:i/>
                <w:iCs/>
              </w:rPr>
              <w:fldChar w:fldCharType="end"/>
            </w:r>
          </w:p>
        </w:tc>
      </w:tr>
      <w:tr w:rsidR="00303875" w:rsidRPr="000127EF" w14:paraId="36EF78D2" w14:textId="77777777" w:rsidTr="00C97136">
        <w:tc>
          <w:tcPr>
            <w:tcW w:w="1621" w:type="pct"/>
          </w:tcPr>
          <w:p w14:paraId="150ABED4" w14:textId="66D339AA" w:rsidR="00303875" w:rsidRPr="00303875" w:rsidRDefault="00303875" w:rsidP="00303875">
            <w:pPr>
              <w:rPr>
                <w:i/>
                <w:iCs/>
              </w:rPr>
            </w:pPr>
            <w:r w:rsidRPr="00303875">
              <w:rPr>
                <w:i/>
                <w:iCs/>
              </w:rPr>
              <w:t>Revaluation increase / (decrease) recognised in the Revaluation Reserve</w:t>
            </w:r>
          </w:p>
        </w:tc>
        <w:tc>
          <w:tcPr>
            <w:tcW w:w="565" w:type="pct"/>
            <w:vAlign w:val="center"/>
          </w:tcPr>
          <w:p w14:paraId="584779C5" w14:textId="6092F61C" w:rsidR="00303875" w:rsidRPr="00303875" w:rsidRDefault="00303875" w:rsidP="00303875">
            <w:pPr>
              <w:jc w:val="right"/>
              <w:rPr>
                <w:i/>
                <w:iCs/>
              </w:rPr>
            </w:pPr>
            <w:r w:rsidRPr="00303875">
              <w:rPr>
                <w:i/>
                <w:iCs/>
              </w:rPr>
              <w:t>(351)</w:t>
            </w:r>
          </w:p>
        </w:tc>
        <w:tc>
          <w:tcPr>
            <w:tcW w:w="627" w:type="pct"/>
            <w:vAlign w:val="center"/>
          </w:tcPr>
          <w:p w14:paraId="49176198" w14:textId="55FEFBA3" w:rsidR="00303875" w:rsidRPr="00303875" w:rsidRDefault="00303875" w:rsidP="00303875">
            <w:pPr>
              <w:jc w:val="right"/>
              <w:rPr>
                <w:i/>
                <w:iCs/>
              </w:rPr>
            </w:pPr>
            <w:r w:rsidRPr="00303875">
              <w:rPr>
                <w:i/>
                <w:iCs/>
              </w:rPr>
              <w:t>-</w:t>
            </w:r>
          </w:p>
        </w:tc>
        <w:tc>
          <w:tcPr>
            <w:tcW w:w="492" w:type="pct"/>
            <w:vAlign w:val="center"/>
          </w:tcPr>
          <w:p w14:paraId="2107D4B2" w14:textId="0DF5A290" w:rsidR="00303875" w:rsidRPr="00303875" w:rsidRDefault="00303875" w:rsidP="00303875">
            <w:pPr>
              <w:jc w:val="right"/>
              <w:rPr>
                <w:i/>
                <w:iCs/>
              </w:rPr>
            </w:pPr>
            <w:r w:rsidRPr="00303875">
              <w:rPr>
                <w:i/>
                <w:iCs/>
              </w:rPr>
              <w:t>-</w:t>
            </w:r>
          </w:p>
        </w:tc>
        <w:tc>
          <w:tcPr>
            <w:tcW w:w="733" w:type="pct"/>
            <w:vAlign w:val="center"/>
          </w:tcPr>
          <w:p w14:paraId="44776749" w14:textId="3CAA1102" w:rsidR="00303875" w:rsidRPr="00303875" w:rsidRDefault="00303875" w:rsidP="00303875">
            <w:pPr>
              <w:jc w:val="right"/>
              <w:rPr>
                <w:i/>
                <w:iCs/>
              </w:rPr>
            </w:pPr>
            <w:r w:rsidRPr="00303875">
              <w:rPr>
                <w:i/>
                <w:iCs/>
              </w:rPr>
              <w:t>-</w:t>
            </w:r>
          </w:p>
        </w:tc>
        <w:tc>
          <w:tcPr>
            <w:tcW w:w="483" w:type="pct"/>
            <w:vAlign w:val="center"/>
          </w:tcPr>
          <w:p w14:paraId="33C24552" w14:textId="40EC9B7F" w:rsidR="00303875" w:rsidRPr="00303875" w:rsidRDefault="00303875" w:rsidP="00303875">
            <w:pPr>
              <w:jc w:val="right"/>
              <w:rPr>
                <w:i/>
                <w:iCs/>
              </w:rPr>
            </w:pPr>
            <w:r w:rsidRPr="00303875">
              <w:rPr>
                <w:i/>
                <w:iCs/>
              </w:rPr>
              <w:t>-</w:t>
            </w:r>
          </w:p>
        </w:tc>
        <w:tc>
          <w:tcPr>
            <w:tcW w:w="479" w:type="pct"/>
            <w:shd w:val="clear" w:color="auto" w:fill="C5E0B3" w:themeFill="accent6" w:themeFillTint="66"/>
            <w:vAlign w:val="center"/>
          </w:tcPr>
          <w:p w14:paraId="3EEA208C" w14:textId="7CFA68A8" w:rsidR="00303875" w:rsidRPr="00303875" w:rsidRDefault="00303875" w:rsidP="00303875">
            <w:pPr>
              <w:jc w:val="right"/>
              <w:rPr>
                <w:i/>
                <w:iCs/>
              </w:rPr>
            </w:pPr>
            <w:r w:rsidRPr="00303875">
              <w:rPr>
                <w:i/>
                <w:iCs/>
              </w:rPr>
              <w:fldChar w:fldCharType="begin"/>
            </w:r>
            <w:r w:rsidRPr="00303875">
              <w:rPr>
                <w:i/>
                <w:iCs/>
              </w:rPr>
              <w:instrText xml:space="preserve"> =SUM(B7:F7) </w:instrText>
            </w:r>
            <w:r w:rsidRPr="00303875">
              <w:rPr>
                <w:i/>
                <w:iCs/>
              </w:rPr>
              <w:fldChar w:fldCharType="separate"/>
            </w:r>
            <w:r w:rsidRPr="00303875">
              <w:rPr>
                <w:i/>
                <w:iCs/>
                <w:noProof/>
              </w:rPr>
              <w:t>(351)</w:t>
            </w:r>
            <w:r w:rsidRPr="00303875">
              <w:rPr>
                <w:i/>
                <w:iCs/>
              </w:rPr>
              <w:fldChar w:fldCharType="end"/>
            </w:r>
          </w:p>
        </w:tc>
      </w:tr>
      <w:tr w:rsidR="00303875" w:rsidRPr="000127EF" w14:paraId="74CEBE20" w14:textId="77777777" w:rsidTr="00C97136">
        <w:tc>
          <w:tcPr>
            <w:tcW w:w="1621" w:type="pct"/>
          </w:tcPr>
          <w:p w14:paraId="1BFAE197" w14:textId="645D10E3" w:rsidR="00303875" w:rsidRPr="00303875" w:rsidRDefault="00A974E3" w:rsidP="00303875">
            <w:pPr>
              <w:rPr>
                <w:i/>
                <w:iCs/>
              </w:rPr>
            </w:pPr>
            <w:r>
              <w:rPr>
                <w:i/>
                <w:iCs/>
              </w:rPr>
              <w:t>Revaluation increase</w:t>
            </w:r>
            <w:r w:rsidR="00303875" w:rsidRPr="00303875">
              <w:rPr>
                <w:i/>
                <w:iCs/>
              </w:rPr>
              <w:t>/ (decrease) recognised in the Surplus/Deficit on the Provision of Services.</w:t>
            </w:r>
          </w:p>
        </w:tc>
        <w:tc>
          <w:tcPr>
            <w:tcW w:w="565" w:type="pct"/>
            <w:vAlign w:val="center"/>
          </w:tcPr>
          <w:p w14:paraId="02AD1468" w14:textId="37DC3925" w:rsidR="00303875" w:rsidRPr="00303875" w:rsidRDefault="00303875" w:rsidP="00303875">
            <w:pPr>
              <w:jc w:val="right"/>
              <w:rPr>
                <w:i/>
                <w:iCs/>
              </w:rPr>
            </w:pPr>
            <w:r w:rsidRPr="00303875">
              <w:rPr>
                <w:i/>
                <w:iCs/>
              </w:rPr>
              <w:t>257</w:t>
            </w:r>
          </w:p>
        </w:tc>
        <w:tc>
          <w:tcPr>
            <w:tcW w:w="627" w:type="pct"/>
            <w:vAlign w:val="center"/>
          </w:tcPr>
          <w:p w14:paraId="44F49640" w14:textId="2537E887" w:rsidR="00303875" w:rsidRPr="00303875" w:rsidRDefault="00303875" w:rsidP="00303875">
            <w:pPr>
              <w:jc w:val="right"/>
              <w:rPr>
                <w:i/>
                <w:iCs/>
              </w:rPr>
            </w:pPr>
            <w:r w:rsidRPr="00303875">
              <w:rPr>
                <w:i/>
                <w:iCs/>
              </w:rPr>
              <w:t>-</w:t>
            </w:r>
          </w:p>
        </w:tc>
        <w:tc>
          <w:tcPr>
            <w:tcW w:w="492" w:type="pct"/>
            <w:vAlign w:val="center"/>
          </w:tcPr>
          <w:p w14:paraId="7634DF21" w14:textId="73F3D751" w:rsidR="00303875" w:rsidRPr="00303875" w:rsidRDefault="00303875" w:rsidP="00303875">
            <w:pPr>
              <w:jc w:val="right"/>
              <w:rPr>
                <w:i/>
                <w:iCs/>
              </w:rPr>
            </w:pPr>
            <w:r w:rsidRPr="00303875">
              <w:rPr>
                <w:i/>
                <w:iCs/>
              </w:rPr>
              <w:t>-</w:t>
            </w:r>
          </w:p>
        </w:tc>
        <w:tc>
          <w:tcPr>
            <w:tcW w:w="733" w:type="pct"/>
            <w:vAlign w:val="center"/>
          </w:tcPr>
          <w:p w14:paraId="6560E993" w14:textId="26E9C0C6" w:rsidR="00303875" w:rsidRPr="00303875" w:rsidRDefault="00303875" w:rsidP="00303875">
            <w:pPr>
              <w:jc w:val="right"/>
              <w:rPr>
                <w:i/>
                <w:iCs/>
              </w:rPr>
            </w:pPr>
            <w:r w:rsidRPr="00303875">
              <w:rPr>
                <w:i/>
                <w:iCs/>
              </w:rPr>
              <w:t>-</w:t>
            </w:r>
          </w:p>
        </w:tc>
        <w:tc>
          <w:tcPr>
            <w:tcW w:w="483" w:type="pct"/>
            <w:vAlign w:val="center"/>
          </w:tcPr>
          <w:p w14:paraId="51ED9E84" w14:textId="2563D920" w:rsidR="00303875" w:rsidRPr="00303875" w:rsidRDefault="00303875" w:rsidP="00303875">
            <w:pPr>
              <w:jc w:val="right"/>
              <w:rPr>
                <w:i/>
                <w:iCs/>
              </w:rPr>
            </w:pPr>
            <w:r w:rsidRPr="00303875">
              <w:rPr>
                <w:i/>
                <w:iCs/>
              </w:rPr>
              <w:t>-</w:t>
            </w:r>
          </w:p>
        </w:tc>
        <w:tc>
          <w:tcPr>
            <w:tcW w:w="479" w:type="pct"/>
            <w:shd w:val="clear" w:color="auto" w:fill="C5E0B3" w:themeFill="accent6" w:themeFillTint="66"/>
            <w:vAlign w:val="center"/>
          </w:tcPr>
          <w:p w14:paraId="23E7204C" w14:textId="064A13CE" w:rsidR="00303875" w:rsidRPr="00303875" w:rsidRDefault="00303875" w:rsidP="00303875">
            <w:pPr>
              <w:jc w:val="right"/>
              <w:rPr>
                <w:i/>
                <w:iCs/>
              </w:rPr>
            </w:pPr>
            <w:r w:rsidRPr="00303875">
              <w:rPr>
                <w:i/>
                <w:iCs/>
              </w:rPr>
              <w:fldChar w:fldCharType="begin"/>
            </w:r>
            <w:r w:rsidRPr="00303875">
              <w:rPr>
                <w:i/>
                <w:iCs/>
              </w:rPr>
              <w:instrText xml:space="preserve"> =SUM(B8:F8) </w:instrText>
            </w:r>
            <w:r w:rsidRPr="00303875">
              <w:rPr>
                <w:i/>
                <w:iCs/>
              </w:rPr>
              <w:fldChar w:fldCharType="separate"/>
            </w:r>
            <w:r w:rsidRPr="00303875">
              <w:rPr>
                <w:i/>
                <w:iCs/>
                <w:noProof/>
              </w:rPr>
              <w:t>257</w:t>
            </w:r>
            <w:r w:rsidRPr="00303875">
              <w:rPr>
                <w:i/>
                <w:iCs/>
              </w:rPr>
              <w:fldChar w:fldCharType="end"/>
            </w:r>
          </w:p>
        </w:tc>
      </w:tr>
      <w:tr w:rsidR="00303875" w:rsidRPr="000127EF" w14:paraId="114BBA21" w14:textId="77777777" w:rsidTr="000E1C2E">
        <w:tc>
          <w:tcPr>
            <w:tcW w:w="1621" w:type="pct"/>
          </w:tcPr>
          <w:p w14:paraId="3A60CC82" w14:textId="40B184BE" w:rsidR="00303875" w:rsidRPr="00303875" w:rsidRDefault="00303875" w:rsidP="00303875">
            <w:pPr>
              <w:rPr>
                <w:i/>
                <w:iCs/>
              </w:rPr>
            </w:pPr>
            <w:r w:rsidRPr="00303875">
              <w:rPr>
                <w:i/>
                <w:iCs/>
              </w:rPr>
              <w:t>De-recognition - Disposals</w:t>
            </w:r>
          </w:p>
        </w:tc>
        <w:tc>
          <w:tcPr>
            <w:tcW w:w="565" w:type="pct"/>
          </w:tcPr>
          <w:p w14:paraId="2E926CDF" w14:textId="71B877E0" w:rsidR="00303875" w:rsidRPr="00303875" w:rsidRDefault="00303875" w:rsidP="00303875">
            <w:pPr>
              <w:jc w:val="right"/>
              <w:rPr>
                <w:i/>
                <w:iCs/>
              </w:rPr>
            </w:pPr>
            <w:r w:rsidRPr="00303875">
              <w:rPr>
                <w:i/>
                <w:iCs/>
              </w:rPr>
              <w:t>(5,457)</w:t>
            </w:r>
          </w:p>
        </w:tc>
        <w:tc>
          <w:tcPr>
            <w:tcW w:w="627" w:type="pct"/>
          </w:tcPr>
          <w:p w14:paraId="42677217" w14:textId="26EDDF65" w:rsidR="00303875" w:rsidRPr="00303875" w:rsidRDefault="00303875" w:rsidP="00303875">
            <w:pPr>
              <w:jc w:val="right"/>
              <w:rPr>
                <w:i/>
                <w:iCs/>
              </w:rPr>
            </w:pPr>
            <w:r w:rsidRPr="00303875">
              <w:rPr>
                <w:i/>
                <w:iCs/>
              </w:rPr>
              <w:t>-</w:t>
            </w:r>
          </w:p>
        </w:tc>
        <w:tc>
          <w:tcPr>
            <w:tcW w:w="492" w:type="pct"/>
          </w:tcPr>
          <w:p w14:paraId="1590B659" w14:textId="279CDE4D" w:rsidR="00303875" w:rsidRPr="00303875" w:rsidRDefault="00303875" w:rsidP="00303875">
            <w:pPr>
              <w:jc w:val="right"/>
              <w:rPr>
                <w:i/>
                <w:iCs/>
              </w:rPr>
            </w:pPr>
            <w:r w:rsidRPr="00303875">
              <w:rPr>
                <w:i/>
                <w:iCs/>
              </w:rPr>
              <w:t>-</w:t>
            </w:r>
          </w:p>
        </w:tc>
        <w:tc>
          <w:tcPr>
            <w:tcW w:w="733" w:type="pct"/>
          </w:tcPr>
          <w:p w14:paraId="6BB02D93" w14:textId="1A520A33" w:rsidR="00303875" w:rsidRPr="00303875" w:rsidRDefault="00303875" w:rsidP="00303875">
            <w:pPr>
              <w:jc w:val="right"/>
              <w:rPr>
                <w:i/>
                <w:iCs/>
              </w:rPr>
            </w:pPr>
            <w:r w:rsidRPr="00303875">
              <w:rPr>
                <w:i/>
                <w:iCs/>
              </w:rPr>
              <w:t>-</w:t>
            </w:r>
          </w:p>
        </w:tc>
        <w:tc>
          <w:tcPr>
            <w:tcW w:w="483" w:type="pct"/>
          </w:tcPr>
          <w:p w14:paraId="60D157E9" w14:textId="29581E02" w:rsidR="00303875" w:rsidRPr="00303875" w:rsidRDefault="00303875" w:rsidP="00303875">
            <w:pPr>
              <w:jc w:val="right"/>
              <w:rPr>
                <w:i/>
                <w:iCs/>
              </w:rPr>
            </w:pPr>
            <w:r w:rsidRPr="00303875">
              <w:rPr>
                <w:i/>
                <w:iCs/>
              </w:rPr>
              <w:t>-</w:t>
            </w:r>
          </w:p>
        </w:tc>
        <w:tc>
          <w:tcPr>
            <w:tcW w:w="479" w:type="pct"/>
            <w:shd w:val="clear" w:color="auto" w:fill="C5E0B3" w:themeFill="accent6" w:themeFillTint="66"/>
          </w:tcPr>
          <w:p w14:paraId="5A267B0E" w14:textId="48E0087A" w:rsidR="00303875" w:rsidRPr="00303875" w:rsidRDefault="00303875" w:rsidP="00303875">
            <w:pPr>
              <w:jc w:val="right"/>
              <w:rPr>
                <w:i/>
                <w:iCs/>
              </w:rPr>
            </w:pPr>
            <w:r w:rsidRPr="00303875">
              <w:rPr>
                <w:i/>
                <w:iCs/>
              </w:rPr>
              <w:fldChar w:fldCharType="begin"/>
            </w:r>
            <w:r w:rsidRPr="00303875">
              <w:rPr>
                <w:i/>
                <w:iCs/>
              </w:rPr>
              <w:instrText xml:space="preserve"> =SUM(B10:F10) </w:instrText>
            </w:r>
            <w:r w:rsidRPr="00303875">
              <w:rPr>
                <w:i/>
                <w:iCs/>
              </w:rPr>
              <w:fldChar w:fldCharType="separate"/>
            </w:r>
            <w:r w:rsidRPr="00303875">
              <w:rPr>
                <w:i/>
                <w:iCs/>
                <w:noProof/>
              </w:rPr>
              <w:t>(5,457)</w:t>
            </w:r>
            <w:r w:rsidRPr="00303875">
              <w:rPr>
                <w:i/>
                <w:iCs/>
              </w:rPr>
              <w:fldChar w:fldCharType="end"/>
            </w:r>
          </w:p>
        </w:tc>
      </w:tr>
      <w:tr w:rsidR="00303875" w:rsidRPr="000127EF" w14:paraId="4FB59BD6" w14:textId="77777777" w:rsidTr="000E1C2E">
        <w:tc>
          <w:tcPr>
            <w:tcW w:w="1621" w:type="pct"/>
          </w:tcPr>
          <w:p w14:paraId="21304900" w14:textId="2AC9723B" w:rsidR="00303875" w:rsidRPr="00303875" w:rsidRDefault="00303875" w:rsidP="00303875">
            <w:pPr>
              <w:rPr>
                <w:i/>
                <w:iCs/>
              </w:rPr>
            </w:pPr>
            <w:r w:rsidRPr="00303875">
              <w:rPr>
                <w:i/>
                <w:iCs/>
              </w:rPr>
              <w:t>Transfer to other IFRS categories</w:t>
            </w:r>
          </w:p>
        </w:tc>
        <w:tc>
          <w:tcPr>
            <w:tcW w:w="565" w:type="pct"/>
            <w:vAlign w:val="center"/>
          </w:tcPr>
          <w:p w14:paraId="546D43A4" w14:textId="07FDD057" w:rsidR="00303875" w:rsidRPr="00303875" w:rsidRDefault="00303875" w:rsidP="00303875">
            <w:pPr>
              <w:jc w:val="right"/>
              <w:rPr>
                <w:i/>
                <w:iCs/>
              </w:rPr>
            </w:pPr>
            <w:r w:rsidRPr="00303875">
              <w:rPr>
                <w:i/>
                <w:iCs/>
              </w:rPr>
              <w:t>-</w:t>
            </w:r>
          </w:p>
        </w:tc>
        <w:tc>
          <w:tcPr>
            <w:tcW w:w="627" w:type="pct"/>
            <w:vAlign w:val="center"/>
          </w:tcPr>
          <w:p w14:paraId="7EC8BEB8" w14:textId="1F164761" w:rsidR="00303875" w:rsidRPr="00303875" w:rsidRDefault="00303875" w:rsidP="00303875">
            <w:pPr>
              <w:jc w:val="right"/>
              <w:rPr>
                <w:i/>
                <w:iCs/>
              </w:rPr>
            </w:pPr>
            <w:r w:rsidRPr="00303875">
              <w:rPr>
                <w:i/>
                <w:iCs/>
              </w:rPr>
              <w:t>-</w:t>
            </w:r>
          </w:p>
        </w:tc>
        <w:tc>
          <w:tcPr>
            <w:tcW w:w="492" w:type="pct"/>
            <w:vAlign w:val="center"/>
          </w:tcPr>
          <w:p w14:paraId="7649985E" w14:textId="562DC300" w:rsidR="00303875" w:rsidRPr="00303875" w:rsidRDefault="00303875" w:rsidP="00303875">
            <w:pPr>
              <w:jc w:val="right"/>
              <w:rPr>
                <w:i/>
                <w:iCs/>
              </w:rPr>
            </w:pPr>
            <w:r w:rsidRPr="00303875">
              <w:rPr>
                <w:i/>
                <w:iCs/>
              </w:rPr>
              <w:t>47</w:t>
            </w:r>
          </w:p>
        </w:tc>
        <w:tc>
          <w:tcPr>
            <w:tcW w:w="733" w:type="pct"/>
            <w:vAlign w:val="center"/>
          </w:tcPr>
          <w:p w14:paraId="00675459" w14:textId="48AAC5FE" w:rsidR="00303875" w:rsidRPr="00303875" w:rsidRDefault="00303875" w:rsidP="00303875">
            <w:pPr>
              <w:jc w:val="right"/>
              <w:rPr>
                <w:i/>
                <w:iCs/>
              </w:rPr>
            </w:pPr>
            <w:r w:rsidRPr="00303875">
              <w:rPr>
                <w:i/>
                <w:iCs/>
              </w:rPr>
              <w:t>(105)</w:t>
            </w:r>
          </w:p>
        </w:tc>
        <w:tc>
          <w:tcPr>
            <w:tcW w:w="483" w:type="pct"/>
            <w:vAlign w:val="center"/>
          </w:tcPr>
          <w:p w14:paraId="171B9A19" w14:textId="253F96D3" w:rsidR="00303875" w:rsidRPr="00303875" w:rsidRDefault="00303875" w:rsidP="00303875">
            <w:pPr>
              <w:jc w:val="right"/>
              <w:rPr>
                <w:i/>
                <w:iCs/>
              </w:rPr>
            </w:pPr>
            <w:r w:rsidRPr="00303875">
              <w:rPr>
                <w:i/>
                <w:iCs/>
              </w:rPr>
              <w:t>-</w:t>
            </w:r>
          </w:p>
        </w:tc>
        <w:tc>
          <w:tcPr>
            <w:tcW w:w="479" w:type="pct"/>
            <w:shd w:val="clear" w:color="auto" w:fill="C5E0B3" w:themeFill="accent6" w:themeFillTint="66"/>
            <w:vAlign w:val="center"/>
          </w:tcPr>
          <w:p w14:paraId="18F37AAA" w14:textId="2C638CBC" w:rsidR="00303875" w:rsidRPr="00303875" w:rsidRDefault="00303875" w:rsidP="00303875">
            <w:pPr>
              <w:jc w:val="right"/>
              <w:rPr>
                <w:i/>
                <w:iCs/>
              </w:rPr>
            </w:pPr>
            <w:r w:rsidRPr="00303875">
              <w:rPr>
                <w:i/>
                <w:iCs/>
              </w:rPr>
              <w:fldChar w:fldCharType="begin"/>
            </w:r>
            <w:r w:rsidRPr="00303875">
              <w:rPr>
                <w:i/>
                <w:iCs/>
              </w:rPr>
              <w:instrText xml:space="preserve"> =SUM(B11:F11) </w:instrText>
            </w:r>
            <w:r w:rsidRPr="00303875">
              <w:rPr>
                <w:i/>
                <w:iCs/>
              </w:rPr>
              <w:fldChar w:fldCharType="separate"/>
            </w:r>
            <w:r w:rsidRPr="00303875">
              <w:rPr>
                <w:i/>
                <w:iCs/>
                <w:noProof/>
              </w:rPr>
              <w:t>(58)</w:t>
            </w:r>
            <w:r w:rsidRPr="00303875">
              <w:rPr>
                <w:i/>
                <w:iCs/>
              </w:rPr>
              <w:fldChar w:fldCharType="end"/>
            </w:r>
          </w:p>
        </w:tc>
      </w:tr>
      <w:tr w:rsidR="00303875" w:rsidRPr="000127EF" w14:paraId="65B62663" w14:textId="77777777" w:rsidTr="000E1C2E">
        <w:tc>
          <w:tcPr>
            <w:tcW w:w="1621" w:type="pct"/>
          </w:tcPr>
          <w:p w14:paraId="0528491A" w14:textId="5A656147" w:rsidR="00303875" w:rsidRPr="000127EF" w:rsidRDefault="00303875" w:rsidP="00303875">
            <w:pPr>
              <w:rPr>
                <w:i/>
              </w:rPr>
            </w:pPr>
            <w:r w:rsidRPr="000127EF">
              <w:rPr>
                <w:b/>
              </w:rPr>
              <w:t>At 31 March 2019</w:t>
            </w:r>
          </w:p>
        </w:tc>
        <w:tc>
          <w:tcPr>
            <w:tcW w:w="565" w:type="pct"/>
          </w:tcPr>
          <w:p w14:paraId="758926C2" w14:textId="2074A166" w:rsidR="00303875" w:rsidRPr="000127EF" w:rsidRDefault="00303875" w:rsidP="00303875">
            <w:pPr>
              <w:jc w:val="right"/>
              <w:rPr>
                <w:i/>
              </w:rPr>
            </w:pPr>
            <w:r w:rsidRPr="000127EF">
              <w:rPr>
                <w:b/>
              </w:rPr>
              <w:fldChar w:fldCharType="begin"/>
            </w:r>
            <w:r w:rsidRPr="000127EF">
              <w:rPr>
                <w:b/>
              </w:rPr>
              <w:instrText xml:space="preserve"> =SUM(b3:b10) </w:instrText>
            </w:r>
            <w:r w:rsidRPr="000127EF">
              <w:rPr>
                <w:b/>
              </w:rPr>
              <w:fldChar w:fldCharType="separate"/>
            </w:r>
            <w:r w:rsidRPr="000127EF">
              <w:rPr>
                <w:b/>
                <w:noProof/>
              </w:rPr>
              <w:t>32,780</w:t>
            </w:r>
            <w:r w:rsidRPr="000127EF">
              <w:rPr>
                <w:b/>
              </w:rPr>
              <w:fldChar w:fldCharType="end"/>
            </w:r>
          </w:p>
        </w:tc>
        <w:tc>
          <w:tcPr>
            <w:tcW w:w="627" w:type="pct"/>
          </w:tcPr>
          <w:p w14:paraId="29A0E926" w14:textId="54DD7D24" w:rsidR="00303875" w:rsidRPr="000127EF" w:rsidRDefault="00303875" w:rsidP="00303875">
            <w:pPr>
              <w:jc w:val="right"/>
              <w:rPr>
                <w:i/>
              </w:rPr>
            </w:pPr>
            <w:r w:rsidRPr="000127EF">
              <w:rPr>
                <w:b/>
              </w:rPr>
              <w:fldChar w:fldCharType="begin"/>
            </w:r>
            <w:r w:rsidRPr="000127EF">
              <w:rPr>
                <w:b/>
              </w:rPr>
              <w:instrText xml:space="preserve"> =SUM(c3:c10) </w:instrText>
            </w:r>
            <w:r w:rsidRPr="000127EF">
              <w:rPr>
                <w:b/>
              </w:rPr>
              <w:fldChar w:fldCharType="separate"/>
            </w:r>
            <w:r w:rsidRPr="000127EF">
              <w:rPr>
                <w:b/>
                <w:noProof/>
              </w:rPr>
              <w:t>2,201</w:t>
            </w:r>
            <w:r w:rsidRPr="000127EF">
              <w:rPr>
                <w:b/>
              </w:rPr>
              <w:fldChar w:fldCharType="end"/>
            </w:r>
          </w:p>
        </w:tc>
        <w:tc>
          <w:tcPr>
            <w:tcW w:w="492" w:type="pct"/>
          </w:tcPr>
          <w:p w14:paraId="1D1D1645" w14:textId="1211DE94" w:rsidR="00303875" w:rsidRPr="000127EF" w:rsidRDefault="00303875" w:rsidP="00303875">
            <w:pPr>
              <w:jc w:val="right"/>
              <w:rPr>
                <w:i/>
              </w:rPr>
            </w:pPr>
            <w:r w:rsidRPr="000127EF">
              <w:rPr>
                <w:b/>
              </w:rPr>
              <w:fldChar w:fldCharType="begin"/>
            </w:r>
            <w:r w:rsidRPr="000127EF">
              <w:rPr>
                <w:b/>
              </w:rPr>
              <w:instrText xml:space="preserve"> =SUM(d3:d10) </w:instrText>
            </w:r>
            <w:r w:rsidRPr="000127EF">
              <w:rPr>
                <w:b/>
              </w:rPr>
              <w:fldChar w:fldCharType="separate"/>
            </w:r>
            <w:r w:rsidRPr="000127EF">
              <w:rPr>
                <w:b/>
                <w:noProof/>
              </w:rPr>
              <w:t>49,270</w:t>
            </w:r>
            <w:r w:rsidRPr="000127EF">
              <w:rPr>
                <w:b/>
              </w:rPr>
              <w:fldChar w:fldCharType="end"/>
            </w:r>
          </w:p>
        </w:tc>
        <w:tc>
          <w:tcPr>
            <w:tcW w:w="733" w:type="pct"/>
          </w:tcPr>
          <w:p w14:paraId="7FEC2922" w14:textId="27FB1CDA" w:rsidR="00303875" w:rsidRPr="000127EF" w:rsidRDefault="00303875" w:rsidP="00303875">
            <w:pPr>
              <w:jc w:val="right"/>
              <w:rPr>
                <w:i/>
              </w:rPr>
            </w:pPr>
            <w:r w:rsidRPr="000127EF">
              <w:rPr>
                <w:b/>
              </w:rPr>
              <w:fldChar w:fldCharType="begin"/>
            </w:r>
            <w:r w:rsidRPr="000127EF">
              <w:rPr>
                <w:b/>
              </w:rPr>
              <w:instrText xml:space="preserve"> =SUM(e3:e10) </w:instrText>
            </w:r>
            <w:r w:rsidRPr="000127EF">
              <w:rPr>
                <w:b/>
              </w:rPr>
              <w:fldChar w:fldCharType="separate"/>
            </w:r>
            <w:r w:rsidRPr="000127EF">
              <w:rPr>
                <w:b/>
                <w:noProof/>
              </w:rPr>
              <w:t>578</w:t>
            </w:r>
            <w:r w:rsidRPr="000127EF">
              <w:rPr>
                <w:b/>
              </w:rPr>
              <w:fldChar w:fldCharType="end"/>
            </w:r>
          </w:p>
        </w:tc>
        <w:tc>
          <w:tcPr>
            <w:tcW w:w="483" w:type="pct"/>
          </w:tcPr>
          <w:p w14:paraId="21F2F5EA" w14:textId="64AF6008" w:rsidR="00303875" w:rsidRPr="000127EF" w:rsidRDefault="00303875" w:rsidP="00303875">
            <w:pPr>
              <w:jc w:val="right"/>
              <w:rPr>
                <w:i/>
              </w:rPr>
            </w:pPr>
            <w:r w:rsidRPr="000127EF">
              <w:rPr>
                <w:b/>
              </w:rPr>
              <w:fldChar w:fldCharType="begin"/>
            </w:r>
            <w:r w:rsidRPr="000127EF">
              <w:rPr>
                <w:b/>
              </w:rPr>
              <w:instrText xml:space="preserve"> =SUM(f3:f10) </w:instrText>
            </w:r>
            <w:r w:rsidRPr="000127EF">
              <w:rPr>
                <w:b/>
              </w:rPr>
              <w:fldChar w:fldCharType="separate"/>
            </w:r>
            <w:r w:rsidRPr="000127EF">
              <w:rPr>
                <w:b/>
                <w:noProof/>
              </w:rPr>
              <w:t>65</w:t>
            </w:r>
            <w:r w:rsidRPr="000127EF">
              <w:rPr>
                <w:b/>
              </w:rPr>
              <w:fldChar w:fldCharType="end"/>
            </w:r>
          </w:p>
        </w:tc>
        <w:tc>
          <w:tcPr>
            <w:tcW w:w="479" w:type="pct"/>
            <w:shd w:val="clear" w:color="auto" w:fill="C5E0B3" w:themeFill="accent6" w:themeFillTint="66"/>
          </w:tcPr>
          <w:p w14:paraId="00D0CF87" w14:textId="2E4799EB" w:rsidR="00303875" w:rsidRPr="000127EF" w:rsidRDefault="00303875" w:rsidP="00303875">
            <w:pPr>
              <w:jc w:val="right"/>
              <w:rPr>
                <w:i/>
              </w:rPr>
            </w:pPr>
            <w:r w:rsidRPr="000127EF">
              <w:rPr>
                <w:b/>
              </w:rPr>
              <w:fldChar w:fldCharType="begin"/>
            </w:r>
            <w:r w:rsidRPr="000127EF">
              <w:rPr>
                <w:b/>
              </w:rPr>
              <w:instrText xml:space="preserve"> =SUM(G3:G10) </w:instrText>
            </w:r>
            <w:r w:rsidRPr="000127EF">
              <w:rPr>
                <w:b/>
              </w:rPr>
              <w:fldChar w:fldCharType="separate"/>
            </w:r>
            <w:r w:rsidRPr="000127EF">
              <w:rPr>
                <w:b/>
                <w:noProof/>
              </w:rPr>
              <w:t>84,894</w:t>
            </w:r>
            <w:r w:rsidRPr="000127EF">
              <w:rPr>
                <w:b/>
              </w:rPr>
              <w:fldChar w:fldCharType="end"/>
            </w:r>
          </w:p>
        </w:tc>
      </w:tr>
      <w:tr w:rsidR="00303875" w:rsidRPr="000127EF" w14:paraId="13184190" w14:textId="77777777" w:rsidTr="000E1C2E">
        <w:tc>
          <w:tcPr>
            <w:tcW w:w="1621" w:type="pct"/>
            <w:vAlign w:val="center"/>
          </w:tcPr>
          <w:p w14:paraId="17EB9496" w14:textId="0BE8A9A9" w:rsidR="00303875" w:rsidRPr="000127EF" w:rsidRDefault="00303875" w:rsidP="00303875">
            <w:pPr>
              <w:rPr>
                <w:b/>
                <w:i/>
              </w:rPr>
            </w:pPr>
          </w:p>
        </w:tc>
        <w:tc>
          <w:tcPr>
            <w:tcW w:w="565" w:type="pct"/>
          </w:tcPr>
          <w:p w14:paraId="43AFFDA8" w14:textId="77C17156" w:rsidR="00303875" w:rsidRPr="000127EF" w:rsidRDefault="00303875" w:rsidP="00303875">
            <w:pPr>
              <w:jc w:val="right"/>
              <w:rPr>
                <w:b/>
                <w:i/>
              </w:rPr>
            </w:pPr>
          </w:p>
        </w:tc>
        <w:tc>
          <w:tcPr>
            <w:tcW w:w="627" w:type="pct"/>
          </w:tcPr>
          <w:p w14:paraId="51A2F497" w14:textId="5325F23E" w:rsidR="00303875" w:rsidRPr="000127EF" w:rsidRDefault="00303875" w:rsidP="00303875">
            <w:pPr>
              <w:jc w:val="right"/>
              <w:rPr>
                <w:b/>
                <w:i/>
              </w:rPr>
            </w:pPr>
          </w:p>
        </w:tc>
        <w:tc>
          <w:tcPr>
            <w:tcW w:w="492" w:type="pct"/>
          </w:tcPr>
          <w:p w14:paraId="738E2789" w14:textId="71CB140E" w:rsidR="00303875" w:rsidRPr="000127EF" w:rsidRDefault="00303875" w:rsidP="00303875">
            <w:pPr>
              <w:jc w:val="right"/>
              <w:rPr>
                <w:b/>
                <w:i/>
              </w:rPr>
            </w:pPr>
          </w:p>
        </w:tc>
        <w:tc>
          <w:tcPr>
            <w:tcW w:w="733" w:type="pct"/>
          </w:tcPr>
          <w:p w14:paraId="2F8F9514" w14:textId="16CD4DA2" w:rsidR="00303875" w:rsidRPr="000127EF" w:rsidRDefault="00303875" w:rsidP="00303875">
            <w:pPr>
              <w:jc w:val="right"/>
              <w:rPr>
                <w:b/>
                <w:i/>
              </w:rPr>
            </w:pPr>
          </w:p>
        </w:tc>
        <w:tc>
          <w:tcPr>
            <w:tcW w:w="483" w:type="pct"/>
          </w:tcPr>
          <w:p w14:paraId="3256DFBB" w14:textId="5D27ECBB" w:rsidR="00303875" w:rsidRPr="000127EF" w:rsidRDefault="00303875" w:rsidP="00303875">
            <w:pPr>
              <w:jc w:val="right"/>
              <w:rPr>
                <w:b/>
                <w:i/>
              </w:rPr>
            </w:pPr>
          </w:p>
        </w:tc>
        <w:tc>
          <w:tcPr>
            <w:tcW w:w="479" w:type="pct"/>
            <w:shd w:val="clear" w:color="auto" w:fill="C5E0B3" w:themeFill="accent6" w:themeFillTint="66"/>
          </w:tcPr>
          <w:p w14:paraId="49D1DD01" w14:textId="5FB1BA91" w:rsidR="00303875" w:rsidRPr="000127EF" w:rsidRDefault="00303875" w:rsidP="00303875">
            <w:pPr>
              <w:jc w:val="right"/>
              <w:rPr>
                <w:b/>
                <w:i/>
              </w:rPr>
            </w:pPr>
          </w:p>
        </w:tc>
      </w:tr>
      <w:tr w:rsidR="00303875" w:rsidRPr="000127EF" w14:paraId="73AF39DA" w14:textId="77777777" w:rsidTr="00C97136">
        <w:trPr>
          <w:trHeight w:val="64"/>
        </w:trPr>
        <w:tc>
          <w:tcPr>
            <w:tcW w:w="5000" w:type="pct"/>
            <w:gridSpan w:val="7"/>
            <w:tcBorders>
              <w:bottom w:val="nil"/>
            </w:tcBorders>
            <w:vAlign w:val="center"/>
          </w:tcPr>
          <w:p w14:paraId="2497EEC1" w14:textId="404F3773" w:rsidR="00303875" w:rsidRPr="000127EF" w:rsidRDefault="00303875" w:rsidP="00303875">
            <w:r w:rsidRPr="000127EF">
              <w:rPr>
                <w:b/>
              </w:rPr>
              <w:t>Accumulated Depreciation &amp; Impairment</w:t>
            </w:r>
          </w:p>
        </w:tc>
      </w:tr>
      <w:tr w:rsidR="00303875" w:rsidRPr="000127EF" w14:paraId="7D39016D" w14:textId="77777777" w:rsidTr="000E1C2E">
        <w:tc>
          <w:tcPr>
            <w:tcW w:w="4521" w:type="pct"/>
            <w:gridSpan w:val="6"/>
            <w:tcBorders>
              <w:bottom w:val="nil"/>
            </w:tcBorders>
          </w:tcPr>
          <w:p w14:paraId="244B54F0" w14:textId="6E0EB9CD" w:rsidR="00303875" w:rsidRPr="000127EF" w:rsidRDefault="00303875" w:rsidP="00303875">
            <w:r w:rsidRPr="000127EF">
              <w:rPr>
                <w:b/>
              </w:rPr>
              <w:t>At 1 April 2018</w:t>
            </w:r>
          </w:p>
        </w:tc>
        <w:tc>
          <w:tcPr>
            <w:tcW w:w="479" w:type="pct"/>
            <w:tcBorders>
              <w:bottom w:val="nil"/>
            </w:tcBorders>
            <w:shd w:val="clear" w:color="auto" w:fill="C5E0B3" w:themeFill="accent6" w:themeFillTint="66"/>
            <w:vAlign w:val="center"/>
          </w:tcPr>
          <w:p w14:paraId="79062EA9" w14:textId="45FAEA01" w:rsidR="00303875" w:rsidRPr="000127EF" w:rsidRDefault="00303875" w:rsidP="00303875">
            <w:pPr>
              <w:jc w:val="right"/>
            </w:pPr>
            <w:r w:rsidRPr="000127EF">
              <w:rPr>
                <w:b/>
              </w:rPr>
              <w:t>(3,509)</w:t>
            </w:r>
          </w:p>
        </w:tc>
      </w:tr>
      <w:tr w:rsidR="00303875" w:rsidRPr="000127EF" w14:paraId="6B1BD66C" w14:textId="77777777" w:rsidTr="00C97136">
        <w:tc>
          <w:tcPr>
            <w:tcW w:w="1621" w:type="pct"/>
            <w:tcBorders>
              <w:top w:val="nil"/>
              <w:bottom w:val="dashed" w:sz="4" w:space="0" w:color="A8D08D" w:themeColor="accent6" w:themeTint="99"/>
            </w:tcBorders>
          </w:tcPr>
          <w:p w14:paraId="0EF8B281" w14:textId="22F05DCF" w:rsidR="00303875" w:rsidRPr="00303875" w:rsidRDefault="00303875" w:rsidP="00303875">
            <w:pPr>
              <w:rPr>
                <w:b/>
                <w:i/>
                <w:iCs/>
              </w:rPr>
            </w:pPr>
            <w:r w:rsidRPr="00303875">
              <w:rPr>
                <w:i/>
                <w:iCs/>
              </w:rPr>
              <w:t>Depreciation charge in year</w:t>
            </w:r>
          </w:p>
        </w:tc>
        <w:tc>
          <w:tcPr>
            <w:tcW w:w="565" w:type="pct"/>
            <w:tcBorders>
              <w:top w:val="nil"/>
              <w:bottom w:val="dashed" w:sz="4" w:space="0" w:color="A8D08D" w:themeColor="accent6" w:themeTint="99"/>
            </w:tcBorders>
            <w:vAlign w:val="center"/>
          </w:tcPr>
          <w:p w14:paraId="75E4B4BC" w14:textId="3DC05B43" w:rsidR="00303875" w:rsidRPr="00303875" w:rsidRDefault="00303875" w:rsidP="00303875">
            <w:pPr>
              <w:jc w:val="right"/>
              <w:rPr>
                <w:b/>
                <w:i/>
                <w:iCs/>
              </w:rPr>
            </w:pPr>
            <w:r w:rsidRPr="00303875">
              <w:rPr>
                <w:i/>
                <w:iCs/>
              </w:rPr>
              <w:t>(533)</w:t>
            </w:r>
          </w:p>
        </w:tc>
        <w:tc>
          <w:tcPr>
            <w:tcW w:w="627" w:type="pct"/>
            <w:tcBorders>
              <w:top w:val="nil"/>
              <w:bottom w:val="dashed" w:sz="4" w:space="0" w:color="A8D08D" w:themeColor="accent6" w:themeTint="99"/>
            </w:tcBorders>
            <w:vAlign w:val="center"/>
          </w:tcPr>
          <w:p w14:paraId="61F68123" w14:textId="3B258C63" w:rsidR="00303875" w:rsidRPr="00303875" w:rsidRDefault="00303875" w:rsidP="00303875">
            <w:pPr>
              <w:jc w:val="right"/>
              <w:rPr>
                <w:b/>
                <w:i/>
                <w:iCs/>
              </w:rPr>
            </w:pPr>
            <w:r w:rsidRPr="00303875">
              <w:rPr>
                <w:i/>
                <w:iCs/>
              </w:rPr>
              <w:t>(46)</w:t>
            </w:r>
          </w:p>
        </w:tc>
        <w:tc>
          <w:tcPr>
            <w:tcW w:w="492" w:type="pct"/>
            <w:tcBorders>
              <w:top w:val="nil"/>
              <w:bottom w:val="dashed" w:sz="4" w:space="0" w:color="A8D08D" w:themeColor="accent6" w:themeTint="99"/>
            </w:tcBorders>
            <w:vAlign w:val="center"/>
          </w:tcPr>
          <w:p w14:paraId="48C50AD5" w14:textId="29E093FB" w:rsidR="00303875" w:rsidRPr="00303875" w:rsidRDefault="00303875" w:rsidP="00303875">
            <w:pPr>
              <w:jc w:val="right"/>
              <w:rPr>
                <w:b/>
                <w:i/>
                <w:iCs/>
              </w:rPr>
            </w:pPr>
            <w:r w:rsidRPr="00303875">
              <w:rPr>
                <w:i/>
                <w:iCs/>
              </w:rPr>
              <w:t>(1,610)</w:t>
            </w:r>
          </w:p>
        </w:tc>
        <w:tc>
          <w:tcPr>
            <w:tcW w:w="733" w:type="pct"/>
            <w:tcBorders>
              <w:top w:val="nil"/>
              <w:bottom w:val="dashed" w:sz="4" w:space="0" w:color="A8D08D" w:themeColor="accent6" w:themeTint="99"/>
            </w:tcBorders>
            <w:vAlign w:val="center"/>
          </w:tcPr>
          <w:p w14:paraId="4A3D7587" w14:textId="50C58D71" w:rsidR="00303875" w:rsidRPr="00303875" w:rsidRDefault="00303875" w:rsidP="00303875">
            <w:pPr>
              <w:jc w:val="right"/>
              <w:rPr>
                <w:b/>
                <w:i/>
                <w:iCs/>
              </w:rPr>
            </w:pPr>
            <w:r w:rsidRPr="00303875">
              <w:rPr>
                <w:i/>
                <w:iCs/>
              </w:rPr>
              <w:t>-</w:t>
            </w:r>
          </w:p>
        </w:tc>
        <w:tc>
          <w:tcPr>
            <w:tcW w:w="483" w:type="pct"/>
            <w:tcBorders>
              <w:top w:val="nil"/>
              <w:bottom w:val="dashed" w:sz="4" w:space="0" w:color="A8D08D" w:themeColor="accent6" w:themeTint="99"/>
            </w:tcBorders>
            <w:vAlign w:val="center"/>
          </w:tcPr>
          <w:p w14:paraId="32D2A851" w14:textId="5AE1F719" w:rsidR="00303875" w:rsidRPr="00303875" w:rsidRDefault="00303875" w:rsidP="00303875">
            <w:pPr>
              <w:jc w:val="right"/>
              <w:rPr>
                <w:b/>
                <w:i/>
                <w:iCs/>
              </w:rPr>
            </w:pPr>
            <w:r w:rsidRPr="00303875">
              <w:rPr>
                <w:i/>
                <w:iCs/>
              </w:rPr>
              <w:t>(1)</w:t>
            </w:r>
          </w:p>
        </w:tc>
        <w:tc>
          <w:tcPr>
            <w:tcW w:w="479" w:type="pct"/>
            <w:tcBorders>
              <w:top w:val="nil"/>
              <w:bottom w:val="dashed" w:sz="4" w:space="0" w:color="A8D08D" w:themeColor="accent6" w:themeTint="99"/>
            </w:tcBorders>
            <w:shd w:val="clear" w:color="auto" w:fill="C5E0B3" w:themeFill="accent6" w:themeFillTint="66"/>
            <w:vAlign w:val="center"/>
          </w:tcPr>
          <w:p w14:paraId="568FF0F5" w14:textId="60EEBAFD" w:rsidR="00303875" w:rsidRPr="00303875" w:rsidRDefault="00303875" w:rsidP="00303875">
            <w:pPr>
              <w:jc w:val="right"/>
              <w:rPr>
                <w:b/>
                <w:i/>
                <w:iCs/>
              </w:rPr>
            </w:pPr>
            <w:r w:rsidRPr="00303875">
              <w:rPr>
                <w:i/>
                <w:iCs/>
              </w:rPr>
              <w:fldChar w:fldCharType="begin"/>
            </w:r>
            <w:r w:rsidRPr="00303875">
              <w:rPr>
                <w:i/>
                <w:iCs/>
              </w:rPr>
              <w:instrText xml:space="preserve"> =SUM(b16:f16) </w:instrText>
            </w:r>
            <w:r w:rsidRPr="00303875">
              <w:rPr>
                <w:i/>
                <w:iCs/>
              </w:rPr>
              <w:fldChar w:fldCharType="separate"/>
            </w:r>
            <w:r w:rsidRPr="00303875">
              <w:rPr>
                <w:i/>
                <w:iCs/>
                <w:noProof/>
              </w:rPr>
              <w:t>(2,190)</w:t>
            </w:r>
            <w:r w:rsidRPr="00303875">
              <w:rPr>
                <w:i/>
                <w:iCs/>
              </w:rPr>
              <w:fldChar w:fldCharType="end"/>
            </w:r>
          </w:p>
        </w:tc>
      </w:tr>
      <w:tr w:rsidR="00303875" w:rsidRPr="000127EF" w14:paraId="46F9525B" w14:textId="77777777" w:rsidTr="00C97136">
        <w:tc>
          <w:tcPr>
            <w:tcW w:w="1621" w:type="pct"/>
            <w:tcBorders>
              <w:top w:val="dashed" w:sz="4" w:space="0" w:color="A8D08D" w:themeColor="accent6" w:themeTint="99"/>
            </w:tcBorders>
          </w:tcPr>
          <w:p w14:paraId="25FDCAE6" w14:textId="278AAA33" w:rsidR="00303875" w:rsidRPr="00303875" w:rsidRDefault="00303875" w:rsidP="00303875">
            <w:pPr>
              <w:rPr>
                <w:i/>
                <w:iCs/>
              </w:rPr>
            </w:pPr>
            <w:r w:rsidRPr="00303875">
              <w:rPr>
                <w:i/>
                <w:iCs/>
              </w:rPr>
              <w:t>Depreciation written out to the revaluation reserve</w:t>
            </w:r>
          </w:p>
        </w:tc>
        <w:tc>
          <w:tcPr>
            <w:tcW w:w="565" w:type="pct"/>
            <w:tcBorders>
              <w:top w:val="dashed" w:sz="4" w:space="0" w:color="A8D08D" w:themeColor="accent6" w:themeTint="99"/>
            </w:tcBorders>
            <w:vAlign w:val="center"/>
          </w:tcPr>
          <w:p w14:paraId="145D8F22" w14:textId="38DF5EA8" w:rsidR="00303875" w:rsidRPr="00303875" w:rsidRDefault="00303875" w:rsidP="00303875">
            <w:pPr>
              <w:jc w:val="right"/>
              <w:rPr>
                <w:i/>
                <w:iCs/>
              </w:rPr>
            </w:pPr>
            <w:r w:rsidRPr="00303875">
              <w:rPr>
                <w:i/>
                <w:iCs/>
              </w:rPr>
              <w:t>393</w:t>
            </w:r>
          </w:p>
        </w:tc>
        <w:tc>
          <w:tcPr>
            <w:tcW w:w="627" w:type="pct"/>
            <w:tcBorders>
              <w:top w:val="dashed" w:sz="4" w:space="0" w:color="A8D08D" w:themeColor="accent6" w:themeTint="99"/>
            </w:tcBorders>
            <w:vAlign w:val="center"/>
          </w:tcPr>
          <w:p w14:paraId="6448B9F4" w14:textId="4BFD1776" w:rsidR="00303875" w:rsidRPr="00303875" w:rsidRDefault="00303875" w:rsidP="00303875">
            <w:pPr>
              <w:jc w:val="right"/>
              <w:rPr>
                <w:i/>
                <w:iCs/>
              </w:rPr>
            </w:pPr>
            <w:r w:rsidRPr="00303875">
              <w:rPr>
                <w:i/>
                <w:iCs/>
              </w:rPr>
              <w:t>-</w:t>
            </w:r>
          </w:p>
        </w:tc>
        <w:tc>
          <w:tcPr>
            <w:tcW w:w="492" w:type="pct"/>
            <w:tcBorders>
              <w:top w:val="dashed" w:sz="4" w:space="0" w:color="A8D08D" w:themeColor="accent6" w:themeTint="99"/>
            </w:tcBorders>
            <w:vAlign w:val="center"/>
          </w:tcPr>
          <w:p w14:paraId="5512C518" w14:textId="2D51C3B3" w:rsidR="00303875" w:rsidRPr="00303875" w:rsidRDefault="00303875" w:rsidP="00303875">
            <w:pPr>
              <w:jc w:val="right"/>
              <w:rPr>
                <w:i/>
                <w:iCs/>
              </w:rPr>
            </w:pPr>
            <w:r w:rsidRPr="00303875">
              <w:rPr>
                <w:i/>
                <w:iCs/>
              </w:rPr>
              <w:t>-</w:t>
            </w:r>
          </w:p>
        </w:tc>
        <w:tc>
          <w:tcPr>
            <w:tcW w:w="733" w:type="pct"/>
            <w:tcBorders>
              <w:top w:val="dashed" w:sz="4" w:space="0" w:color="A8D08D" w:themeColor="accent6" w:themeTint="99"/>
            </w:tcBorders>
            <w:vAlign w:val="center"/>
          </w:tcPr>
          <w:p w14:paraId="4C20026F" w14:textId="484C0FB9" w:rsidR="00303875" w:rsidRPr="00303875" w:rsidRDefault="00303875" w:rsidP="00303875">
            <w:pPr>
              <w:jc w:val="right"/>
              <w:rPr>
                <w:i/>
                <w:iCs/>
              </w:rPr>
            </w:pPr>
            <w:r w:rsidRPr="00303875">
              <w:rPr>
                <w:i/>
                <w:iCs/>
              </w:rPr>
              <w:t>-</w:t>
            </w:r>
          </w:p>
        </w:tc>
        <w:tc>
          <w:tcPr>
            <w:tcW w:w="483" w:type="pct"/>
            <w:tcBorders>
              <w:top w:val="dashed" w:sz="4" w:space="0" w:color="A8D08D" w:themeColor="accent6" w:themeTint="99"/>
            </w:tcBorders>
            <w:vAlign w:val="center"/>
          </w:tcPr>
          <w:p w14:paraId="030A3891" w14:textId="17E4E901" w:rsidR="00303875" w:rsidRPr="00303875" w:rsidRDefault="00303875" w:rsidP="00303875">
            <w:pPr>
              <w:jc w:val="right"/>
              <w:rPr>
                <w:i/>
                <w:iCs/>
              </w:rPr>
            </w:pPr>
            <w:r w:rsidRPr="00303875">
              <w:rPr>
                <w:i/>
                <w:iCs/>
              </w:rPr>
              <w:t>-</w:t>
            </w:r>
          </w:p>
        </w:tc>
        <w:tc>
          <w:tcPr>
            <w:tcW w:w="479" w:type="pct"/>
            <w:tcBorders>
              <w:top w:val="dashed" w:sz="4" w:space="0" w:color="A8D08D" w:themeColor="accent6" w:themeTint="99"/>
            </w:tcBorders>
            <w:shd w:val="clear" w:color="auto" w:fill="C5E0B3" w:themeFill="accent6" w:themeFillTint="66"/>
            <w:vAlign w:val="center"/>
          </w:tcPr>
          <w:p w14:paraId="3A28B6CB" w14:textId="71188C6A" w:rsidR="00303875" w:rsidRPr="00303875" w:rsidRDefault="00303875" w:rsidP="00303875">
            <w:pPr>
              <w:jc w:val="right"/>
              <w:rPr>
                <w:i/>
                <w:iCs/>
              </w:rPr>
            </w:pPr>
            <w:r w:rsidRPr="00303875">
              <w:rPr>
                <w:i/>
                <w:iCs/>
              </w:rPr>
              <w:fldChar w:fldCharType="begin"/>
            </w:r>
            <w:r w:rsidRPr="00303875">
              <w:rPr>
                <w:i/>
                <w:iCs/>
              </w:rPr>
              <w:instrText xml:space="preserve"> =SUM(b17:f17) </w:instrText>
            </w:r>
            <w:r w:rsidRPr="00303875">
              <w:rPr>
                <w:i/>
                <w:iCs/>
              </w:rPr>
              <w:fldChar w:fldCharType="separate"/>
            </w:r>
            <w:r w:rsidRPr="00303875">
              <w:rPr>
                <w:i/>
                <w:iCs/>
                <w:noProof/>
              </w:rPr>
              <w:t>393</w:t>
            </w:r>
            <w:r w:rsidRPr="00303875">
              <w:rPr>
                <w:i/>
                <w:iCs/>
              </w:rPr>
              <w:fldChar w:fldCharType="end"/>
            </w:r>
          </w:p>
        </w:tc>
      </w:tr>
      <w:tr w:rsidR="00303875" w:rsidRPr="000127EF" w14:paraId="6664DFA6" w14:textId="77777777" w:rsidTr="00C97136">
        <w:tc>
          <w:tcPr>
            <w:tcW w:w="1621" w:type="pct"/>
          </w:tcPr>
          <w:p w14:paraId="65D937E9" w14:textId="1933D326" w:rsidR="00303875" w:rsidRPr="00303875" w:rsidRDefault="00303875" w:rsidP="00303875">
            <w:pPr>
              <w:rPr>
                <w:i/>
                <w:iCs/>
              </w:rPr>
            </w:pPr>
            <w:r w:rsidRPr="00303875">
              <w:rPr>
                <w:i/>
                <w:iCs/>
              </w:rPr>
              <w:t xml:space="preserve">Depreciation Written out to the Surplus/ Deficit on the Provision of Services </w:t>
            </w:r>
          </w:p>
        </w:tc>
        <w:tc>
          <w:tcPr>
            <w:tcW w:w="565" w:type="pct"/>
            <w:vAlign w:val="center"/>
          </w:tcPr>
          <w:p w14:paraId="5942D117" w14:textId="27B17B82" w:rsidR="00303875" w:rsidRPr="00303875" w:rsidRDefault="00303875" w:rsidP="00303875">
            <w:pPr>
              <w:jc w:val="right"/>
              <w:rPr>
                <w:i/>
                <w:iCs/>
              </w:rPr>
            </w:pPr>
            <w:r w:rsidRPr="00303875">
              <w:rPr>
                <w:i/>
                <w:iCs/>
              </w:rPr>
              <w:t>208</w:t>
            </w:r>
          </w:p>
        </w:tc>
        <w:tc>
          <w:tcPr>
            <w:tcW w:w="627" w:type="pct"/>
            <w:vAlign w:val="center"/>
          </w:tcPr>
          <w:p w14:paraId="735C4B53" w14:textId="36813549" w:rsidR="00303875" w:rsidRPr="00303875" w:rsidRDefault="00303875" w:rsidP="00303875">
            <w:pPr>
              <w:jc w:val="right"/>
              <w:rPr>
                <w:i/>
                <w:iCs/>
              </w:rPr>
            </w:pPr>
            <w:r w:rsidRPr="00303875">
              <w:rPr>
                <w:i/>
                <w:iCs/>
              </w:rPr>
              <w:t>-</w:t>
            </w:r>
          </w:p>
        </w:tc>
        <w:tc>
          <w:tcPr>
            <w:tcW w:w="492" w:type="pct"/>
            <w:vAlign w:val="center"/>
          </w:tcPr>
          <w:p w14:paraId="36C2A58A" w14:textId="31FBC060" w:rsidR="00303875" w:rsidRPr="00303875" w:rsidRDefault="00303875" w:rsidP="00303875">
            <w:pPr>
              <w:jc w:val="right"/>
              <w:rPr>
                <w:i/>
                <w:iCs/>
              </w:rPr>
            </w:pPr>
            <w:r w:rsidRPr="00303875">
              <w:rPr>
                <w:i/>
                <w:iCs/>
              </w:rPr>
              <w:t>-</w:t>
            </w:r>
          </w:p>
        </w:tc>
        <w:tc>
          <w:tcPr>
            <w:tcW w:w="733" w:type="pct"/>
            <w:vAlign w:val="center"/>
          </w:tcPr>
          <w:p w14:paraId="645578AC" w14:textId="59229860" w:rsidR="00303875" w:rsidRPr="00303875" w:rsidRDefault="00303875" w:rsidP="00303875">
            <w:pPr>
              <w:jc w:val="right"/>
              <w:rPr>
                <w:i/>
                <w:iCs/>
              </w:rPr>
            </w:pPr>
            <w:r w:rsidRPr="00303875">
              <w:rPr>
                <w:i/>
                <w:iCs/>
              </w:rPr>
              <w:t>-</w:t>
            </w:r>
          </w:p>
        </w:tc>
        <w:tc>
          <w:tcPr>
            <w:tcW w:w="483" w:type="pct"/>
            <w:vAlign w:val="center"/>
          </w:tcPr>
          <w:p w14:paraId="3E033AA6" w14:textId="71F6ACDE" w:rsidR="00303875" w:rsidRPr="00303875" w:rsidRDefault="00303875" w:rsidP="00303875">
            <w:pPr>
              <w:jc w:val="right"/>
              <w:rPr>
                <w:i/>
                <w:iCs/>
              </w:rPr>
            </w:pPr>
            <w:r w:rsidRPr="00303875">
              <w:rPr>
                <w:i/>
                <w:iCs/>
              </w:rPr>
              <w:t>-</w:t>
            </w:r>
          </w:p>
        </w:tc>
        <w:tc>
          <w:tcPr>
            <w:tcW w:w="479" w:type="pct"/>
            <w:shd w:val="clear" w:color="auto" w:fill="C5E0B3" w:themeFill="accent6" w:themeFillTint="66"/>
            <w:vAlign w:val="center"/>
          </w:tcPr>
          <w:p w14:paraId="1CEDB5D1" w14:textId="43308ECA" w:rsidR="00303875" w:rsidRPr="00303875" w:rsidRDefault="00303875" w:rsidP="00303875">
            <w:pPr>
              <w:jc w:val="right"/>
              <w:rPr>
                <w:i/>
                <w:iCs/>
              </w:rPr>
            </w:pPr>
            <w:r w:rsidRPr="00303875">
              <w:rPr>
                <w:i/>
                <w:iCs/>
              </w:rPr>
              <w:fldChar w:fldCharType="begin"/>
            </w:r>
            <w:r w:rsidRPr="00303875">
              <w:rPr>
                <w:i/>
                <w:iCs/>
              </w:rPr>
              <w:instrText xml:space="preserve"> =SUM(b18:f18) </w:instrText>
            </w:r>
            <w:r w:rsidRPr="00303875">
              <w:rPr>
                <w:i/>
                <w:iCs/>
              </w:rPr>
              <w:fldChar w:fldCharType="separate"/>
            </w:r>
            <w:r w:rsidRPr="00303875">
              <w:rPr>
                <w:i/>
                <w:iCs/>
                <w:noProof/>
              </w:rPr>
              <w:t>208</w:t>
            </w:r>
            <w:r w:rsidRPr="00303875">
              <w:rPr>
                <w:i/>
                <w:iCs/>
              </w:rPr>
              <w:fldChar w:fldCharType="end"/>
            </w:r>
          </w:p>
        </w:tc>
      </w:tr>
      <w:tr w:rsidR="00303875" w:rsidRPr="000127EF" w14:paraId="5FF1B4CF" w14:textId="77777777" w:rsidTr="00C97136">
        <w:tc>
          <w:tcPr>
            <w:tcW w:w="1621" w:type="pct"/>
          </w:tcPr>
          <w:p w14:paraId="46E4E382" w14:textId="6C467DC4" w:rsidR="00303875" w:rsidRPr="00303875" w:rsidRDefault="00303875" w:rsidP="00303875">
            <w:pPr>
              <w:rPr>
                <w:i/>
                <w:iCs/>
              </w:rPr>
            </w:pPr>
            <w:r w:rsidRPr="00303875">
              <w:rPr>
                <w:i/>
                <w:iCs/>
              </w:rPr>
              <w:t xml:space="preserve">Impairment (losses)/ reversals recognised in Revaluation Reserve </w:t>
            </w:r>
          </w:p>
        </w:tc>
        <w:tc>
          <w:tcPr>
            <w:tcW w:w="565" w:type="pct"/>
            <w:vAlign w:val="center"/>
          </w:tcPr>
          <w:p w14:paraId="55F8C3E6" w14:textId="10455D42" w:rsidR="00303875" w:rsidRPr="00303875" w:rsidRDefault="00303875" w:rsidP="00303875">
            <w:pPr>
              <w:jc w:val="right"/>
              <w:rPr>
                <w:i/>
                <w:iCs/>
              </w:rPr>
            </w:pPr>
            <w:r w:rsidRPr="00303875">
              <w:rPr>
                <w:i/>
                <w:iCs/>
              </w:rPr>
              <w:t>2,305</w:t>
            </w:r>
          </w:p>
        </w:tc>
        <w:tc>
          <w:tcPr>
            <w:tcW w:w="627" w:type="pct"/>
            <w:vAlign w:val="center"/>
          </w:tcPr>
          <w:p w14:paraId="438027F2" w14:textId="2D6BA1D6" w:rsidR="00303875" w:rsidRPr="00303875" w:rsidRDefault="00303875" w:rsidP="00303875">
            <w:pPr>
              <w:jc w:val="right"/>
              <w:rPr>
                <w:i/>
                <w:iCs/>
              </w:rPr>
            </w:pPr>
            <w:r w:rsidRPr="00303875">
              <w:rPr>
                <w:i/>
                <w:iCs/>
              </w:rPr>
              <w:t>-</w:t>
            </w:r>
          </w:p>
        </w:tc>
        <w:tc>
          <w:tcPr>
            <w:tcW w:w="492" w:type="pct"/>
            <w:vAlign w:val="center"/>
          </w:tcPr>
          <w:p w14:paraId="26893D24" w14:textId="64084A0C" w:rsidR="00303875" w:rsidRPr="00303875" w:rsidRDefault="00303875" w:rsidP="00303875">
            <w:pPr>
              <w:jc w:val="right"/>
              <w:rPr>
                <w:i/>
                <w:iCs/>
              </w:rPr>
            </w:pPr>
            <w:r w:rsidRPr="00303875">
              <w:rPr>
                <w:i/>
                <w:iCs/>
              </w:rPr>
              <w:t>-</w:t>
            </w:r>
          </w:p>
        </w:tc>
        <w:tc>
          <w:tcPr>
            <w:tcW w:w="733" w:type="pct"/>
            <w:vAlign w:val="center"/>
          </w:tcPr>
          <w:p w14:paraId="79FB59D4" w14:textId="0033C465" w:rsidR="00303875" w:rsidRPr="00303875" w:rsidRDefault="00303875" w:rsidP="00303875">
            <w:pPr>
              <w:jc w:val="right"/>
              <w:rPr>
                <w:i/>
                <w:iCs/>
              </w:rPr>
            </w:pPr>
            <w:r w:rsidRPr="00303875">
              <w:rPr>
                <w:i/>
                <w:iCs/>
              </w:rPr>
              <w:t>-</w:t>
            </w:r>
          </w:p>
        </w:tc>
        <w:tc>
          <w:tcPr>
            <w:tcW w:w="483" w:type="pct"/>
            <w:vAlign w:val="center"/>
          </w:tcPr>
          <w:p w14:paraId="3AB20C5B" w14:textId="3221C73C" w:rsidR="00303875" w:rsidRPr="00303875" w:rsidRDefault="00303875" w:rsidP="00303875">
            <w:pPr>
              <w:jc w:val="right"/>
              <w:rPr>
                <w:i/>
                <w:iCs/>
              </w:rPr>
            </w:pPr>
            <w:r w:rsidRPr="00303875">
              <w:rPr>
                <w:i/>
                <w:iCs/>
              </w:rPr>
              <w:t>-</w:t>
            </w:r>
          </w:p>
        </w:tc>
        <w:tc>
          <w:tcPr>
            <w:tcW w:w="479" w:type="pct"/>
            <w:shd w:val="clear" w:color="auto" w:fill="C5E0B3" w:themeFill="accent6" w:themeFillTint="66"/>
            <w:vAlign w:val="center"/>
          </w:tcPr>
          <w:p w14:paraId="5B90E017" w14:textId="75493A91" w:rsidR="00303875" w:rsidRPr="00303875" w:rsidRDefault="00303875" w:rsidP="00303875">
            <w:pPr>
              <w:jc w:val="right"/>
              <w:rPr>
                <w:i/>
                <w:iCs/>
              </w:rPr>
            </w:pPr>
            <w:r w:rsidRPr="00303875">
              <w:rPr>
                <w:i/>
                <w:iCs/>
              </w:rPr>
              <w:fldChar w:fldCharType="begin"/>
            </w:r>
            <w:r w:rsidRPr="00303875">
              <w:rPr>
                <w:i/>
                <w:iCs/>
              </w:rPr>
              <w:instrText xml:space="preserve"> =SUM(b19:f19) </w:instrText>
            </w:r>
            <w:r w:rsidRPr="00303875">
              <w:rPr>
                <w:i/>
                <w:iCs/>
              </w:rPr>
              <w:fldChar w:fldCharType="separate"/>
            </w:r>
            <w:r w:rsidRPr="00303875">
              <w:rPr>
                <w:i/>
                <w:iCs/>
                <w:noProof/>
              </w:rPr>
              <w:t>2,304</w:t>
            </w:r>
            <w:r w:rsidRPr="00303875">
              <w:rPr>
                <w:i/>
                <w:iCs/>
              </w:rPr>
              <w:fldChar w:fldCharType="end"/>
            </w:r>
          </w:p>
        </w:tc>
      </w:tr>
      <w:tr w:rsidR="00303875" w:rsidRPr="000127EF" w14:paraId="79B8C474" w14:textId="77777777" w:rsidTr="00C97136">
        <w:tc>
          <w:tcPr>
            <w:tcW w:w="1621" w:type="pct"/>
          </w:tcPr>
          <w:p w14:paraId="56B25CF6" w14:textId="072F2E27" w:rsidR="00303875" w:rsidRPr="00303875" w:rsidRDefault="00303875" w:rsidP="00303875">
            <w:pPr>
              <w:rPr>
                <w:i/>
                <w:iCs/>
              </w:rPr>
            </w:pPr>
            <w:r w:rsidRPr="00303875">
              <w:rPr>
                <w:i/>
                <w:iCs/>
              </w:rPr>
              <w:t>Impairment (losses)/ reversals recognised in the Surplus/ Deficit on the Provision of Services</w:t>
            </w:r>
          </w:p>
        </w:tc>
        <w:tc>
          <w:tcPr>
            <w:tcW w:w="565" w:type="pct"/>
            <w:vAlign w:val="center"/>
          </w:tcPr>
          <w:p w14:paraId="13A53B90" w14:textId="7B85541F" w:rsidR="00303875" w:rsidRPr="00303875" w:rsidRDefault="00303875" w:rsidP="00303875">
            <w:pPr>
              <w:jc w:val="right"/>
              <w:rPr>
                <w:i/>
                <w:iCs/>
              </w:rPr>
            </w:pPr>
            <w:r w:rsidRPr="00303875">
              <w:rPr>
                <w:i/>
                <w:iCs/>
              </w:rPr>
              <w:t>104</w:t>
            </w:r>
          </w:p>
        </w:tc>
        <w:tc>
          <w:tcPr>
            <w:tcW w:w="627" w:type="pct"/>
            <w:vAlign w:val="center"/>
          </w:tcPr>
          <w:p w14:paraId="44EAAFE5" w14:textId="232089C7" w:rsidR="00303875" w:rsidRPr="00303875" w:rsidRDefault="00303875" w:rsidP="00303875">
            <w:pPr>
              <w:jc w:val="right"/>
              <w:rPr>
                <w:i/>
                <w:iCs/>
              </w:rPr>
            </w:pPr>
            <w:r w:rsidRPr="00303875">
              <w:rPr>
                <w:i/>
                <w:iCs/>
              </w:rPr>
              <w:t>-</w:t>
            </w:r>
          </w:p>
        </w:tc>
        <w:tc>
          <w:tcPr>
            <w:tcW w:w="492" w:type="pct"/>
            <w:vAlign w:val="center"/>
          </w:tcPr>
          <w:p w14:paraId="7A6AC0F3" w14:textId="1EA8A416" w:rsidR="00303875" w:rsidRPr="00303875" w:rsidRDefault="00303875" w:rsidP="00303875">
            <w:pPr>
              <w:jc w:val="right"/>
              <w:rPr>
                <w:i/>
                <w:iCs/>
              </w:rPr>
            </w:pPr>
            <w:r w:rsidRPr="00303875">
              <w:rPr>
                <w:i/>
                <w:iCs/>
              </w:rPr>
              <w:t>-</w:t>
            </w:r>
          </w:p>
        </w:tc>
        <w:tc>
          <w:tcPr>
            <w:tcW w:w="733" w:type="pct"/>
            <w:vAlign w:val="center"/>
          </w:tcPr>
          <w:p w14:paraId="6C792588" w14:textId="44165CC9" w:rsidR="00303875" w:rsidRPr="00303875" w:rsidRDefault="00303875" w:rsidP="00303875">
            <w:pPr>
              <w:jc w:val="right"/>
              <w:rPr>
                <w:i/>
                <w:iCs/>
              </w:rPr>
            </w:pPr>
            <w:r w:rsidRPr="00303875">
              <w:rPr>
                <w:i/>
                <w:iCs/>
              </w:rPr>
              <w:t>-</w:t>
            </w:r>
          </w:p>
        </w:tc>
        <w:tc>
          <w:tcPr>
            <w:tcW w:w="483" w:type="pct"/>
            <w:vAlign w:val="center"/>
          </w:tcPr>
          <w:p w14:paraId="7EA1CAF6" w14:textId="758743EE" w:rsidR="00303875" w:rsidRPr="00303875" w:rsidRDefault="00303875" w:rsidP="00303875">
            <w:pPr>
              <w:jc w:val="right"/>
              <w:rPr>
                <w:i/>
                <w:iCs/>
              </w:rPr>
            </w:pPr>
            <w:r w:rsidRPr="00303875">
              <w:rPr>
                <w:i/>
                <w:iCs/>
              </w:rPr>
              <w:t>-</w:t>
            </w:r>
          </w:p>
        </w:tc>
        <w:tc>
          <w:tcPr>
            <w:tcW w:w="479" w:type="pct"/>
            <w:shd w:val="clear" w:color="auto" w:fill="C5E0B3" w:themeFill="accent6" w:themeFillTint="66"/>
            <w:vAlign w:val="center"/>
          </w:tcPr>
          <w:p w14:paraId="1FF4499D" w14:textId="516DB9F6" w:rsidR="00303875" w:rsidRPr="00303875" w:rsidRDefault="00303875" w:rsidP="00303875">
            <w:pPr>
              <w:jc w:val="right"/>
              <w:rPr>
                <w:i/>
                <w:iCs/>
              </w:rPr>
            </w:pPr>
            <w:r w:rsidRPr="00303875">
              <w:rPr>
                <w:i/>
                <w:iCs/>
              </w:rPr>
              <w:fldChar w:fldCharType="begin"/>
            </w:r>
            <w:r w:rsidRPr="00303875">
              <w:rPr>
                <w:i/>
                <w:iCs/>
              </w:rPr>
              <w:instrText xml:space="preserve"> =SUM(b20:f20) </w:instrText>
            </w:r>
            <w:r w:rsidRPr="00303875">
              <w:rPr>
                <w:i/>
                <w:iCs/>
              </w:rPr>
              <w:fldChar w:fldCharType="separate"/>
            </w:r>
            <w:r w:rsidRPr="00303875">
              <w:rPr>
                <w:i/>
                <w:iCs/>
                <w:noProof/>
              </w:rPr>
              <w:t>104</w:t>
            </w:r>
            <w:r w:rsidRPr="00303875">
              <w:rPr>
                <w:i/>
                <w:iCs/>
              </w:rPr>
              <w:fldChar w:fldCharType="end"/>
            </w:r>
          </w:p>
        </w:tc>
      </w:tr>
      <w:tr w:rsidR="00303875" w:rsidRPr="000127EF" w14:paraId="164FFC78" w14:textId="77777777" w:rsidTr="00C97136">
        <w:tc>
          <w:tcPr>
            <w:tcW w:w="1621" w:type="pct"/>
          </w:tcPr>
          <w:p w14:paraId="40558DBA" w14:textId="55CA1643" w:rsidR="00303875" w:rsidRPr="00303875" w:rsidRDefault="00303875" w:rsidP="00303875">
            <w:pPr>
              <w:rPr>
                <w:i/>
                <w:iCs/>
              </w:rPr>
            </w:pPr>
            <w:r w:rsidRPr="00303875">
              <w:rPr>
                <w:i/>
                <w:iCs/>
              </w:rPr>
              <w:t>De-recognition – Disposal</w:t>
            </w:r>
          </w:p>
        </w:tc>
        <w:tc>
          <w:tcPr>
            <w:tcW w:w="565" w:type="pct"/>
            <w:vAlign w:val="center"/>
          </w:tcPr>
          <w:p w14:paraId="2D2AEE84" w14:textId="4EF51E17" w:rsidR="00303875" w:rsidRPr="00303875" w:rsidRDefault="00303875" w:rsidP="00303875">
            <w:pPr>
              <w:jc w:val="right"/>
              <w:rPr>
                <w:i/>
                <w:iCs/>
              </w:rPr>
            </w:pPr>
            <w:r w:rsidRPr="00303875">
              <w:rPr>
                <w:i/>
                <w:iCs/>
              </w:rPr>
              <w:t>301</w:t>
            </w:r>
          </w:p>
        </w:tc>
        <w:tc>
          <w:tcPr>
            <w:tcW w:w="627" w:type="pct"/>
            <w:vAlign w:val="center"/>
          </w:tcPr>
          <w:p w14:paraId="630CFE8A" w14:textId="350A6102" w:rsidR="00303875" w:rsidRPr="00303875" w:rsidRDefault="00303875" w:rsidP="00303875">
            <w:pPr>
              <w:jc w:val="right"/>
              <w:rPr>
                <w:i/>
                <w:iCs/>
              </w:rPr>
            </w:pPr>
            <w:r w:rsidRPr="00303875">
              <w:rPr>
                <w:i/>
                <w:iCs/>
              </w:rPr>
              <w:t>-</w:t>
            </w:r>
          </w:p>
        </w:tc>
        <w:tc>
          <w:tcPr>
            <w:tcW w:w="492" w:type="pct"/>
            <w:vAlign w:val="center"/>
          </w:tcPr>
          <w:p w14:paraId="048DE401" w14:textId="0CA76D83" w:rsidR="00303875" w:rsidRPr="00303875" w:rsidRDefault="00303875" w:rsidP="00303875">
            <w:pPr>
              <w:jc w:val="right"/>
              <w:rPr>
                <w:i/>
                <w:iCs/>
              </w:rPr>
            </w:pPr>
            <w:r w:rsidRPr="00303875">
              <w:rPr>
                <w:i/>
                <w:iCs/>
              </w:rPr>
              <w:t>-</w:t>
            </w:r>
          </w:p>
        </w:tc>
        <w:tc>
          <w:tcPr>
            <w:tcW w:w="733" w:type="pct"/>
            <w:vAlign w:val="center"/>
          </w:tcPr>
          <w:p w14:paraId="5270B51B" w14:textId="20655355" w:rsidR="00303875" w:rsidRPr="00303875" w:rsidRDefault="00303875" w:rsidP="00303875">
            <w:pPr>
              <w:jc w:val="right"/>
              <w:rPr>
                <w:i/>
                <w:iCs/>
              </w:rPr>
            </w:pPr>
            <w:r w:rsidRPr="00303875">
              <w:rPr>
                <w:i/>
                <w:iCs/>
              </w:rPr>
              <w:t>-</w:t>
            </w:r>
          </w:p>
        </w:tc>
        <w:tc>
          <w:tcPr>
            <w:tcW w:w="483" w:type="pct"/>
            <w:vAlign w:val="center"/>
          </w:tcPr>
          <w:p w14:paraId="48E0B63C" w14:textId="68036ABE" w:rsidR="00303875" w:rsidRPr="00303875" w:rsidRDefault="00303875" w:rsidP="00303875">
            <w:pPr>
              <w:jc w:val="right"/>
              <w:rPr>
                <w:i/>
                <w:iCs/>
              </w:rPr>
            </w:pPr>
            <w:r w:rsidRPr="00303875">
              <w:rPr>
                <w:i/>
                <w:iCs/>
              </w:rPr>
              <w:t>-</w:t>
            </w:r>
          </w:p>
        </w:tc>
        <w:tc>
          <w:tcPr>
            <w:tcW w:w="479" w:type="pct"/>
            <w:shd w:val="clear" w:color="auto" w:fill="C5E0B3" w:themeFill="accent6" w:themeFillTint="66"/>
            <w:vAlign w:val="center"/>
          </w:tcPr>
          <w:p w14:paraId="6FBBE513" w14:textId="62D3E25E" w:rsidR="00303875" w:rsidRPr="00303875" w:rsidRDefault="00303875" w:rsidP="00303875">
            <w:pPr>
              <w:jc w:val="right"/>
              <w:rPr>
                <w:i/>
                <w:iCs/>
              </w:rPr>
            </w:pPr>
            <w:r w:rsidRPr="00303875">
              <w:rPr>
                <w:i/>
                <w:iCs/>
              </w:rPr>
              <w:fldChar w:fldCharType="begin"/>
            </w:r>
            <w:r w:rsidRPr="00303875">
              <w:rPr>
                <w:i/>
                <w:iCs/>
              </w:rPr>
              <w:instrText xml:space="preserve"> =SUM(b21:f21) </w:instrText>
            </w:r>
            <w:r w:rsidRPr="00303875">
              <w:rPr>
                <w:i/>
                <w:iCs/>
              </w:rPr>
              <w:fldChar w:fldCharType="separate"/>
            </w:r>
            <w:r w:rsidRPr="00303875">
              <w:rPr>
                <w:i/>
                <w:iCs/>
                <w:noProof/>
              </w:rPr>
              <w:t>301</w:t>
            </w:r>
            <w:r w:rsidRPr="00303875">
              <w:rPr>
                <w:i/>
                <w:iCs/>
              </w:rPr>
              <w:fldChar w:fldCharType="end"/>
            </w:r>
          </w:p>
        </w:tc>
      </w:tr>
      <w:tr w:rsidR="00303875" w:rsidRPr="000127EF" w14:paraId="46E7D59A" w14:textId="77777777" w:rsidTr="00C97136">
        <w:tc>
          <w:tcPr>
            <w:tcW w:w="1621" w:type="pct"/>
          </w:tcPr>
          <w:p w14:paraId="15955718" w14:textId="19D9A77F" w:rsidR="00303875" w:rsidRPr="000127EF" w:rsidRDefault="00303875" w:rsidP="00303875">
            <w:pPr>
              <w:rPr>
                <w:i/>
              </w:rPr>
            </w:pPr>
            <w:r w:rsidRPr="000127EF">
              <w:rPr>
                <w:b/>
              </w:rPr>
              <w:t>At 31 March 2019</w:t>
            </w:r>
          </w:p>
        </w:tc>
        <w:tc>
          <w:tcPr>
            <w:tcW w:w="565" w:type="pct"/>
            <w:vAlign w:val="center"/>
          </w:tcPr>
          <w:p w14:paraId="1D3B02D8" w14:textId="4176DCE1" w:rsidR="00303875" w:rsidRPr="000127EF" w:rsidRDefault="00303875" w:rsidP="00303875">
            <w:pPr>
              <w:jc w:val="right"/>
              <w:rPr>
                <w:i/>
              </w:rPr>
            </w:pPr>
            <w:r w:rsidRPr="000127EF">
              <w:rPr>
                <w:b/>
              </w:rPr>
              <w:fldChar w:fldCharType="begin"/>
            </w:r>
            <w:r w:rsidRPr="000127EF">
              <w:rPr>
                <w:b/>
              </w:rPr>
              <w:instrText xml:space="preserve"> =SUM(b14:b21) </w:instrText>
            </w:r>
            <w:r w:rsidRPr="000127EF">
              <w:rPr>
                <w:b/>
              </w:rPr>
              <w:fldChar w:fldCharType="separate"/>
            </w:r>
            <w:r w:rsidRPr="000127EF">
              <w:rPr>
                <w:b/>
                <w:noProof/>
              </w:rPr>
              <w:t>(731)</w:t>
            </w:r>
            <w:r w:rsidRPr="000127EF">
              <w:rPr>
                <w:b/>
              </w:rPr>
              <w:fldChar w:fldCharType="end"/>
            </w:r>
          </w:p>
        </w:tc>
        <w:tc>
          <w:tcPr>
            <w:tcW w:w="627" w:type="pct"/>
            <w:vAlign w:val="center"/>
          </w:tcPr>
          <w:p w14:paraId="7BE8EB1C" w14:textId="2E4FB414" w:rsidR="00303875" w:rsidRPr="000127EF" w:rsidRDefault="00303875" w:rsidP="00303875">
            <w:pPr>
              <w:jc w:val="right"/>
              <w:rPr>
                <w:i/>
              </w:rPr>
            </w:pPr>
            <w:r w:rsidRPr="000127EF">
              <w:rPr>
                <w:b/>
              </w:rPr>
              <w:fldChar w:fldCharType="begin"/>
            </w:r>
            <w:r w:rsidRPr="000127EF">
              <w:rPr>
                <w:b/>
              </w:rPr>
              <w:instrText xml:space="preserve"> =SUM(c14:c21) </w:instrText>
            </w:r>
            <w:r w:rsidRPr="000127EF">
              <w:rPr>
                <w:b/>
              </w:rPr>
              <w:fldChar w:fldCharType="separate"/>
            </w:r>
            <w:r w:rsidRPr="000127EF">
              <w:rPr>
                <w:b/>
                <w:noProof/>
              </w:rPr>
              <w:t>(1,791)</w:t>
            </w:r>
            <w:r w:rsidRPr="000127EF">
              <w:rPr>
                <w:b/>
              </w:rPr>
              <w:fldChar w:fldCharType="end"/>
            </w:r>
          </w:p>
        </w:tc>
        <w:tc>
          <w:tcPr>
            <w:tcW w:w="492" w:type="pct"/>
            <w:vAlign w:val="center"/>
          </w:tcPr>
          <w:p w14:paraId="31909ECA" w14:textId="48871D3E" w:rsidR="00303875" w:rsidRPr="000127EF" w:rsidRDefault="00303875" w:rsidP="00303875">
            <w:pPr>
              <w:jc w:val="right"/>
              <w:rPr>
                <w:i/>
              </w:rPr>
            </w:pPr>
            <w:r w:rsidRPr="000127EF">
              <w:rPr>
                <w:b/>
              </w:rPr>
              <w:fldChar w:fldCharType="begin"/>
            </w:r>
            <w:r w:rsidRPr="000127EF">
              <w:rPr>
                <w:b/>
              </w:rPr>
              <w:instrText xml:space="preserve"> =SUM(d14:d21) </w:instrText>
            </w:r>
            <w:r w:rsidRPr="000127EF">
              <w:rPr>
                <w:b/>
              </w:rPr>
              <w:fldChar w:fldCharType="separate"/>
            </w:r>
            <w:r w:rsidRPr="000127EF">
              <w:rPr>
                <w:b/>
                <w:noProof/>
              </w:rPr>
              <w:t>(12,675)</w:t>
            </w:r>
            <w:r w:rsidRPr="000127EF">
              <w:rPr>
                <w:b/>
              </w:rPr>
              <w:fldChar w:fldCharType="end"/>
            </w:r>
          </w:p>
        </w:tc>
        <w:tc>
          <w:tcPr>
            <w:tcW w:w="733" w:type="pct"/>
            <w:vAlign w:val="center"/>
          </w:tcPr>
          <w:p w14:paraId="14286A8D" w14:textId="10616172" w:rsidR="00303875" w:rsidRPr="000127EF" w:rsidRDefault="00303875" w:rsidP="00303875">
            <w:pPr>
              <w:jc w:val="right"/>
              <w:rPr>
                <w:i/>
              </w:rPr>
            </w:pPr>
            <w:r w:rsidRPr="000127EF">
              <w:rPr>
                <w:b/>
              </w:rPr>
              <w:t>-</w:t>
            </w:r>
          </w:p>
        </w:tc>
        <w:tc>
          <w:tcPr>
            <w:tcW w:w="483" w:type="pct"/>
            <w:vAlign w:val="center"/>
          </w:tcPr>
          <w:p w14:paraId="6D8C5B6B" w14:textId="7F8C7277" w:rsidR="00303875" w:rsidRPr="000127EF" w:rsidRDefault="00303875" w:rsidP="00303875">
            <w:pPr>
              <w:jc w:val="right"/>
              <w:rPr>
                <w:i/>
              </w:rPr>
            </w:pPr>
            <w:r w:rsidRPr="000127EF">
              <w:rPr>
                <w:b/>
              </w:rPr>
              <w:fldChar w:fldCharType="begin"/>
            </w:r>
            <w:r w:rsidRPr="000127EF">
              <w:rPr>
                <w:b/>
              </w:rPr>
              <w:instrText xml:space="preserve"> =SUM(f15:f23) </w:instrText>
            </w:r>
            <w:r w:rsidRPr="000127EF">
              <w:rPr>
                <w:b/>
              </w:rPr>
              <w:fldChar w:fldCharType="separate"/>
            </w:r>
            <w:r w:rsidRPr="000127EF">
              <w:rPr>
                <w:b/>
                <w:noProof/>
              </w:rPr>
              <w:t>(3)</w:t>
            </w:r>
            <w:r w:rsidRPr="000127EF">
              <w:rPr>
                <w:b/>
              </w:rPr>
              <w:fldChar w:fldCharType="end"/>
            </w:r>
          </w:p>
        </w:tc>
        <w:tc>
          <w:tcPr>
            <w:tcW w:w="479" w:type="pct"/>
            <w:shd w:val="clear" w:color="auto" w:fill="C5E0B3" w:themeFill="accent6" w:themeFillTint="66"/>
            <w:vAlign w:val="center"/>
          </w:tcPr>
          <w:p w14:paraId="3C9BFA8D" w14:textId="6E66B6AA" w:rsidR="00303875" w:rsidRPr="000127EF" w:rsidRDefault="00303875" w:rsidP="00303875">
            <w:pPr>
              <w:jc w:val="right"/>
              <w:rPr>
                <w:i/>
              </w:rPr>
            </w:pPr>
            <w:r w:rsidRPr="000127EF">
              <w:rPr>
                <w:b/>
              </w:rPr>
              <w:fldChar w:fldCharType="begin"/>
            </w:r>
            <w:r w:rsidRPr="000127EF">
              <w:rPr>
                <w:b/>
              </w:rPr>
              <w:instrText xml:space="preserve"> =SUM(b22:f22) </w:instrText>
            </w:r>
            <w:r w:rsidRPr="000127EF">
              <w:rPr>
                <w:b/>
              </w:rPr>
              <w:fldChar w:fldCharType="separate"/>
            </w:r>
            <w:r w:rsidRPr="000127EF">
              <w:rPr>
                <w:b/>
                <w:noProof/>
              </w:rPr>
              <w:t>(15,200)</w:t>
            </w:r>
            <w:r w:rsidRPr="000127EF">
              <w:rPr>
                <w:b/>
              </w:rPr>
              <w:fldChar w:fldCharType="end"/>
            </w:r>
          </w:p>
        </w:tc>
      </w:tr>
      <w:tr w:rsidR="00303875" w:rsidRPr="000127EF" w14:paraId="2EC97050" w14:textId="77777777" w:rsidTr="00C97136">
        <w:tc>
          <w:tcPr>
            <w:tcW w:w="1621" w:type="pct"/>
          </w:tcPr>
          <w:p w14:paraId="46FA61BE" w14:textId="757A8467" w:rsidR="00303875" w:rsidRPr="000127EF" w:rsidRDefault="00303875" w:rsidP="00303875">
            <w:pPr>
              <w:rPr>
                <w:i/>
              </w:rPr>
            </w:pPr>
          </w:p>
        </w:tc>
        <w:tc>
          <w:tcPr>
            <w:tcW w:w="565" w:type="pct"/>
            <w:vAlign w:val="center"/>
          </w:tcPr>
          <w:p w14:paraId="0E8485FA" w14:textId="78364BF1" w:rsidR="00303875" w:rsidRPr="000127EF" w:rsidRDefault="00303875" w:rsidP="00303875">
            <w:pPr>
              <w:jc w:val="right"/>
              <w:rPr>
                <w:i/>
              </w:rPr>
            </w:pPr>
          </w:p>
        </w:tc>
        <w:tc>
          <w:tcPr>
            <w:tcW w:w="627" w:type="pct"/>
            <w:vAlign w:val="center"/>
          </w:tcPr>
          <w:p w14:paraId="0D147408" w14:textId="560C4560" w:rsidR="00303875" w:rsidRPr="000127EF" w:rsidRDefault="00303875" w:rsidP="00303875">
            <w:pPr>
              <w:jc w:val="right"/>
              <w:rPr>
                <w:i/>
              </w:rPr>
            </w:pPr>
          </w:p>
        </w:tc>
        <w:tc>
          <w:tcPr>
            <w:tcW w:w="492" w:type="pct"/>
            <w:vAlign w:val="center"/>
          </w:tcPr>
          <w:p w14:paraId="64B410D3" w14:textId="2FCE5236" w:rsidR="00303875" w:rsidRPr="000127EF" w:rsidRDefault="00303875" w:rsidP="00303875">
            <w:pPr>
              <w:jc w:val="right"/>
              <w:rPr>
                <w:i/>
              </w:rPr>
            </w:pPr>
          </w:p>
        </w:tc>
        <w:tc>
          <w:tcPr>
            <w:tcW w:w="733" w:type="pct"/>
            <w:vAlign w:val="center"/>
          </w:tcPr>
          <w:p w14:paraId="6AF65826" w14:textId="1934AF65" w:rsidR="00303875" w:rsidRPr="000127EF" w:rsidRDefault="00303875" w:rsidP="00303875">
            <w:pPr>
              <w:jc w:val="right"/>
              <w:rPr>
                <w:i/>
              </w:rPr>
            </w:pPr>
          </w:p>
        </w:tc>
        <w:tc>
          <w:tcPr>
            <w:tcW w:w="483" w:type="pct"/>
            <w:vAlign w:val="center"/>
          </w:tcPr>
          <w:p w14:paraId="07A0A06C" w14:textId="15397E00" w:rsidR="00303875" w:rsidRPr="000127EF" w:rsidRDefault="00303875" w:rsidP="00303875">
            <w:pPr>
              <w:jc w:val="right"/>
              <w:rPr>
                <w:i/>
              </w:rPr>
            </w:pPr>
          </w:p>
        </w:tc>
        <w:tc>
          <w:tcPr>
            <w:tcW w:w="479" w:type="pct"/>
            <w:shd w:val="clear" w:color="auto" w:fill="C5E0B3" w:themeFill="accent6" w:themeFillTint="66"/>
            <w:vAlign w:val="center"/>
          </w:tcPr>
          <w:p w14:paraId="3836F107" w14:textId="59A38457" w:rsidR="00303875" w:rsidRPr="000127EF" w:rsidRDefault="00303875" w:rsidP="00303875">
            <w:pPr>
              <w:jc w:val="right"/>
              <w:rPr>
                <w:i/>
              </w:rPr>
            </w:pPr>
          </w:p>
        </w:tc>
      </w:tr>
      <w:tr w:rsidR="00303875" w:rsidRPr="000127EF" w14:paraId="20133263" w14:textId="77777777" w:rsidTr="00C97136">
        <w:tc>
          <w:tcPr>
            <w:tcW w:w="1621" w:type="pct"/>
          </w:tcPr>
          <w:p w14:paraId="00E66D94" w14:textId="61C5F9CF" w:rsidR="00303875" w:rsidRPr="000127EF" w:rsidRDefault="00303875" w:rsidP="00303875">
            <w:pPr>
              <w:rPr>
                <w:i/>
              </w:rPr>
            </w:pPr>
            <w:r w:rsidRPr="000127EF">
              <w:rPr>
                <w:b/>
              </w:rPr>
              <w:t>Net Book Value At 31 March 2019</w:t>
            </w:r>
          </w:p>
        </w:tc>
        <w:tc>
          <w:tcPr>
            <w:tcW w:w="565" w:type="pct"/>
            <w:vAlign w:val="center"/>
          </w:tcPr>
          <w:p w14:paraId="2306894E" w14:textId="320A4D8C" w:rsidR="00303875" w:rsidRPr="000127EF" w:rsidRDefault="00303875" w:rsidP="00303875">
            <w:pPr>
              <w:jc w:val="right"/>
              <w:rPr>
                <w:i/>
              </w:rPr>
            </w:pPr>
            <w:r w:rsidRPr="000127EF">
              <w:rPr>
                <w:b/>
              </w:rPr>
              <w:fldChar w:fldCharType="begin"/>
            </w:r>
            <w:r w:rsidRPr="000127EF">
              <w:rPr>
                <w:b/>
              </w:rPr>
              <w:instrText xml:space="preserve"> =b11+b21 </w:instrText>
            </w:r>
            <w:r w:rsidRPr="000127EF">
              <w:rPr>
                <w:b/>
              </w:rPr>
              <w:fldChar w:fldCharType="separate"/>
            </w:r>
            <w:r w:rsidRPr="000127EF">
              <w:rPr>
                <w:b/>
                <w:noProof/>
              </w:rPr>
              <w:t>32,049</w:t>
            </w:r>
            <w:r w:rsidRPr="000127EF">
              <w:rPr>
                <w:b/>
              </w:rPr>
              <w:fldChar w:fldCharType="end"/>
            </w:r>
          </w:p>
        </w:tc>
        <w:tc>
          <w:tcPr>
            <w:tcW w:w="627" w:type="pct"/>
            <w:vAlign w:val="center"/>
          </w:tcPr>
          <w:p w14:paraId="4CCE3434" w14:textId="513892F7" w:rsidR="00303875" w:rsidRPr="000127EF" w:rsidRDefault="00303875" w:rsidP="00303875">
            <w:pPr>
              <w:jc w:val="right"/>
              <w:rPr>
                <w:i/>
              </w:rPr>
            </w:pPr>
            <w:r w:rsidRPr="000127EF">
              <w:rPr>
                <w:b/>
              </w:rPr>
              <w:fldChar w:fldCharType="begin"/>
            </w:r>
            <w:r w:rsidRPr="000127EF">
              <w:rPr>
                <w:b/>
              </w:rPr>
              <w:instrText xml:space="preserve"> =c11+c21 </w:instrText>
            </w:r>
            <w:r w:rsidRPr="000127EF">
              <w:rPr>
                <w:b/>
              </w:rPr>
              <w:fldChar w:fldCharType="separate"/>
            </w:r>
            <w:r w:rsidRPr="000127EF">
              <w:rPr>
                <w:b/>
                <w:noProof/>
              </w:rPr>
              <w:t>410</w:t>
            </w:r>
            <w:r w:rsidRPr="000127EF">
              <w:rPr>
                <w:b/>
              </w:rPr>
              <w:fldChar w:fldCharType="end"/>
            </w:r>
          </w:p>
        </w:tc>
        <w:tc>
          <w:tcPr>
            <w:tcW w:w="492" w:type="pct"/>
            <w:vAlign w:val="center"/>
          </w:tcPr>
          <w:p w14:paraId="1DB57D15" w14:textId="599EC515" w:rsidR="00303875" w:rsidRPr="000127EF" w:rsidRDefault="00303875" w:rsidP="00303875">
            <w:pPr>
              <w:jc w:val="right"/>
              <w:rPr>
                <w:i/>
              </w:rPr>
            </w:pPr>
            <w:r w:rsidRPr="000127EF">
              <w:rPr>
                <w:b/>
              </w:rPr>
              <w:fldChar w:fldCharType="begin"/>
            </w:r>
            <w:r w:rsidRPr="000127EF">
              <w:rPr>
                <w:b/>
              </w:rPr>
              <w:instrText xml:space="preserve"> =d11+d21 </w:instrText>
            </w:r>
            <w:r w:rsidRPr="000127EF">
              <w:rPr>
                <w:b/>
              </w:rPr>
              <w:fldChar w:fldCharType="separate"/>
            </w:r>
            <w:r w:rsidRPr="000127EF">
              <w:rPr>
                <w:b/>
                <w:noProof/>
              </w:rPr>
              <w:t>36,595</w:t>
            </w:r>
            <w:r w:rsidRPr="000127EF">
              <w:rPr>
                <w:b/>
              </w:rPr>
              <w:fldChar w:fldCharType="end"/>
            </w:r>
          </w:p>
        </w:tc>
        <w:tc>
          <w:tcPr>
            <w:tcW w:w="733" w:type="pct"/>
            <w:vAlign w:val="center"/>
          </w:tcPr>
          <w:p w14:paraId="568C43AD" w14:textId="60860CE5" w:rsidR="00303875" w:rsidRPr="000127EF" w:rsidRDefault="00303875" w:rsidP="00303875">
            <w:pPr>
              <w:jc w:val="right"/>
              <w:rPr>
                <w:i/>
              </w:rPr>
            </w:pPr>
            <w:r w:rsidRPr="000127EF">
              <w:rPr>
                <w:b/>
              </w:rPr>
              <w:fldChar w:fldCharType="begin"/>
            </w:r>
            <w:r w:rsidRPr="000127EF">
              <w:rPr>
                <w:b/>
              </w:rPr>
              <w:instrText xml:space="preserve"> =e11+e21 </w:instrText>
            </w:r>
            <w:r w:rsidRPr="000127EF">
              <w:rPr>
                <w:b/>
              </w:rPr>
              <w:fldChar w:fldCharType="separate"/>
            </w:r>
            <w:r w:rsidRPr="000127EF">
              <w:rPr>
                <w:b/>
                <w:noProof/>
              </w:rPr>
              <w:t>578</w:t>
            </w:r>
            <w:r w:rsidRPr="000127EF">
              <w:rPr>
                <w:b/>
              </w:rPr>
              <w:fldChar w:fldCharType="end"/>
            </w:r>
          </w:p>
        </w:tc>
        <w:tc>
          <w:tcPr>
            <w:tcW w:w="483" w:type="pct"/>
            <w:vAlign w:val="center"/>
          </w:tcPr>
          <w:p w14:paraId="5E0D34C3" w14:textId="334BA5F0" w:rsidR="00303875" w:rsidRPr="000127EF" w:rsidRDefault="00303875" w:rsidP="00303875">
            <w:pPr>
              <w:jc w:val="right"/>
              <w:rPr>
                <w:i/>
              </w:rPr>
            </w:pPr>
            <w:r w:rsidRPr="000127EF">
              <w:rPr>
                <w:b/>
              </w:rPr>
              <w:fldChar w:fldCharType="begin"/>
            </w:r>
            <w:r w:rsidRPr="000127EF">
              <w:rPr>
                <w:b/>
              </w:rPr>
              <w:instrText xml:space="preserve"> =f11+f21 </w:instrText>
            </w:r>
            <w:r w:rsidRPr="000127EF">
              <w:rPr>
                <w:b/>
              </w:rPr>
              <w:fldChar w:fldCharType="separate"/>
            </w:r>
            <w:r w:rsidRPr="000127EF">
              <w:rPr>
                <w:b/>
                <w:noProof/>
              </w:rPr>
              <w:t>62</w:t>
            </w:r>
            <w:r w:rsidRPr="000127EF">
              <w:rPr>
                <w:b/>
              </w:rPr>
              <w:fldChar w:fldCharType="end"/>
            </w:r>
          </w:p>
        </w:tc>
        <w:tc>
          <w:tcPr>
            <w:tcW w:w="479" w:type="pct"/>
            <w:shd w:val="clear" w:color="auto" w:fill="C5E0B3" w:themeFill="accent6" w:themeFillTint="66"/>
            <w:vAlign w:val="center"/>
          </w:tcPr>
          <w:p w14:paraId="3BAE12C7" w14:textId="7190000B" w:rsidR="00303875" w:rsidRPr="000127EF" w:rsidRDefault="00303875" w:rsidP="00303875">
            <w:pPr>
              <w:jc w:val="right"/>
              <w:rPr>
                <w:i/>
              </w:rPr>
            </w:pPr>
            <w:r w:rsidRPr="000127EF">
              <w:rPr>
                <w:b/>
              </w:rPr>
              <w:fldChar w:fldCharType="begin"/>
            </w:r>
            <w:r w:rsidRPr="000127EF">
              <w:rPr>
                <w:b/>
              </w:rPr>
              <w:instrText xml:space="preserve"> =SUM(b23:f23) </w:instrText>
            </w:r>
            <w:r w:rsidRPr="000127EF">
              <w:rPr>
                <w:b/>
              </w:rPr>
              <w:fldChar w:fldCharType="separate"/>
            </w:r>
            <w:r w:rsidRPr="000127EF">
              <w:rPr>
                <w:b/>
                <w:noProof/>
              </w:rPr>
              <w:t>69,694</w:t>
            </w:r>
            <w:r w:rsidRPr="000127EF">
              <w:rPr>
                <w:b/>
              </w:rPr>
              <w:fldChar w:fldCharType="end"/>
            </w:r>
          </w:p>
        </w:tc>
      </w:tr>
      <w:tr w:rsidR="00303875" w:rsidRPr="000127EF" w14:paraId="7D7C7DC8" w14:textId="77777777" w:rsidTr="00C97136">
        <w:tc>
          <w:tcPr>
            <w:tcW w:w="1621" w:type="pct"/>
            <w:tcBorders>
              <w:bottom w:val="dashed" w:sz="4" w:space="0" w:color="A8D08D" w:themeColor="accent6" w:themeTint="99"/>
            </w:tcBorders>
          </w:tcPr>
          <w:p w14:paraId="1B80CE7E" w14:textId="3C5EA932" w:rsidR="00303875" w:rsidRPr="000127EF" w:rsidRDefault="00303875" w:rsidP="00303875">
            <w:pPr>
              <w:rPr>
                <w:i/>
              </w:rPr>
            </w:pPr>
          </w:p>
        </w:tc>
        <w:tc>
          <w:tcPr>
            <w:tcW w:w="565" w:type="pct"/>
            <w:tcBorders>
              <w:bottom w:val="dashed" w:sz="4" w:space="0" w:color="A8D08D" w:themeColor="accent6" w:themeTint="99"/>
            </w:tcBorders>
            <w:vAlign w:val="center"/>
          </w:tcPr>
          <w:p w14:paraId="377E7909" w14:textId="168DBF1B" w:rsidR="00303875" w:rsidRPr="000127EF" w:rsidRDefault="00303875" w:rsidP="00303875">
            <w:pPr>
              <w:jc w:val="right"/>
              <w:rPr>
                <w:b/>
                <w:i/>
              </w:rPr>
            </w:pPr>
          </w:p>
        </w:tc>
        <w:tc>
          <w:tcPr>
            <w:tcW w:w="627" w:type="pct"/>
            <w:tcBorders>
              <w:bottom w:val="dashed" w:sz="4" w:space="0" w:color="A8D08D" w:themeColor="accent6" w:themeTint="99"/>
            </w:tcBorders>
            <w:vAlign w:val="center"/>
          </w:tcPr>
          <w:p w14:paraId="09F63021" w14:textId="56E91D6A" w:rsidR="00303875" w:rsidRPr="000127EF" w:rsidRDefault="00303875" w:rsidP="00303875">
            <w:pPr>
              <w:jc w:val="right"/>
              <w:rPr>
                <w:b/>
                <w:i/>
              </w:rPr>
            </w:pPr>
          </w:p>
        </w:tc>
        <w:tc>
          <w:tcPr>
            <w:tcW w:w="492" w:type="pct"/>
            <w:tcBorders>
              <w:bottom w:val="dashed" w:sz="4" w:space="0" w:color="A8D08D" w:themeColor="accent6" w:themeTint="99"/>
            </w:tcBorders>
            <w:vAlign w:val="center"/>
          </w:tcPr>
          <w:p w14:paraId="44A11E02" w14:textId="481A4499" w:rsidR="00303875" w:rsidRPr="000127EF" w:rsidRDefault="00303875" w:rsidP="00303875">
            <w:pPr>
              <w:jc w:val="right"/>
              <w:rPr>
                <w:i/>
              </w:rPr>
            </w:pPr>
          </w:p>
        </w:tc>
        <w:tc>
          <w:tcPr>
            <w:tcW w:w="733" w:type="pct"/>
            <w:tcBorders>
              <w:bottom w:val="dashed" w:sz="4" w:space="0" w:color="A8D08D" w:themeColor="accent6" w:themeTint="99"/>
            </w:tcBorders>
            <w:vAlign w:val="center"/>
          </w:tcPr>
          <w:p w14:paraId="7408F928" w14:textId="32C67A4C" w:rsidR="00303875" w:rsidRPr="000127EF" w:rsidRDefault="00303875" w:rsidP="00303875">
            <w:pPr>
              <w:jc w:val="right"/>
              <w:rPr>
                <w:i/>
              </w:rPr>
            </w:pPr>
          </w:p>
        </w:tc>
        <w:tc>
          <w:tcPr>
            <w:tcW w:w="483" w:type="pct"/>
            <w:tcBorders>
              <w:bottom w:val="dashed" w:sz="4" w:space="0" w:color="A8D08D" w:themeColor="accent6" w:themeTint="99"/>
            </w:tcBorders>
            <w:vAlign w:val="center"/>
          </w:tcPr>
          <w:p w14:paraId="174B69D9" w14:textId="034E91DA" w:rsidR="00303875" w:rsidRPr="000127EF" w:rsidRDefault="00303875" w:rsidP="00303875">
            <w:pPr>
              <w:jc w:val="right"/>
              <w:rPr>
                <w:i/>
              </w:rPr>
            </w:pPr>
          </w:p>
        </w:tc>
        <w:tc>
          <w:tcPr>
            <w:tcW w:w="479" w:type="pct"/>
            <w:tcBorders>
              <w:bottom w:val="dashed" w:sz="4" w:space="0" w:color="A8D08D" w:themeColor="accent6" w:themeTint="99"/>
            </w:tcBorders>
            <w:shd w:val="clear" w:color="auto" w:fill="C5E0B3" w:themeFill="accent6" w:themeFillTint="66"/>
            <w:vAlign w:val="center"/>
          </w:tcPr>
          <w:p w14:paraId="4328561D" w14:textId="783DFC4F" w:rsidR="00303875" w:rsidRPr="000127EF" w:rsidRDefault="00303875" w:rsidP="00303875">
            <w:pPr>
              <w:jc w:val="right"/>
              <w:rPr>
                <w:i/>
              </w:rPr>
            </w:pPr>
          </w:p>
        </w:tc>
      </w:tr>
      <w:tr w:rsidR="00303875" w:rsidRPr="000127EF" w14:paraId="7F1A98DB" w14:textId="77777777" w:rsidTr="000E1C2E">
        <w:tc>
          <w:tcPr>
            <w:tcW w:w="1621" w:type="pct"/>
            <w:tcBorders>
              <w:top w:val="dashed" w:sz="4" w:space="0" w:color="A8D08D" w:themeColor="accent6" w:themeTint="99"/>
              <w:bottom w:val="nil"/>
            </w:tcBorders>
          </w:tcPr>
          <w:p w14:paraId="2BF26D66" w14:textId="7D0551AB" w:rsidR="00303875" w:rsidRPr="000127EF" w:rsidRDefault="00303875" w:rsidP="00303875">
            <w:pPr>
              <w:rPr>
                <w:b/>
                <w:i/>
              </w:rPr>
            </w:pPr>
            <w:r w:rsidRPr="000127EF">
              <w:t>At 1 April 2018</w:t>
            </w:r>
          </w:p>
        </w:tc>
        <w:tc>
          <w:tcPr>
            <w:tcW w:w="565" w:type="pct"/>
            <w:tcBorders>
              <w:top w:val="dashed" w:sz="4" w:space="0" w:color="A8D08D" w:themeColor="accent6" w:themeTint="99"/>
              <w:bottom w:val="nil"/>
            </w:tcBorders>
          </w:tcPr>
          <w:p w14:paraId="0E5BB2C1" w14:textId="501AFE56" w:rsidR="00303875" w:rsidRPr="000127EF" w:rsidRDefault="00303875" w:rsidP="00303875">
            <w:pPr>
              <w:jc w:val="right"/>
              <w:rPr>
                <w:b/>
                <w:i/>
              </w:rPr>
            </w:pPr>
            <w:r w:rsidRPr="000127EF">
              <w:t>34,664</w:t>
            </w:r>
          </w:p>
        </w:tc>
        <w:tc>
          <w:tcPr>
            <w:tcW w:w="627" w:type="pct"/>
            <w:tcBorders>
              <w:top w:val="dashed" w:sz="4" w:space="0" w:color="A8D08D" w:themeColor="accent6" w:themeTint="99"/>
              <w:bottom w:val="nil"/>
            </w:tcBorders>
          </w:tcPr>
          <w:p w14:paraId="6EE561A3" w14:textId="369C14C4" w:rsidR="00303875" w:rsidRPr="000127EF" w:rsidRDefault="00303875" w:rsidP="00303875">
            <w:pPr>
              <w:jc w:val="right"/>
              <w:rPr>
                <w:b/>
                <w:i/>
              </w:rPr>
            </w:pPr>
            <w:r w:rsidRPr="000127EF">
              <w:t>258</w:t>
            </w:r>
          </w:p>
        </w:tc>
        <w:tc>
          <w:tcPr>
            <w:tcW w:w="492" w:type="pct"/>
            <w:tcBorders>
              <w:top w:val="dashed" w:sz="4" w:space="0" w:color="A8D08D" w:themeColor="accent6" w:themeTint="99"/>
              <w:bottom w:val="nil"/>
            </w:tcBorders>
          </w:tcPr>
          <w:p w14:paraId="70DFAE03" w14:textId="1CD56FC8" w:rsidR="00303875" w:rsidRPr="000127EF" w:rsidRDefault="00303875" w:rsidP="00303875">
            <w:pPr>
              <w:jc w:val="right"/>
              <w:rPr>
                <w:b/>
                <w:i/>
              </w:rPr>
            </w:pPr>
            <w:r w:rsidRPr="000127EF">
              <w:t>35,505</w:t>
            </w:r>
          </w:p>
        </w:tc>
        <w:tc>
          <w:tcPr>
            <w:tcW w:w="733" w:type="pct"/>
            <w:tcBorders>
              <w:top w:val="dashed" w:sz="4" w:space="0" w:color="A8D08D" w:themeColor="accent6" w:themeTint="99"/>
              <w:bottom w:val="nil"/>
            </w:tcBorders>
          </w:tcPr>
          <w:p w14:paraId="50239669" w14:textId="432E178F" w:rsidR="00303875" w:rsidRPr="000127EF" w:rsidRDefault="00303875" w:rsidP="00303875">
            <w:pPr>
              <w:jc w:val="right"/>
              <w:rPr>
                <w:b/>
                <w:i/>
              </w:rPr>
            </w:pPr>
            <w:r w:rsidRPr="000127EF">
              <w:t>419</w:t>
            </w:r>
          </w:p>
        </w:tc>
        <w:tc>
          <w:tcPr>
            <w:tcW w:w="483" w:type="pct"/>
            <w:tcBorders>
              <w:top w:val="dashed" w:sz="4" w:space="0" w:color="A8D08D" w:themeColor="accent6" w:themeTint="99"/>
              <w:bottom w:val="nil"/>
            </w:tcBorders>
          </w:tcPr>
          <w:p w14:paraId="004E1496" w14:textId="5A4AA2DD" w:rsidR="00303875" w:rsidRPr="000127EF" w:rsidRDefault="00303875" w:rsidP="00303875">
            <w:pPr>
              <w:jc w:val="right"/>
              <w:rPr>
                <w:b/>
                <w:i/>
              </w:rPr>
            </w:pPr>
            <w:r w:rsidRPr="000127EF">
              <w:t>63</w:t>
            </w:r>
          </w:p>
        </w:tc>
        <w:tc>
          <w:tcPr>
            <w:tcW w:w="479" w:type="pct"/>
            <w:tcBorders>
              <w:top w:val="dashed" w:sz="4" w:space="0" w:color="A8D08D" w:themeColor="accent6" w:themeTint="99"/>
              <w:bottom w:val="nil"/>
            </w:tcBorders>
            <w:shd w:val="clear" w:color="auto" w:fill="C5E0B3" w:themeFill="accent6" w:themeFillTint="66"/>
            <w:vAlign w:val="center"/>
          </w:tcPr>
          <w:p w14:paraId="4E787B2F" w14:textId="7C56D0EC" w:rsidR="00303875" w:rsidRPr="000127EF" w:rsidRDefault="00303875" w:rsidP="00303875">
            <w:pPr>
              <w:jc w:val="right"/>
              <w:rPr>
                <w:b/>
                <w:i/>
              </w:rPr>
            </w:pPr>
            <w:r w:rsidRPr="000127EF">
              <w:fldChar w:fldCharType="begin"/>
            </w:r>
            <w:r w:rsidRPr="000127EF">
              <w:instrText xml:space="preserve"> =SUM(b26:f26) </w:instrText>
            </w:r>
            <w:r w:rsidRPr="000127EF">
              <w:fldChar w:fldCharType="separate"/>
            </w:r>
            <w:r w:rsidRPr="000127EF">
              <w:rPr>
                <w:noProof/>
              </w:rPr>
              <w:t>70,909</w:t>
            </w:r>
            <w:r w:rsidRPr="000127EF">
              <w:fldChar w:fldCharType="end"/>
            </w:r>
          </w:p>
        </w:tc>
      </w:tr>
      <w:tr w:rsidR="00303875" w:rsidRPr="000127EF" w14:paraId="209E2A7C" w14:textId="77777777" w:rsidTr="000E1C2E">
        <w:trPr>
          <w:trHeight w:val="103"/>
        </w:trPr>
        <w:tc>
          <w:tcPr>
            <w:tcW w:w="1621" w:type="pct"/>
            <w:tcBorders>
              <w:top w:val="nil"/>
              <w:bottom w:val="single" w:sz="18" w:space="0" w:color="A8D08D"/>
            </w:tcBorders>
            <w:vAlign w:val="center"/>
          </w:tcPr>
          <w:p w14:paraId="3A670F88" w14:textId="52E4BF2B" w:rsidR="00303875" w:rsidRPr="000127EF" w:rsidRDefault="00303875" w:rsidP="00303875">
            <w:pPr>
              <w:rPr>
                <w:i/>
                <w:sz w:val="6"/>
                <w:szCs w:val="6"/>
              </w:rPr>
            </w:pPr>
          </w:p>
        </w:tc>
        <w:tc>
          <w:tcPr>
            <w:tcW w:w="565" w:type="pct"/>
            <w:tcBorders>
              <w:top w:val="nil"/>
              <w:bottom w:val="single" w:sz="18" w:space="0" w:color="A8D08D"/>
            </w:tcBorders>
            <w:vAlign w:val="center"/>
          </w:tcPr>
          <w:p w14:paraId="1ECBA58E" w14:textId="42EE8157" w:rsidR="00303875" w:rsidRPr="000127EF" w:rsidRDefault="00303875" w:rsidP="00303875">
            <w:pPr>
              <w:jc w:val="right"/>
              <w:rPr>
                <w:i/>
                <w:sz w:val="6"/>
                <w:szCs w:val="6"/>
              </w:rPr>
            </w:pPr>
          </w:p>
        </w:tc>
        <w:tc>
          <w:tcPr>
            <w:tcW w:w="627" w:type="pct"/>
            <w:tcBorders>
              <w:top w:val="nil"/>
              <w:bottom w:val="single" w:sz="18" w:space="0" w:color="A8D08D"/>
            </w:tcBorders>
            <w:vAlign w:val="center"/>
          </w:tcPr>
          <w:p w14:paraId="059B0790" w14:textId="53216362" w:rsidR="00303875" w:rsidRPr="000127EF" w:rsidRDefault="00303875" w:rsidP="00303875">
            <w:pPr>
              <w:jc w:val="right"/>
              <w:rPr>
                <w:i/>
                <w:sz w:val="6"/>
                <w:szCs w:val="6"/>
              </w:rPr>
            </w:pPr>
          </w:p>
        </w:tc>
        <w:tc>
          <w:tcPr>
            <w:tcW w:w="492" w:type="pct"/>
            <w:tcBorders>
              <w:top w:val="nil"/>
              <w:bottom w:val="single" w:sz="18" w:space="0" w:color="A8D08D"/>
            </w:tcBorders>
            <w:vAlign w:val="center"/>
          </w:tcPr>
          <w:p w14:paraId="277DE406" w14:textId="796281FB" w:rsidR="00303875" w:rsidRPr="000127EF" w:rsidRDefault="00303875" w:rsidP="00303875">
            <w:pPr>
              <w:jc w:val="right"/>
              <w:rPr>
                <w:i/>
                <w:sz w:val="6"/>
                <w:szCs w:val="6"/>
              </w:rPr>
            </w:pPr>
          </w:p>
        </w:tc>
        <w:tc>
          <w:tcPr>
            <w:tcW w:w="733" w:type="pct"/>
            <w:tcBorders>
              <w:top w:val="nil"/>
              <w:bottom w:val="single" w:sz="18" w:space="0" w:color="A8D08D"/>
            </w:tcBorders>
            <w:vAlign w:val="center"/>
          </w:tcPr>
          <w:p w14:paraId="23A18350" w14:textId="4F368393" w:rsidR="00303875" w:rsidRPr="000127EF" w:rsidRDefault="00303875" w:rsidP="00303875">
            <w:pPr>
              <w:jc w:val="right"/>
              <w:rPr>
                <w:i/>
                <w:sz w:val="6"/>
                <w:szCs w:val="6"/>
              </w:rPr>
            </w:pPr>
          </w:p>
        </w:tc>
        <w:tc>
          <w:tcPr>
            <w:tcW w:w="483" w:type="pct"/>
            <w:tcBorders>
              <w:top w:val="nil"/>
              <w:bottom w:val="single" w:sz="18" w:space="0" w:color="A8D08D"/>
            </w:tcBorders>
            <w:vAlign w:val="center"/>
          </w:tcPr>
          <w:p w14:paraId="06375255" w14:textId="59CAAC08" w:rsidR="00303875" w:rsidRPr="000127EF" w:rsidRDefault="00303875" w:rsidP="00303875">
            <w:pPr>
              <w:jc w:val="right"/>
              <w:rPr>
                <w:i/>
                <w:sz w:val="6"/>
                <w:szCs w:val="6"/>
              </w:rPr>
            </w:pPr>
          </w:p>
        </w:tc>
        <w:tc>
          <w:tcPr>
            <w:tcW w:w="479" w:type="pct"/>
            <w:tcBorders>
              <w:top w:val="nil"/>
              <w:bottom w:val="single" w:sz="18" w:space="0" w:color="A8D08D"/>
            </w:tcBorders>
            <w:shd w:val="clear" w:color="auto" w:fill="C5E0B3" w:themeFill="accent6" w:themeFillTint="66"/>
            <w:vAlign w:val="center"/>
          </w:tcPr>
          <w:p w14:paraId="135E382F" w14:textId="08BD1B3D" w:rsidR="00303875" w:rsidRPr="000127EF" w:rsidRDefault="00303875" w:rsidP="00303875">
            <w:pPr>
              <w:jc w:val="right"/>
              <w:rPr>
                <w:i/>
                <w:sz w:val="6"/>
                <w:szCs w:val="6"/>
              </w:rPr>
            </w:pPr>
          </w:p>
        </w:tc>
      </w:tr>
    </w:tbl>
    <w:p w14:paraId="554BEA0D" w14:textId="77777777" w:rsidR="0059084B" w:rsidRPr="000127EF" w:rsidRDefault="00901C10" w:rsidP="0059084B">
      <w:pPr>
        <w:pStyle w:val="Heading1"/>
        <w:numPr>
          <w:ilvl w:val="0"/>
          <w:numId w:val="8"/>
        </w:numPr>
        <w:ind w:left="426"/>
        <w:rPr>
          <w:sz w:val="22"/>
          <w:szCs w:val="22"/>
        </w:rPr>
      </w:pPr>
      <w:r w:rsidRPr="000127EF">
        <w:rPr>
          <w:sz w:val="22"/>
          <w:szCs w:val="22"/>
        </w:rPr>
        <w:lastRenderedPageBreak/>
        <w:t>Revaluations</w:t>
      </w:r>
    </w:p>
    <w:p w14:paraId="5FCB26FF" w14:textId="094A270C" w:rsidR="001F0A41" w:rsidRPr="000127EF" w:rsidRDefault="00901C10" w:rsidP="00901C10">
      <w:pPr>
        <w:spacing w:after="120"/>
        <w:jc w:val="both"/>
      </w:pPr>
      <w:r w:rsidRPr="00220C18">
        <w:t>The authority carries out a rolling programme that ensures that all Property, Plant and Equipment required to be measured is revalued at least every five years on an appropriat</w:t>
      </w:r>
      <w:r w:rsidR="00220C18" w:rsidRPr="00220C18">
        <w:t>e basis.  All valuations in 2019/20</w:t>
      </w:r>
      <w:r w:rsidRPr="00220C18">
        <w:t xml:space="preserve"> have been carried out by Bruton Knowles in accordance with the methodologies and bases for estimation set out in the professional standards of the Royal Institution of Chartered Surveyors (RICS).</w:t>
      </w:r>
      <w:r w:rsidRPr="000127EF">
        <w:t xml:space="preserve">  </w:t>
      </w:r>
    </w:p>
    <w:p w14:paraId="5C5EDA19" w14:textId="0FA3E7EC" w:rsidR="00901C10" w:rsidRPr="000127EF" w:rsidRDefault="00901C10" w:rsidP="00901C10">
      <w:pPr>
        <w:spacing w:after="120"/>
        <w:jc w:val="both"/>
      </w:pPr>
      <w:r w:rsidRPr="000127EF">
        <w:t>Valuations of vehicles, plant and equipment are based on current prices where there is an active second-hand market or latest prices adjusted for the condition of the asset.</w:t>
      </w:r>
    </w:p>
    <w:tbl>
      <w:tblPr>
        <w:tblStyle w:val="TableGrid"/>
        <w:tblW w:w="8624" w:type="dxa"/>
        <w:jc w:val="center"/>
        <w:tbl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insideH w:val="none" w:sz="0" w:space="0" w:color="auto"/>
          <w:insideV w:val="none" w:sz="0" w:space="0" w:color="auto"/>
        </w:tblBorders>
        <w:tblLook w:val="04A0" w:firstRow="1" w:lastRow="0" w:firstColumn="1" w:lastColumn="0" w:noHBand="0" w:noVBand="1"/>
      </w:tblPr>
      <w:tblGrid>
        <w:gridCol w:w="3165"/>
        <w:gridCol w:w="2482"/>
        <w:gridCol w:w="1588"/>
        <w:gridCol w:w="1389"/>
      </w:tblGrid>
      <w:tr w:rsidR="00B062AD" w:rsidRPr="000127EF" w14:paraId="6BB11F51" w14:textId="77777777" w:rsidTr="007A79E7">
        <w:trPr>
          <w:jc w:val="center"/>
        </w:trPr>
        <w:tc>
          <w:tcPr>
            <w:tcW w:w="3165" w:type="dxa"/>
            <w:vAlign w:val="center"/>
          </w:tcPr>
          <w:p w14:paraId="692CDCF2" w14:textId="77777777" w:rsidR="00B062AD" w:rsidRPr="00C445C6" w:rsidRDefault="00B062AD" w:rsidP="007A79E7">
            <w:pPr>
              <w:rPr>
                <w:b/>
              </w:rPr>
            </w:pPr>
            <w:r w:rsidRPr="00C445C6">
              <w:rPr>
                <w:b/>
              </w:rPr>
              <w:t>Valued at fair value as at</w:t>
            </w:r>
          </w:p>
        </w:tc>
        <w:tc>
          <w:tcPr>
            <w:tcW w:w="2482" w:type="dxa"/>
          </w:tcPr>
          <w:p w14:paraId="79250DCC" w14:textId="77777777" w:rsidR="00B062AD" w:rsidRPr="00C445C6" w:rsidRDefault="00B062AD" w:rsidP="007A79E7">
            <w:pPr>
              <w:jc w:val="center"/>
              <w:rPr>
                <w:b/>
              </w:rPr>
            </w:pPr>
            <w:r w:rsidRPr="00C445C6">
              <w:rPr>
                <w:b/>
              </w:rPr>
              <w:t>Vehicles, Plant &amp; Equipment</w:t>
            </w:r>
          </w:p>
        </w:tc>
        <w:tc>
          <w:tcPr>
            <w:tcW w:w="1588" w:type="dxa"/>
            <w:vAlign w:val="center"/>
          </w:tcPr>
          <w:p w14:paraId="1D8F3BCE" w14:textId="77777777" w:rsidR="00B062AD" w:rsidRPr="00C445C6" w:rsidRDefault="00B062AD" w:rsidP="007A79E7">
            <w:pPr>
              <w:jc w:val="center"/>
              <w:rPr>
                <w:b/>
              </w:rPr>
            </w:pPr>
            <w:r w:rsidRPr="00C445C6">
              <w:rPr>
                <w:b/>
              </w:rPr>
              <w:t>Other Land &amp; Buildings</w:t>
            </w:r>
          </w:p>
        </w:tc>
        <w:tc>
          <w:tcPr>
            <w:tcW w:w="1389" w:type="dxa"/>
            <w:vAlign w:val="center"/>
          </w:tcPr>
          <w:p w14:paraId="1AF60882" w14:textId="77777777" w:rsidR="00B062AD" w:rsidRPr="00C445C6" w:rsidRDefault="00B062AD" w:rsidP="007A79E7">
            <w:pPr>
              <w:jc w:val="center"/>
              <w:rPr>
                <w:b/>
              </w:rPr>
            </w:pPr>
            <w:r w:rsidRPr="00C445C6">
              <w:rPr>
                <w:b/>
              </w:rPr>
              <w:t>Total</w:t>
            </w:r>
          </w:p>
        </w:tc>
      </w:tr>
      <w:tr w:rsidR="00B062AD" w:rsidRPr="000127EF" w14:paraId="488E882A" w14:textId="77777777" w:rsidTr="007A79E7">
        <w:trPr>
          <w:jc w:val="center"/>
        </w:trPr>
        <w:tc>
          <w:tcPr>
            <w:tcW w:w="3165" w:type="dxa"/>
            <w:vAlign w:val="center"/>
          </w:tcPr>
          <w:p w14:paraId="050B5A32" w14:textId="77777777" w:rsidR="00B062AD" w:rsidRPr="00C445C6" w:rsidRDefault="00B062AD" w:rsidP="007A79E7">
            <w:pPr>
              <w:jc w:val="right"/>
            </w:pPr>
          </w:p>
        </w:tc>
        <w:tc>
          <w:tcPr>
            <w:tcW w:w="2482" w:type="dxa"/>
          </w:tcPr>
          <w:p w14:paraId="1F8FD5B5" w14:textId="77777777" w:rsidR="00B062AD" w:rsidRPr="00C445C6" w:rsidRDefault="00B062AD" w:rsidP="007A79E7">
            <w:pPr>
              <w:jc w:val="right"/>
              <w:rPr>
                <w:b/>
              </w:rPr>
            </w:pPr>
            <w:r w:rsidRPr="00C445C6">
              <w:rPr>
                <w:b/>
              </w:rPr>
              <w:t>£000</w:t>
            </w:r>
          </w:p>
        </w:tc>
        <w:tc>
          <w:tcPr>
            <w:tcW w:w="1588" w:type="dxa"/>
            <w:vAlign w:val="center"/>
          </w:tcPr>
          <w:p w14:paraId="6C06344D" w14:textId="77777777" w:rsidR="00B062AD" w:rsidRPr="00C445C6" w:rsidRDefault="00B062AD" w:rsidP="007A79E7">
            <w:pPr>
              <w:jc w:val="right"/>
              <w:rPr>
                <w:b/>
              </w:rPr>
            </w:pPr>
            <w:r w:rsidRPr="00C445C6">
              <w:rPr>
                <w:b/>
              </w:rPr>
              <w:t>£000</w:t>
            </w:r>
          </w:p>
        </w:tc>
        <w:tc>
          <w:tcPr>
            <w:tcW w:w="1389" w:type="dxa"/>
            <w:shd w:val="clear" w:color="auto" w:fill="C5E0B3" w:themeFill="accent6" w:themeFillTint="66"/>
            <w:vAlign w:val="center"/>
          </w:tcPr>
          <w:p w14:paraId="45116CFA" w14:textId="77777777" w:rsidR="00B062AD" w:rsidRPr="00C445C6" w:rsidRDefault="00B062AD" w:rsidP="007A79E7">
            <w:pPr>
              <w:jc w:val="right"/>
              <w:rPr>
                <w:b/>
              </w:rPr>
            </w:pPr>
            <w:r w:rsidRPr="00C445C6">
              <w:rPr>
                <w:b/>
              </w:rPr>
              <w:t>£000</w:t>
            </w:r>
          </w:p>
        </w:tc>
      </w:tr>
      <w:tr w:rsidR="00B062AD" w:rsidRPr="000127EF" w14:paraId="44869B13" w14:textId="77777777" w:rsidTr="007A79E7">
        <w:trPr>
          <w:jc w:val="center"/>
        </w:trPr>
        <w:tc>
          <w:tcPr>
            <w:tcW w:w="3165" w:type="dxa"/>
            <w:vAlign w:val="center"/>
          </w:tcPr>
          <w:p w14:paraId="1F0A88D4" w14:textId="77777777" w:rsidR="00B062AD" w:rsidRPr="00C445C6" w:rsidRDefault="00B062AD" w:rsidP="007A79E7">
            <w:r w:rsidRPr="00C445C6">
              <w:t xml:space="preserve">Historical Cost </w:t>
            </w:r>
          </w:p>
        </w:tc>
        <w:tc>
          <w:tcPr>
            <w:tcW w:w="2482" w:type="dxa"/>
          </w:tcPr>
          <w:p w14:paraId="722FF11F" w14:textId="10EF5AA9" w:rsidR="00B062AD" w:rsidRPr="00C445C6" w:rsidRDefault="00287445" w:rsidP="007A79E7">
            <w:pPr>
              <w:jc w:val="right"/>
            </w:pPr>
            <w:r w:rsidRPr="00C445C6">
              <w:t>4</w:t>
            </w:r>
            <w:r w:rsidR="00C445C6" w:rsidRPr="00C445C6">
              <w:t>82</w:t>
            </w:r>
          </w:p>
        </w:tc>
        <w:tc>
          <w:tcPr>
            <w:tcW w:w="1588" w:type="dxa"/>
            <w:vAlign w:val="center"/>
          </w:tcPr>
          <w:p w14:paraId="344236BC" w14:textId="77777777" w:rsidR="00B062AD" w:rsidRPr="00C445C6" w:rsidRDefault="00B062AD" w:rsidP="007A79E7">
            <w:pPr>
              <w:jc w:val="right"/>
            </w:pPr>
            <w:r w:rsidRPr="00C445C6">
              <w:t>-</w:t>
            </w:r>
          </w:p>
        </w:tc>
        <w:tc>
          <w:tcPr>
            <w:tcW w:w="1389" w:type="dxa"/>
            <w:shd w:val="clear" w:color="auto" w:fill="C5E0B3" w:themeFill="accent6" w:themeFillTint="66"/>
            <w:vAlign w:val="center"/>
          </w:tcPr>
          <w:p w14:paraId="6B3AA987" w14:textId="14470A04" w:rsidR="00B062AD" w:rsidRPr="00C445C6" w:rsidRDefault="00C445C6" w:rsidP="007A79E7">
            <w:pPr>
              <w:jc w:val="right"/>
            </w:pPr>
            <w:r w:rsidRPr="00C445C6">
              <w:t>482</w:t>
            </w:r>
          </w:p>
        </w:tc>
      </w:tr>
      <w:tr w:rsidR="00C445C6" w:rsidRPr="000127EF" w14:paraId="10F18F28" w14:textId="77777777" w:rsidTr="007A79E7">
        <w:trPr>
          <w:jc w:val="center"/>
        </w:trPr>
        <w:tc>
          <w:tcPr>
            <w:tcW w:w="3165" w:type="dxa"/>
            <w:vAlign w:val="center"/>
          </w:tcPr>
          <w:p w14:paraId="39D9E571" w14:textId="3F3125E5" w:rsidR="00C445C6" w:rsidRPr="00C445C6" w:rsidRDefault="00C445C6" w:rsidP="00C445C6">
            <w:r w:rsidRPr="00C445C6">
              <w:t>At 1 April 2015</w:t>
            </w:r>
          </w:p>
        </w:tc>
        <w:tc>
          <w:tcPr>
            <w:tcW w:w="2482" w:type="dxa"/>
          </w:tcPr>
          <w:p w14:paraId="7743FAB6" w14:textId="5B87A219" w:rsidR="00C445C6" w:rsidRPr="00C445C6" w:rsidRDefault="00C445C6" w:rsidP="00C445C6">
            <w:pPr>
              <w:jc w:val="right"/>
            </w:pPr>
            <w:r w:rsidRPr="00C445C6">
              <w:t>-</w:t>
            </w:r>
          </w:p>
        </w:tc>
        <w:tc>
          <w:tcPr>
            <w:tcW w:w="1588" w:type="dxa"/>
            <w:vAlign w:val="center"/>
          </w:tcPr>
          <w:p w14:paraId="05F61015" w14:textId="68C131D4" w:rsidR="00C445C6" w:rsidRPr="00C445C6" w:rsidRDefault="00C445C6" w:rsidP="00C445C6">
            <w:pPr>
              <w:jc w:val="right"/>
            </w:pPr>
            <w:r w:rsidRPr="00C445C6">
              <w:t>460</w:t>
            </w:r>
          </w:p>
        </w:tc>
        <w:tc>
          <w:tcPr>
            <w:tcW w:w="1389" w:type="dxa"/>
            <w:shd w:val="clear" w:color="auto" w:fill="C5E0B3" w:themeFill="accent6" w:themeFillTint="66"/>
            <w:vAlign w:val="center"/>
          </w:tcPr>
          <w:p w14:paraId="4BD3A1C3" w14:textId="26B00B48" w:rsidR="00C445C6" w:rsidRPr="00C445C6" w:rsidRDefault="00C445C6" w:rsidP="00C445C6">
            <w:pPr>
              <w:jc w:val="right"/>
            </w:pPr>
            <w:r w:rsidRPr="00C445C6">
              <w:t>460</w:t>
            </w:r>
          </w:p>
        </w:tc>
      </w:tr>
      <w:tr w:rsidR="00C445C6" w:rsidRPr="000127EF" w14:paraId="3D5EDE0B" w14:textId="77777777" w:rsidTr="007A79E7">
        <w:trPr>
          <w:jc w:val="center"/>
        </w:trPr>
        <w:tc>
          <w:tcPr>
            <w:tcW w:w="3165" w:type="dxa"/>
            <w:vAlign w:val="center"/>
          </w:tcPr>
          <w:p w14:paraId="1EB439F6" w14:textId="47BBCDDC" w:rsidR="00C445C6" w:rsidRPr="00C445C6" w:rsidRDefault="00C445C6" w:rsidP="00C445C6">
            <w:r w:rsidRPr="00C445C6">
              <w:t>At 1 April 2016</w:t>
            </w:r>
          </w:p>
        </w:tc>
        <w:tc>
          <w:tcPr>
            <w:tcW w:w="2482" w:type="dxa"/>
          </w:tcPr>
          <w:p w14:paraId="032056EE" w14:textId="332931F2" w:rsidR="00C445C6" w:rsidRPr="00C445C6" w:rsidRDefault="00C445C6" w:rsidP="00C445C6">
            <w:pPr>
              <w:jc w:val="right"/>
            </w:pPr>
            <w:r w:rsidRPr="00C445C6">
              <w:t>-</w:t>
            </w:r>
          </w:p>
        </w:tc>
        <w:tc>
          <w:tcPr>
            <w:tcW w:w="1588" w:type="dxa"/>
            <w:vAlign w:val="center"/>
          </w:tcPr>
          <w:p w14:paraId="0AB3A3A8" w14:textId="4F56C7F2" w:rsidR="00C445C6" w:rsidRPr="00C445C6" w:rsidRDefault="00C445C6" w:rsidP="00C445C6">
            <w:pPr>
              <w:jc w:val="right"/>
            </w:pPr>
            <w:r w:rsidRPr="00C445C6">
              <w:t>2,825</w:t>
            </w:r>
          </w:p>
        </w:tc>
        <w:tc>
          <w:tcPr>
            <w:tcW w:w="1389" w:type="dxa"/>
            <w:shd w:val="clear" w:color="auto" w:fill="C5E0B3" w:themeFill="accent6" w:themeFillTint="66"/>
            <w:vAlign w:val="center"/>
          </w:tcPr>
          <w:p w14:paraId="289A2A8B" w14:textId="7FB52070" w:rsidR="00C445C6" w:rsidRPr="00C445C6" w:rsidRDefault="00C445C6" w:rsidP="00C445C6">
            <w:pPr>
              <w:jc w:val="right"/>
            </w:pPr>
            <w:r w:rsidRPr="00C445C6">
              <w:t>2,825</w:t>
            </w:r>
          </w:p>
        </w:tc>
      </w:tr>
      <w:tr w:rsidR="00C445C6" w:rsidRPr="000127EF" w14:paraId="0F2C320F" w14:textId="77777777" w:rsidTr="007A79E7">
        <w:trPr>
          <w:jc w:val="center"/>
        </w:trPr>
        <w:tc>
          <w:tcPr>
            <w:tcW w:w="3165" w:type="dxa"/>
            <w:vAlign w:val="center"/>
          </w:tcPr>
          <w:p w14:paraId="7B79287E" w14:textId="5B6F1DB5" w:rsidR="00C445C6" w:rsidRPr="00C445C6" w:rsidRDefault="00C445C6" w:rsidP="00C445C6">
            <w:r w:rsidRPr="00C445C6">
              <w:t>At 1 April 2017</w:t>
            </w:r>
          </w:p>
        </w:tc>
        <w:tc>
          <w:tcPr>
            <w:tcW w:w="2482" w:type="dxa"/>
          </w:tcPr>
          <w:p w14:paraId="72135FDC" w14:textId="5C7F7BD0" w:rsidR="00C445C6" w:rsidRPr="00C445C6" w:rsidRDefault="00C445C6" w:rsidP="00C445C6">
            <w:pPr>
              <w:jc w:val="right"/>
            </w:pPr>
            <w:r w:rsidRPr="00C445C6">
              <w:t>-</w:t>
            </w:r>
          </w:p>
        </w:tc>
        <w:tc>
          <w:tcPr>
            <w:tcW w:w="1588" w:type="dxa"/>
            <w:vAlign w:val="center"/>
          </w:tcPr>
          <w:p w14:paraId="6C515EF3" w14:textId="6D387114" w:rsidR="00C445C6" w:rsidRPr="00C445C6" w:rsidRDefault="00C445C6" w:rsidP="00C445C6">
            <w:pPr>
              <w:jc w:val="right"/>
            </w:pPr>
            <w:r w:rsidRPr="00C445C6">
              <w:t>7,690</w:t>
            </w:r>
          </w:p>
        </w:tc>
        <w:tc>
          <w:tcPr>
            <w:tcW w:w="1389" w:type="dxa"/>
            <w:shd w:val="clear" w:color="auto" w:fill="C5E0B3" w:themeFill="accent6" w:themeFillTint="66"/>
            <w:vAlign w:val="center"/>
          </w:tcPr>
          <w:p w14:paraId="08B47D01" w14:textId="3EA0A356" w:rsidR="00C445C6" w:rsidRPr="00C445C6" w:rsidRDefault="00C445C6" w:rsidP="00C445C6">
            <w:pPr>
              <w:jc w:val="right"/>
            </w:pPr>
            <w:r w:rsidRPr="00C445C6">
              <w:t>7,690</w:t>
            </w:r>
          </w:p>
        </w:tc>
      </w:tr>
      <w:tr w:rsidR="00C445C6" w:rsidRPr="000127EF" w14:paraId="16133A9F" w14:textId="77777777" w:rsidTr="007A79E7">
        <w:trPr>
          <w:jc w:val="center"/>
        </w:trPr>
        <w:tc>
          <w:tcPr>
            <w:tcW w:w="3165" w:type="dxa"/>
            <w:vAlign w:val="center"/>
          </w:tcPr>
          <w:p w14:paraId="2D8920BF" w14:textId="295D302F" w:rsidR="00C445C6" w:rsidRPr="00C445C6" w:rsidRDefault="00C445C6" w:rsidP="00C445C6">
            <w:r w:rsidRPr="00C445C6">
              <w:t>At 1 April 2018</w:t>
            </w:r>
          </w:p>
        </w:tc>
        <w:tc>
          <w:tcPr>
            <w:tcW w:w="2482" w:type="dxa"/>
            <w:tcBorders>
              <w:bottom w:val="nil"/>
            </w:tcBorders>
          </w:tcPr>
          <w:p w14:paraId="00BA1B2E" w14:textId="77393C17" w:rsidR="00C445C6" w:rsidRPr="00C445C6" w:rsidRDefault="00C445C6" w:rsidP="00C445C6">
            <w:pPr>
              <w:jc w:val="right"/>
            </w:pPr>
            <w:r w:rsidRPr="00C445C6">
              <w:t>-</w:t>
            </w:r>
          </w:p>
        </w:tc>
        <w:tc>
          <w:tcPr>
            <w:tcW w:w="1588" w:type="dxa"/>
            <w:tcBorders>
              <w:bottom w:val="nil"/>
            </w:tcBorders>
            <w:vAlign w:val="center"/>
          </w:tcPr>
          <w:p w14:paraId="7EB15460" w14:textId="2324B41D" w:rsidR="00C445C6" w:rsidRPr="00C445C6" w:rsidRDefault="00C445C6" w:rsidP="00C445C6">
            <w:pPr>
              <w:jc w:val="right"/>
            </w:pPr>
            <w:r w:rsidRPr="00C445C6">
              <w:t>13,770</w:t>
            </w:r>
          </w:p>
        </w:tc>
        <w:tc>
          <w:tcPr>
            <w:tcW w:w="1389" w:type="dxa"/>
            <w:tcBorders>
              <w:bottom w:val="nil"/>
            </w:tcBorders>
            <w:shd w:val="clear" w:color="auto" w:fill="C5E0B3" w:themeFill="accent6" w:themeFillTint="66"/>
            <w:vAlign w:val="center"/>
          </w:tcPr>
          <w:p w14:paraId="73FEEE92" w14:textId="270E39E1" w:rsidR="00C445C6" w:rsidRPr="00C445C6" w:rsidRDefault="00C445C6" w:rsidP="00C445C6">
            <w:pPr>
              <w:jc w:val="right"/>
            </w:pPr>
            <w:r w:rsidRPr="00C445C6">
              <w:t>13,770</w:t>
            </w:r>
          </w:p>
        </w:tc>
      </w:tr>
      <w:tr w:rsidR="00C445C6" w:rsidRPr="000127EF" w14:paraId="09824284" w14:textId="77777777" w:rsidTr="007A79E7">
        <w:trPr>
          <w:jc w:val="center"/>
        </w:trPr>
        <w:tc>
          <w:tcPr>
            <w:tcW w:w="3165" w:type="dxa"/>
            <w:vAlign w:val="center"/>
          </w:tcPr>
          <w:p w14:paraId="7ABCA8AB" w14:textId="19BFF42D" w:rsidR="00C445C6" w:rsidRPr="00C445C6" w:rsidRDefault="00C445C6" w:rsidP="00C445C6">
            <w:r w:rsidRPr="00C445C6">
              <w:t>At 1 April 2019</w:t>
            </w:r>
          </w:p>
        </w:tc>
        <w:tc>
          <w:tcPr>
            <w:tcW w:w="2482" w:type="dxa"/>
            <w:tcBorders>
              <w:top w:val="nil"/>
              <w:bottom w:val="single" w:sz="18" w:space="0" w:color="auto"/>
            </w:tcBorders>
          </w:tcPr>
          <w:p w14:paraId="329FB031" w14:textId="449570EF" w:rsidR="00C445C6" w:rsidRPr="00C445C6" w:rsidRDefault="00C445C6" w:rsidP="00C445C6">
            <w:pPr>
              <w:jc w:val="right"/>
            </w:pPr>
            <w:r w:rsidRPr="00C445C6">
              <w:t>-</w:t>
            </w:r>
          </w:p>
        </w:tc>
        <w:tc>
          <w:tcPr>
            <w:tcW w:w="1588" w:type="dxa"/>
            <w:tcBorders>
              <w:top w:val="nil"/>
              <w:bottom w:val="single" w:sz="18" w:space="0" w:color="auto"/>
            </w:tcBorders>
            <w:vAlign w:val="center"/>
          </w:tcPr>
          <w:p w14:paraId="33371C3F" w14:textId="6912DE65" w:rsidR="00C445C6" w:rsidRPr="00C445C6" w:rsidRDefault="00C445C6" w:rsidP="00C445C6">
            <w:pPr>
              <w:jc w:val="right"/>
            </w:pPr>
            <w:r w:rsidRPr="00C445C6">
              <w:t>8,672</w:t>
            </w:r>
          </w:p>
        </w:tc>
        <w:tc>
          <w:tcPr>
            <w:tcW w:w="1389" w:type="dxa"/>
            <w:tcBorders>
              <w:top w:val="nil"/>
              <w:bottom w:val="single" w:sz="18" w:space="0" w:color="auto"/>
            </w:tcBorders>
            <w:shd w:val="clear" w:color="auto" w:fill="C5E0B3" w:themeFill="accent6" w:themeFillTint="66"/>
            <w:vAlign w:val="center"/>
          </w:tcPr>
          <w:p w14:paraId="64436B8F" w14:textId="14B6DA3E" w:rsidR="00C445C6" w:rsidRPr="00C445C6" w:rsidRDefault="00C445C6" w:rsidP="00C445C6">
            <w:pPr>
              <w:jc w:val="right"/>
            </w:pPr>
            <w:r w:rsidRPr="00C445C6">
              <w:t>8,672</w:t>
            </w:r>
          </w:p>
        </w:tc>
      </w:tr>
      <w:tr w:rsidR="00C445C6" w:rsidRPr="000127EF" w14:paraId="0A6EE966" w14:textId="77777777" w:rsidTr="007A79E7">
        <w:trPr>
          <w:jc w:val="center"/>
        </w:trPr>
        <w:tc>
          <w:tcPr>
            <w:tcW w:w="3165" w:type="dxa"/>
            <w:vAlign w:val="center"/>
          </w:tcPr>
          <w:p w14:paraId="653E7534" w14:textId="77777777" w:rsidR="00C445C6" w:rsidRPr="00C445C6" w:rsidRDefault="00C445C6" w:rsidP="00C445C6">
            <w:pPr>
              <w:rPr>
                <w:b/>
              </w:rPr>
            </w:pPr>
            <w:r w:rsidRPr="00C445C6">
              <w:rPr>
                <w:b/>
              </w:rPr>
              <w:t>Total cost or valuation</w:t>
            </w:r>
          </w:p>
        </w:tc>
        <w:tc>
          <w:tcPr>
            <w:tcW w:w="2482" w:type="dxa"/>
            <w:tcBorders>
              <w:top w:val="single" w:sz="18" w:space="0" w:color="auto"/>
              <w:bottom w:val="single" w:sz="18" w:space="0" w:color="C5E0B3" w:themeColor="accent6" w:themeTint="66"/>
            </w:tcBorders>
          </w:tcPr>
          <w:p w14:paraId="28232F06" w14:textId="4D4373BD" w:rsidR="00C445C6" w:rsidRPr="00C445C6" w:rsidRDefault="00C445C6" w:rsidP="00C445C6">
            <w:pPr>
              <w:ind w:left="137" w:hanging="137"/>
              <w:jc w:val="right"/>
              <w:rPr>
                <w:b/>
              </w:rPr>
            </w:pPr>
            <w:r w:rsidRPr="00C445C6">
              <w:rPr>
                <w:b/>
              </w:rPr>
              <w:t>482</w:t>
            </w:r>
          </w:p>
        </w:tc>
        <w:tc>
          <w:tcPr>
            <w:tcW w:w="1588" w:type="dxa"/>
            <w:tcBorders>
              <w:top w:val="single" w:sz="18" w:space="0" w:color="auto"/>
              <w:bottom w:val="single" w:sz="18" w:space="0" w:color="C5E0B3" w:themeColor="accent6" w:themeTint="66"/>
            </w:tcBorders>
            <w:vAlign w:val="center"/>
          </w:tcPr>
          <w:p w14:paraId="68CFB891" w14:textId="14AEA90F" w:rsidR="00C445C6" w:rsidRPr="00C445C6" w:rsidRDefault="00C445C6" w:rsidP="00C445C6">
            <w:pPr>
              <w:jc w:val="right"/>
              <w:rPr>
                <w:b/>
              </w:rPr>
            </w:pPr>
            <w:r w:rsidRPr="00C445C6">
              <w:rPr>
                <w:b/>
              </w:rPr>
              <w:t>33,417</w:t>
            </w:r>
          </w:p>
        </w:tc>
        <w:tc>
          <w:tcPr>
            <w:tcW w:w="1389" w:type="dxa"/>
            <w:tcBorders>
              <w:top w:val="single" w:sz="18" w:space="0" w:color="auto"/>
              <w:bottom w:val="single" w:sz="18" w:space="0" w:color="C5E0B3" w:themeColor="accent6" w:themeTint="66"/>
            </w:tcBorders>
            <w:shd w:val="clear" w:color="auto" w:fill="C5E0B3" w:themeFill="accent6" w:themeFillTint="66"/>
            <w:vAlign w:val="center"/>
          </w:tcPr>
          <w:p w14:paraId="03E88625" w14:textId="6A32AFFE" w:rsidR="00C445C6" w:rsidRPr="00C445C6" w:rsidRDefault="001F3AF2" w:rsidP="00C445C6">
            <w:pPr>
              <w:jc w:val="right"/>
              <w:rPr>
                <w:b/>
              </w:rPr>
            </w:pPr>
            <w:r>
              <w:rPr>
                <w:b/>
              </w:rPr>
              <w:t>33,899</w:t>
            </w:r>
          </w:p>
        </w:tc>
      </w:tr>
    </w:tbl>
    <w:p w14:paraId="495342EA" w14:textId="77777777" w:rsidR="00C07324" w:rsidRPr="00206F12" w:rsidRDefault="00C07324" w:rsidP="00D162D1">
      <w:pPr>
        <w:pStyle w:val="Heading1"/>
        <w:numPr>
          <w:ilvl w:val="0"/>
          <w:numId w:val="8"/>
        </w:numPr>
        <w:ind w:left="426"/>
        <w:rPr>
          <w:sz w:val="22"/>
          <w:szCs w:val="22"/>
        </w:rPr>
      </w:pPr>
      <w:r w:rsidRPr="00206F12">
        <w:rPr>
          <w:sz w:val="22"/>
          <w:szCs w:val="22"/>
        </w:rPr>
        <w:t>Heritage Assets</w:t>
      </w:r>
    </w:p>
    <w:p w14:paraId="1A3AF46F" w14:textId="77777777" w:rsidR="00C07324" w:rsidRPr="00206F12" w:rsidRDefault="005B54DC" w:rsidP="00C07324">
      <w:pPr>
        <w:spacing w:after="120"/>
        <w:jc w:val="both"/>
      </w:pPr>
      <w:r w:rsidRPr="00206F12">
        <w:t xml:space="preserve">A </w:t>
      </w:r>
      <w:r w:rsidR="00C07324" w:rsidRPr="00206F12">
        <w:t xml:space="preserve">Heritage Asset </w:t>
      </w:r>
      <w:r w:rsidRPr="00206F12">
        <w:t>is</w:t>
      </w:r>
      <w:r w:rsidR="00C07324" w:rsidRPr="00206F12">
        <w:t xml:space="preserve"> defined as a tangible asset with historical, artistic, scientific, technological, geophysical or environmental qualities that is held and maintained principally for its contribution to knowledge and culture. In Rutland the County Museum and Oakham Castle and the exhibits fall within this definition. The Council’s policies for Heritage Assets are included within its Cultural Strategy and it complies with national acquisitions and disposals for accredited museums. Operational heritage assets (i.e. those that in addition to being held for their heritage characteristics are also used for other activities or provide other services) are accounted for as operational assets and valued in the same way as other assets of that type. Both the Castle and the Museum are operational heritage assets held by the Council and are included within the balance sheet at their depreciated replacement cost.</w:t>
      </w:r>
    </w:p>
    <w:p w14:paraId="62C00F9A" w14:textId="40B03EAE" w:rsidR="00C07324" w:rsidRDefault="00C07324" w:rsidP="00C07324">
      <w:pPr>
        <w:spacing w:after="120"/>
        <w:jc w:val="both"/>
      </w:pPr>
      <w:r w:rsidRPr="00206F12">
        <w:t xml:space="preserve">The museum and castle exhibits have </w:t>
      </w:r>
      <w:r w:rsidR="00CC1E99" w:rsidRPr="00206F12">
        <w:t>a total insured value of £1,21</w:t>
      </w:r>
      <w:r w:rsidRPr="00206F12">
        <w:t>0,000 but none of the items are valued individually and they are not included within fixed assets as the average value per item would be below the de minimis value of £10,000 that the council adopts for capital accounting purposes.</w:t>
      </w:r>
    </w:p>
    <w:p w14:paraId="615DB439" w14:textId="77777777" w:rsidR="00A974E3" w:rsidRDefault="00A974E3" w:rsidP="00C07324">
      <w:pPr>
        <w:spacing w:after="120"/>
        <w:jc w:val="both"/>
      </w:pPr>
    </w:p>
    <w:p w14:paraId="62D7D941" w14:textId="77777777" w:rsidR="00A974E3" w:rsidRDefault="00A974E3" w:rsidP="00C07324">
      <w:pPr>
        <w:spacing w:after="120"/>
        <w:jc w:val="both"/>
      </w:pPr>
    </w:p>
    <w:p w14:paraId="0DB677B2" w14:textId="77777777" w:rsidR="00A974E3" w:rsidRDefault="00A974E3" w:rsidP="00C07324">
      <w:pPr>
        <w:spacing w:after="120"/>
        <w:jc w:val="both"/>
      </w:pPr>
    </w:p>
    <w:p w14:paraId="2C1A9C6A" w14:textId="77777777" w:rsidR="00A974E3" w:rsidRDefault="00A974E3" w:rsidP="00C07324">
      <w:pPr>
        <w:spacing w:after="120"/>
        <w:jc w:val="both"/>
      </w:pPr>
    </w:p>
    <w:p w14:paraId="13EF638E" w14:textId="77777777" w:rsidR="00A974E3" w:rsidRDefault="00A974E3" w:rsidP="00C07324">
      <w:pPr>
        <w:spacing w:after="120"/>
        <w:jc w:val="both"/>
      </w:pPr>
    </w:p>
    <w:p w14:paraId="61CAF847" w14:textId="77777777" w:rsidR="00A974E3" w:rsidRDefault="00A974E3" w:rsidP="00C07324">
      <w:pPr>
        <w:spacing w:after="120"/>
        <w:jc w:val="both"/>
      </w:pPr>
    </w:p>
    <w:p w14:paraId="42A3B6C0" w14:textId="77777777" w:rsidR="00A974E3" w:rsidRDefault="00A974E3" w:rsidP="00C07324">
      <w:pPr>
        <w:spacing w:after="120"/>
        <w:jc w:val="both"/>
      </w:pPr>
    </w:p>
    <w:p w14:paraId="1DA6C05D" w14:textId="77777777" w:rsidR="00A974E3" w:rsidRDefault="00A974E3" w:rsidP="00C07324">
      <w:pPr>
        <w:spacing w:after="120"/>
        <w:jc w:val="both"/>
      </w:pPr>
    </w:p>
    <w:p w14:paraId="212E76BF" w14:textId="77777777" w:rsidR="00A974E3" w:rsidRDefault="00A974E3" w:rsidP="00C07324">
      <w:pPr>
        <w:spacing w:after="120"/>
        <w:jc w:val="both"/>
      </w:pPr>
    </w:p>
    <w:p w14:paraId="0E8E3164" w14:textId="77777777" w:rsidR="00A974E3" w:rsidRDefault="00A974E3" w:rsidP="00C07324">
      <w:pPr>
        <w:spacing w:after="120"/>
        <w:jc w:val="both"/>
      </w:pPr>
    </w:p>
    <w:p w14:paraId="00097F0E" w14:textId="77777777" w:rsidR="00A974E3" w:rsidRDefault="00A974E3" w:rsidP="00C07324">
      <w:pPr>
        <w:spacing w:after="120"/>
        <w:jc w:val="both"/>
      </w:pPr>
    </w:p>
    <w:p w14:paraId="075BF8A2" w14:textId="77777777" w:rsidR="00A974E3" w:rsidRPr="000127EF" w:rsidRDefault="00A974E3" w:rsidP="00C07324">
      <w:pPr>
        <w:spacing w:after="120"/>
        <w:jc w:val="both"/>
      </w:pPr>
    </w:p>
    <w:p w14:paraId="7D237982" w14:textId="77777777" w:rsidR="009E51A5" w:rsidRPr="000127EF" w:rsidRDefault="009E51A5" w:rsidP="00D162D1">
      <w:pPr>
        <w:pStyle w:val="Heading1"/>
        <w:numPr>
          <w:ilvl w:val="0"/>
          <w:numId w:val="8"/>
        </w:numPr>
        <w:ind w:left="426"/>
        <w:rPr>
          <w:sz w:val="22"/>
          <w:szCs w:val="22"/>
        </w:rPr>
      </w:pPr>
      <w:r w:rsidRPr="000127EF">
        <w:rPr>
          <w:sz w:val="22"/>
          <w:szCs w:val="22"/>
        </w:rPr>
        <w:lastRenderedPageBreak/>
        <w:t>Capital Expenditure &amp; Capital Financing</w:t>
      </w:r>
    </w:p>
    <w:p w14:paraId="54F96603" w14:textId="77777777" w:rsidR="009E51A5" w:rsidRPr="000127EF" w:rsidRDefault="009E51A5" w:rsidP="00C07324">
      <w:pPr>
        <w:spacing w:after="120"/>
        <w:jc w:val="both"/>
      </w:pPr>
      <w:r w:rsidRPr="000127EF">
        <w:t>The total amount of capital expenditure incurred in the year is shown in the table below together with the resources that have been used to finance it.  Where capital expenditure is to be financed in future years by charges to revenue as assets are used by the authority the expenditure results in an increase in the Capital Financing Requirement (CFR), a measure of the capital expenditure incurred historically by the authority that has yet to be financed.</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B062AD" w:rsidRPr="000127EF" w14:paraId="77E5581B" w14:textId="77777777" w:rsidTr="007A79E7">
        <w:trPr>
          <w:trHeight w:val="283"/>
          <w:jc w:val="center"/>
        </w:trPr>
        <w:tc>
          <w:tcPr>
            <w:tcW w:w="1454" w:type="dxa"/>
          </w:tcPr>
          <w:p w14:paraId="78CB3A6F" w14:textId="020D323B" w:rsidR="00B062AD" w:rsidRPr="000127EF" w:rsidRDefault="00096766" w:rsidP="007A79E7">
            <w:pPr>
              <w:jc w:val="center"/>
              <w:rPr>
                <w:b/>
                <w:i/>
              </w:rPr>
            </w:pPr>
            <w:r>
              <w:rPr>
                <w:b/>
                <w:i/>
              </w:rPr>
              <w:t>2018/19</w:t>
            </w:r>
          </w:p>
        </w:tc>
        <w:tc>
          <w:tcPr>
            <w:tcW w:w="5634" w:type="dxa"/>
            <w:vAlign w:val="center"/>
          </w:tcPr>
          <w:p w14:paraId="278DA7F1" w14:textId="77777777" w:rsidR="00B062AD" w:rsidRPr="000127EF" w:rsidRDefault="00B062AD" w:rsidP="007A79E7">
            <w:pPr>
              <w:jc w:val="center"/>
              <w:rPr>
                <w:b/>
              </w:rPr>
            </w:pPr>
            <w:r w:rsidRPr="000127EF">
              <w:rPr>
                <w:b/>
              </w:rPr>
              <w:t>Capital Financing Requirement</w:t>
            </w:r>
          </w:p>
        </w:tc>
        <w:tc>
          <w:tcPr>
            <w:tcW w:w="1534" w:type="dxa"/>
          </w:tcPr>
          <w:p w14:paraId="00708685" w14:textId="4C692475" w:rsidR="00B062AD" w:rsidRPr="00693219" w:rsidRDefault="00096766" w:rsidP="007A79E7">
            <w:pPr>
              <w:jc w:val="center"/>
              <w:rPr>
                <w:b/>
              </w:rPr>
            </w:pPr>
            <w:r w:rsidRPr="00693219">
              <w:rPr>
                <w:b/>
              </w:rPr>
              <w:t>2019/20</w:t>
            </w:r>
          </w:p>
        </w:tc>
      </w:tr>
      <w:tr w:rsidR="00B062AD" w:rsidRPr="000127EF" w14:paraId="50E49F70" w14:textId="77777777" w:rsidTr="007A79E7">
        <w:trPr>
          <w:jc w:val="center"/>
        </w:trPr>
        <w:tc>
          <w:tcPr>
            <w:tcW w:w="1454" w:type="dxa"/>
          </w:tcPr>
          <w:p w14:paraId="34720211" w14:textId="77777777" w:rsidR="00B062AD" w:rsidRPr="000127EF" w:rsidRDefault="00B062AD" w:rsidP="007A79E7">
            <w:pPr>
              <w:jc w:val="center"/>
              <w:rPr>
                <w:b/>
                <w:i/>
              </w:rPr>
            </w:pPr>
            <w:r w:rsidRPr="000127EF">
              <w:rPr>
                <w:b/>
                <w:i/>
              </w:rPr>
              <w:t>£000</w:t>
            </w:r>
          </w:p>
        </w:tc>
        <w:tc>
          <w:tcPr>
            <w:tcW w:w="5634" w:type="dxa"/>
          </w:tcPr>
          <w:p w14:paraId="14C607BE" w14:textId="77777777" w:rsidR="00B062AD" w:rsidRPr="000127EF" w:rsidRDefault="00B062AD" w:rsidP="007A79E7">
            <w:pPr>
              <w:jc w:val="center"/>
              <w:rPr>
                <w:b/>
              </w:rPr>
            </w:pPr>
          </w:p>
        </w:tc>
        <w:tc>
          <w:tcPr>
            <w:tcW w:w="1534" w:type="dxa"/>
            <w:shd w:val="clear" w:color="auto" w:fill="C5E0B3" w:themeFill="accent6" w:themeFillTint="66"/>
          </w:tcPr>
          <w:p w14:paraId="0C23B508" w14:textId="77777777" w:rsidR="00B062AD" w:rsidRPr="00693219" w:rsidRDefault="00B062AD" w:rsidP="007A79E7">
            <w:pPr>
              <w:jc w:val="center"/>
              <w:rPr>
                <w:b/>
              </w:rPr>
            </w:pPr>
            <w:r w:rsidRPr="00693219">
              <w:rPr>
                <w:b/>
              </w:rPr>
              <w:t>£000</w:t>
            </w:r>
          </w:p>
        </w:tc>
      </w:tr>
      <w:tr w:rsidR="00096766" w:rsidRPr="000127EF" w14:paraId="39031677" w14:textId="77777777" w:rsidTr="007A79E7">
        <w:trPr>
          <w:jc w:val="center"/>
        </w:trPr>
        <w:tc>
          <w:tcPr>
            <w:tcW w:w="1454" w:type="dxa"/>
          </w:tcPr>
          <w:p w14:paraId="6DC579FB" w14:textId="17BBF113" w:rsidR="00096766" w:rsidRPr="00096766" w:rsidRDefault="00096766" w:rsidP="00096766">
            <w:pPr>
              <w:jc w:val="right"/>
              <w:rPr>
                <w:i/>
              </w:rPr>
            </w:pPr>
            <w:r w:rsidRPr="00096766">
              <w:rPr>
                <w:i/>
              </w:rPr>
              <w:t>21,859</w:t>
            </w:r>
          </w:p>
        </w:tc>
        <w:tc>
          <w:tcPr>
            <w:tcW w:w="5634" w:type="dxa"/>
            <w:vAlign w:val="center"/>
          </w:tcPr>
          <w:p w14:paraId="4BE57A69" w14:textId="77777777" w:rsidR="00096766" w:rsidRPr="000127EF" w:rsidRDefault="00096766" w:rsidP="00096766">
            <w:pPr>
              <w:rPr>
                <w:rFonts w:cs="Arial"/>
                <w:szCs w:val="22"/>
                <w:lang w:val="en-US"/>
              </w:rPr>
            </w:pPr>
            <w:r w:rsidRPr="000127EF">
              <w:rPr>
                <w:rFonts w:cs="Arial"/>
                <w:szCs w:val="22"/>
                <w:lang w:val="en-US"/>
              </w:rPr>
              <w:t>Opening Capital Financing Requirement</w:t>
            </w:r>
          </w:p>
        </w:tc>
        <w:tc>
          <w:tcPr>
            <w:tcW w:w="1534" w:type="dxa"/>
            <w:shd w:val="clear" w:color="auto" w:fill="C5E0B3" w:themeFill="accent6" w:themeFillTint="66"/>
          </w:tcPr>
          <w:p w14:paraId="3D95DB19" w14:textId="7A6BC46E" w:rsidR="00096766" w:rsidRPr="00693219" w:rsidRDefault="00693219" w:rsidP="0006697C">
            <w:pPr>
              <w:jc w:val="right"/>
            </w:pPr>
            <w:r w:rsidRPr="00693219">
              <w:t>21,24</w:t>
            </w:r>
            <w:r w:rsidR="0006697C">
              <w:t>6</w:t>
            </w:r>
          </w:p>
        </w:tc>
      </w:tr>
      <w:tr w:rsidR="00096766" w:rsidRPr="000127EF" w14:paraId="7C13D577" w14:textId="77777777" w:rsidTr="007A79E7">
        <w:trPr>
          <w:jc w:val="center"/>
        </w:trPr>
        <w:tc>
          <w:tcPr>
            <w:tcW w:w="1454" w:type="dxa"/>
            <w:tcBorders>
              <w:bottom w:val="nil"/>
            </w:tcBorders>
          </w:tcPr>
          <w:p w14:paraId="4681988A" w14:textId="77777777" w:rsidR="00096766" w:rsidRPr="00096766" w:rsidRDefault="00096766" w:rsidP="00096766">
            <w:pPr>
              <w:jc w:val="right"/>
              <w:rPr>
                <w:b/>
                <w:i/>
              </w:rPr>
            </w:pPr>
          </w:p>
        </w:tc>
        <w:tc>
          <w:tcPr>
            <w:tcW w:w="5634" w:type="dxa"/>
            <w:tcBorders>
              <w:bottom w:val="nil"/>
            </w:tcBorders>
          </w:tcPr>
          <w:p w14:paraId="74C5C0A5" w14:textId="77777777" w:rsidR="00096766" w:rsidRPr="000127EF" w:rsidRDefault="00096766" w:rsidP="00096766">
            <w:pPr>
              <w:rPr>
                <w:rFonts w:cs="Arial"/>
                <w:b/>
                <w:szCs w:val="22"/>
                <w:lang w:val="en-US"/>
              </w:rPr>
            </w:pPr>
            <w:r w:rsidRPr="000127EF">
              <w:rPr>
                <w:rFonts w:cs="Arial"/>
                <w:b/>
                <w:szCs w:val="22"/>
                <w:lang w:val="en-US"/>
              </w:rPr>
              <w:t>Capital Investment</w:t>
            </w:r>
          </w:p>
        </w:tc>
        <w:tc>
          <w:tcPr>
            <w:tcW w:w="1534" w:type="dxa"/>
            <w:tcBorders>
              <w:bottom w:val="nil"/>
            </w:tcBorders>
            <w:shd w:val="clear" w:color="auto" w:fill="C5E0B3" w:themeFill="accent6" w:themeFillTint="66"/>
          </w:tcPr>
          <w:p w14:paraId="617C63F7" w14:textId="77777777" w:rsidR="00096766" w:rsidRPr="00693219" w:rsidRDefault="00096766" w:rsidP="00096766">
            <w:pPr>
              <w:jc w:val="right"/>
              <w:rPr>
                <w:b/>
              </w:rPr>
            </w:pPr>
          </w:p>
        </w:tc>
      </w:tr>
      <w:tr w:rsidR="00096766" w:rsidRPr="000127EF" w14:paraId="54F8B62A" w14:textId="77777777" w:rsidTr="007A79E7">
        <w:trPr>
          <w:jc w:val="center"/>
        </w:trPr>
        <w:tc>
          <w:tcPr>
            <w:tcW w:w="1454" w:type="dxa"/>
            <w:tcBorders>
              <w:bottom w:val="nil"/>
            </w:tcBorders>
          </w:tcPr>
          <w:p w14:paraId="70377938" w14:textId="77777777" w:rsidR="00096766" w:rsidRPr="00096766" w:rsidRDefault="00096766" w:rsidP="00096766">
            <w:pPr>
              <w:jc w:val="right"/>
              <w:rPr>
                <w:i/>
              </w:rPr>
            </w:pPr>
            <w:r w:rsidRPr="00096766">
              <w:rPr>
                <w:i/>
              </w:rPr>
              <w:t>3,273</w:t>
            </w:r>
          </w:p>
          <w:p w14:paraId="03913459" w14:textId="1B324EE9" w:rsidR="00096766" w:rsidRPr="00096766" w:rsidRDefault="00096766" w:rsidP="00096766">
            <w:pPr>
              <w:jc w:val="right"/>
              <w:rPr>
                <w:i/>
              </w:rPr>
            </w:pPr>
            <w:r w:rsidRPr="00096766">
              <w:rPr>
                <w:i/>
              </w:rPr>
              <w:t>14</w:t>
            </w:r>
          </w:p>
        </w:tc>
        <w:tc>
          <w:tcPr>
            <w:tcW w:w="5634" w:type="dxa"/>
            <w:tcBorders>
              <w:bottom w:val="nil"/>
            </w:tcBorders>
          </w:tcPr>
          <w:p w14:paraId="7491F4A0" w14:textId="77777777" w:rsidR="00096766" w:rsidRPr="000127EF" w:rsidRDefault="00096766" w:rsidP="00096766">
            <w:pPr>
              <w:rPr>
                <w:rFonts w:cs="Arial"/>
                <w:szCs w:val="22"/>
                <w:lang w:val="en-US"/>
              </w:rPr>
            </w:pPr>
            <w:r w:rsidRPr="000127EF">
              <w:rPr>
                <w:rFonts w:cs="Arial"/>
                <w:szCs w:val="22"/>
                <w:lang w:val="en-US"/>
              </w:rPr>
              <w:t>Property Plant &amp; Equipment</w:t>
            </w:r>
          </w:p>
          <w:p w14:paraId="1E62841B" w14:textId="77777777" w:rsidR="00096766" w:rsidRPr="000127EF" w:rsidRDefault="00096766" w:rsidP="00096766">
            <w:pPr>
              <w:rPr>
                <w:rFonts w:cs="Arial"/>
                <w:szCs w:val="22"/>
                <w:lang w:val="en-US"/>
              </w:rPr>
            </w:pPr>
            <w:r w:rsidRPr="000127EF">
              <w:rPr>
                <w:rFonts w:cs="Arial"/>
                <w:szCs w:val="22"/>
                <w:lang w:val="en-US"/>
              </w:rPr>
              <w:t>Intangible</w:t>
            </w:r>
          </w:p>
        </w:tc>
        <w:tc>
          <w:tcPr>
            <w:tcW w:w="1534" w:type="dxa"/>
            <w:tcBorders>
              <w:bottom w:val="nil"/>
            </w:tcBorders>
            <w:shd w:val="clear" w:color="auto" w:fill="C5E0B3" w:themeFill="accent6" w:themeFillTint="66"/>
          </w:tcPr>
          <w:p w14:paraId="692CCB85" w14:textId="77777777" w:rsidR="00096766" w:rsidRPr="00693219" w:rsidRDefault="00693219" w:rsidP="00096766">
            <w:pPr>
              <w:jc w:val="right"/>
            </w:pPr>
            <w:r w:rsidRPr="00693219">
              <w:t>3,258</w:t>
            </w:r>
          </w:p>
          <w:p w14:paraId="0090FAF8" w14:textId="71875ABD" w:rsidR="00693219" w:rsidRPr="00693219" w:rsidRDefault="00693219" w:rsidP="00693219">
            <w:pPr>
              <w:jc w:val="right"/>
            </w:pPr>
            <w:r w:rsidRPr="00693219">
              <w:t>41</w:t>
            </w:r>
          </w:p>
        </w:tc>
      </w:tr>
      <w:tr w:rsidR="00096766" w:rsidRPr="000127EF" w14:paraId="5ADF928D" w14:textId="77777777" w:rsidTr="007A79E7">
        <w:trPr>
          <w:jc w:val="center"/>
        </w:trPr>
        <w:tc>
          <w:tcPr>
            <w:tcW w:w="1454" w:type="dxa"/>
            <w:tcBorders>
              <w:bottom w:val="nil"/>
            </w:tcBorders>
          </w:tcPr>
          <w:p w14:paraId="7409F3F8" w14:textId="77777777" w:rsidR="00096766" w:rsidRPr="00096766" w:rsidRDefault="00096766" w:rsidP="00096766">
            <w:pPr>
              <w:jc w:val="right"/>
              <w:rPr>
                <w:i/>
              </w:rPr>
            </w:pPr>
            <w:r w:rsidRPr="00096766">
              <w:rPr>
                <w:i/>
              </w:rPr>
              <w:t>1,193</w:t>
            </w:r>
          </w:p>
          <w:p w14:paraId="66D7A259" w14:textId="77777777" w:rsidR="00096766" w:rsidRPr="00096766" w:rsidRDefault="00096766" w:rsidP="00096766">
            <w:pPr>
              <w:jc w:val="center"/>
              <w:rPr>
                <w:i/>
              </w:rPr>
            </w:pPr>
          </w:p>
        </w:tc>
        <w:tc>
          <w:tcPr>
            <w:tcW w:w="5634" w:type="dxa"/>
            <w:tcBorders>
              <w:bottom w:val="nil"/>
            </w:tcBorders>
          </w:tcPr>
          <w:p w14:paraId="797C1781" w14:textId="77777777" w:rsidR="00096766" w:rsidRPr="000127EF" w:rsidRDefault="00096766" w:rsidP="00096766">
            <w:pPr>
              <w:rPr>
                <w:rFonts w:cs="Arial"/>
                <w:szCs w:val="22"/>
                <w:lang w:val="en-US"/>
              </w:rPr>
            </w:pPr>
            <w:r w:rsidRPr="000127EF">
              <w:rPr>
                <w:rFonts w:cs="Arial"/>
                <w:szCs w:val="22"/>
                <w:lang w:val="en-US"/>
              </w:rPr>
              <w:t>Revenue expenditure funded from capital under statute (REFCUS)</w:t>
            </w:r>
          </w:p>
        </w:tc>
        <w:tc>
          <w:tcPr>
            <w:tcW w:w="1534" w:type="dxa"/>
            <w:tcBorders>
              <w:bottom w:val="nil"/>
            </w:tcBorders>
            <w:shd w:val="clear" w:color="auto" w:fill="C5E0B3" w:themeFill="accent6" w:themeFillTint="66"/>
          </w:tcPr>
          <w:p w14:paraId="6B84A5F5" w14:textId="6A4CB361" w:rsidR="00096766" w:rsidRPr="00693219" w:rsidRDefault="00693219" w:rsidP="00693219">
            <w:pPr>
              <w:jc w:val="right"/>
            </w:pPr>
            <w:r w:rsidRPr="00693219">
              <w:t>776</w:t>
            </w:r>
          </w:p>
        </w:tc>
      </w:tr>
      <w:tr w:rsidR="00096766" w:rsidRPr="000127EF" w14:paraId="71BF73BB" w14:textId="77777777" w:rsidTr="007A79E7">
        <w:trPr>
          <w:jc w:val="center"/>
        </w:trPr>
        <w:tc>
          <w:tcPr>
            <w:tcW w:w="1454" w:type="dxa"/>
            <w:tcBorders>
              <w:bottom w:val="nil"/>
            </w:tcBorders>
          </w:tcPr>
          <w:p w14:paraId="4E061073" w14:textId="2C74486F" w:rsidR="00096766" w:rsidRPr="00096766" w:rsidRDefault="00096766" w:rsidP="00096766">
            <w:pPr>
              <w:jc w:val="right"/>
              <w:rPr>
                <w:i/>
              </w:rPr>
            </w:pPr>
            <w:r w:rsidRPr="00096766">
              <w:rPr>
                <w:i/>
              </w:rPr>
              <w:t>-</w:t>
            </w:r>
          </w:p>
        </w:tc>
        <w:tc>
          <w:tcPr>
            <w:tcW w:w="5634" w:type="dxa"/>
            <w:tcBorders>
              <w:bottom w:val="nil"/>
            </w:tcBorders>
          </w:tcPr>
          <w:p w14:paraId="59B1F4D3" w14:textId="77777777" w:rsidR="00096766" w:rsidRPr="000127EF" w:rsidRDefault="00096766" w:rsidP="00096766">
            <w:pPr>
              <w:rPr>
                <w:rFonts w:cs="Arial"/>
                <w:szCs w:val="22"/>
                <w:lang w:val="en-US"/>
              </w:rPr>
            </w:pPr>
            <w:r w:rsidRPr="000127EF">
              <w:rPr>
                <w:rFonts w:cs="Arial"/>
                <w:szCs w:val="22"/>
                <w:lang w:val="en-US"/>
              </w:rPr>
              <w:t>Long Term Debtor</w:t>
            </w:r>
          </w:p>
        </w:tc>
        <w:tc>
          <w:tcPr>
            <w:tcW w:w="1534" w:type="dxa"/>
            <w:tcBorders>
              <w:bottom w:val="nil"/>
            </w:tcBorders>
            <w:shd w:val="clear" w:color="auto" w:fill="C5E0B3" w:themeFill="accent6" w:themeFillTint="66"/>
          </w:tcPr>
          <w:p w14:paraId="1B0A35D2" w14:textId="623DEF89" w:rsidR="00096766" w:rsidRPr="00693219" w:rsidRDefault="00096766" w:rsidP="00096766">
            <w:pPr>
              <w:jc w:val="right"/>
            </w:pPr>
          </w:p>
        </w:tc>
      </w:tr>
      <w:tr w:rsidR="00096766" w:rsidRPr="000127EF" w14:paraId="33939DED" w14:textId="77777777" w:rsidTr="007A79E7">
        <w:trPr>
          <w:jc w:val="center"/>
        </w:trPr>
        <w:tc>
          <w:tcPr>
            <w:tcW w:w="1454" w:type="dxa"/>
            <w:tcBorders>
              <w:bottom w:val="nil"/>
            </w:tcBorders>
          </w:tcPr>
          <w:p w14:paraId="58C7C0D9" w14:textId="77777777" w:rsidR="00096766" w:rsidRPr="00096766" w:rsidRDefault="00096766" w:rsidP="00096766">
            <w:pPr>
              <w:jc w:val="center"/>
              <w:rPr>
                <w:i/>
              </w:rPr>
            </w:pPr>
          </w:p>
        </w:tc>
        <w:tc>
          <w:tcPr>
            <w:tcW w:w="5634" w:type="dxa"/>
            <w:tcBorders>
              <w:bottom w:val="nil"/>
            </w:tcBorders>
          </w:tcPr>
          <w:p w14:paraId="023E1EAD" w14:textId="77777777" w:rsidR="00096766" w:rsidRPr="000127EF" w:rsidRDefault="00096766" w:rsidP="00096766">
            <w:pPr>
              <w:rPr>
                <w:rFonts w:cs="Arial"/>
                <w:b/>
                <w:szCs w:val="22"/>
                <w:lang w:val="en-US"/>
              </w:rPr>
            </w:pPr>
            <w:r w:rsidRPr="000127EF">
              <w:rPr>
                <w:rFonts w:cs="Arial"/>
                <w:b/>
                <w:szCs w:val="22"/>
                <w:lang w:val="en-US"/>
              </w:rPr>
              <w:t>Sources of Finance</w:t>
            </w:r>
          </w:p>
        </w:tc>
        <w:tc>
          <w:tcPr>
            <w:tcW w:w="1534" w:type="dxa"/>
            <w:tcBorders>
              <w:bottom w:val="nil"/>
            </w:tcBorders>
            <w:shd w:val="clear" w:color="auto" w:fill="C5E0B3" w:themeFill="accent6" w:themeFillTint="66"/>
          </w:tcPr>
          <w:p w14:paraId="242B7E29" w14:textId="77777777" w:rsidR="00096766" w:rsidRPr="00693219" w:rsidRDefault="00096766" w:rsidP="00096766">
            <w:pPr>
              <w:jc w:val="center"/>
            </w:pPr>
          </w:p>
        </w:tc>
      </w:tr>
      <w:tr w:rsidR="00096766" w:rsidRPr="000127EF" w14:paraId="50AFF54B" w14:textId="77777777" w:rsidTr="007A79E7">
        <w:trPr>
          <w:jc w:val="center"/>
        </w:trPr>
        <w:tc>
          <w:tcPr>
            <w:tcW w:w="1454" w:type="dxa"/>
            <w:tcBorders>
              <w:bottom w:val="nil"/>
            </w:tcBorders>
          </w:tcPr>
          <w:p w14:paraId="411E4BF6" w14:textId="4BCB6645" w:rsidR="00096766" w:rsidRPr="00096766" w:rsidRDefault="00096766" w:rsidP="00096766">
            <w:pPr>
              <w:jc w:val="right"/>
              <w:rPr>
                <w:i/>
              </w:rPr>
            </w:pPr>
            <w:r w:rsidRPr="00096766">
              <w:rPr>
                <w:i/>
              </w:rPr>
              <w:t>(158)</w:t>
            </w:r>
          </w:p>
        </w:tc>
        <w:tc>
          <w:tcPr>
            <w:tcW w:w="5634" w:type="dxa"/>
            <w:tcBorders>
              <w:bottom w:val="nil"/>
            </w:tcBorders>
          </w:tcPr>
          <w:p w14:paraId="4255056B" w14:textId="77777777" w:rsidR="00096766" w:rsidRPr="000127EF" w:rsidRDefault="00096766" w:rsidP="00096766">
            <w:pPr>
              <w:rPr>
                <w:rFonts w:cs="Arial"/>
                <w:szCs w:val="22"/>
                <w:lang w:val="en-US"/>
              </w:rPr>
            </w:pPr>
            <w:r w:rsidRPr="000127EF">
              <w:rPr>
                <w:rFonts w:cs="Arial"/>
                <w:szCs w:val="22"/>
                <w:lang w:val="en-US"/>
              </w:rPr>
              <w:t>Capital Receipts</w:t>
            </w:r>
          </w:p>
        </w:tc>
        <w:tc>
          <w:tcPr>
            <w:tcW w:w="1534" w:type="dxa"/>
            <w:tcBorders>
              <w:bottom w:val="nil"/>
            </w:tcBorders>
            <w:shd w:val="clear" w:color="auto" w:fill="C5E0B3" w:themeFill="accent6" w:themeFillTint="66"/>
          </w:tcPr>
          <w:p w14:paraId="52BDA6AC" w14:textId="3921AE0A" w:rsidR="00096766" w:rsidRPr="00693219" w:rsidRDefault="00693219" w:rsidP="00096766">
            <w:pPr>
              <w:jc w:val="right"/>
            </w:pPr>
            <w:r w:rsidRPr="00693219">
              <w:t>(128)</w:t>
            </w:r>
          </w:p>
        </w:tc>
      </w:tr>
      <w:tr w:rsidR="00096766" w:rsidRPr="000127EF" w14:paraId="6D2782C6" w14:textId="77777777" w:rsidTr="007A79E7">
        <w:trPr>
          <w:jc w:val="center"/>
        </w:trPr>
        <w:tc>
          <w:tcPr>
            <w:tcW w:w="1454" w:type="dxa"/>
            <w:tcBorders>
              <w:bottom w:val="nil"/>
            </w:tcBorders>
          </w:tcPr>
          <w:p w14:paraId="09620BCD" w14:textId="29168EF7" w:rsidR="00096766" w:rsidRPr="00096766" w:rsidRDefault="00096766" w:rsidP="00096766">
            <w:pPr>
              <w:jc w:val="right"/>
              <w:rPr>
                <w:i/>
              </w:rPr>
            </w:pPr>
            <w:r w:rsidRPr="00096766">
              <w:rPr>
                <w:i/>
              </w:rPr>
              <w:t>(4,167)</w:t>
            </w:r>
          </w:p>
        </w:tc>
        <w:tc>
          <w:tcPr>
            <w:tcW w:w="5634" w:type="dxa"/>
            <w:tcBorders>
              <w:bottom w:val="nil"/>
            </w:tcBorders>
          </w:tcPr>
          <w:p w14:paraId="116B6AE0" w14:textId="417DCC07" w:rsidR="00096766" w:rsidRPr="000127EF" w:rsidRDefault="00096766" w:rsidP="00096766">
            <w:pPr>
              <w:rPr>
                <w:rFonts w:cs="Arial"/>
                <w:szCs w:val="22"/>
                <w:lang w:val="en-US"/>
              </w:rPr>
            </w:pPr>
            <w:r w:rsidRPr="000127EF">
              <w:rPr>
                <w:rFonts w:cs="Arial"/>
                <w:szCs w:val="22"/>
                <w:lang w:val="en-US"/>
              </w:rPr>
              <w:t>Government Grants and contributions</w:t>
            </w:r>
          </w:p>
        </w:tc>
        <w:tc>
          <w:tcPr>
            <w:tcW w:w="1534" w:type="dxa"/>
            <w:tcBorders>
              <w:bottom w:val="nil"/>
            </w:tcBorders>
            <w:shd w:val="clear" w:color="auto" w:fill="C5E0B3" w:themeFill="accent6" w:themeFillTint="66"/>
          </w:tcPr>
          <w:p w14:paraId="60EFDE14" w14:textId="3E467CA2" w:rsidR="00096766" w:rsidRPr="00693219" w:rsidRDefault="00693219" w:rsidP="00096766">
            <w:pPr>
              <w:jc w:val="right"/>
            </w:pPr>
            <w:r w:rsidRPr="00693219">
              <w:t>(3,532)</w:t>
            </w:r>
          </w:p>
        </w:tc>
      </w:tr>
      <w:tr w:rsidR="00096766" w:rsidRPr="000127EF" w14:paraId="4DA693B6" w14:textId="77777777" w:rsidTr="007A79E7">
        <w:trPr>
          <w:jc w:val="center"/>
        </w:trPr>
        <w:tc>
          <w:tcPr>
            <w:tcW w:w="1454" w:type="dxa"/>
            <w:tcBorders>
              <w:bottom w:val="single" w:sz="8" w:space="0" w:color="auto"/>
            </w:tcBorders>
            <w:vAlign w:val="center"/>
          </w:tcPr>
          <w:p w14:paraId="1FD0DA25" w14:textId="3D54A853" w:rsidR="00096766" w:rsidRPr="00096766" w:rsidRDefault="00096766" w:rsidP="00096766">
            <w:pPr>
              <w:jc w:val="right"/>
              <w:rPr>
                <w:i/>
              </w:rPr>
            </w:pPr>
            <w:r w:rsidRPr="00096766">
              <w:rPr>
                <w:i/>
              </w:rPr>
              <w:t>(768)</w:t>
            </w:r>
          </w:p>
        </w:tc>
        <w:tc>
          <w:tcPr>
            <w:tcW w:w="5634" w:type="dxa"/>
            <w:tcBorders>
              <w:bottom w:val="nil"/>
            </w:tcBorders>
          </w:tcPr>
          <w:p w14:paraId="2A4D8CCB" w14:textId="77777777" w:rsidR="00096766" w:rsidRPr="000127EF" w:rsidRDefault="00096766" w:rsidP="00096766">
            <w:pPr>
              <w:rPr>
                <w:rFonts w:cs="Arial"/>
                <w:szCs w:val="22"/>
                <w:lang w:val="en-US"/>
              </w:rPr>
            </w:pPr>
            <w:r w:rsidRPr="000127EF">
              <w:rPr>
                <w:rFonts w:cs="Arial"/>
                <w:szCs w:val="22"/>
                <w:lang w:val="en-US"/>
              </w:rPr>
              <w:t>Sums set aside from revenue (including direct revenue financing, MRP, VRP and loans fund principals)</w:t>
            </w:r>
          </w:p>
        </w:tc>
        <w:tc>
          <w:tcPr>
            <w:tcW w:w="1534" w:type="dxa"/>
            <w:tcBorders>
              <w:bottom w:val="single" w:sz="8" w:space="0" w:color="auto"/>
            </w:tcBorders>
            <w:shd w:val="clear" w:color="auto" w:fill="C5E0B3" w:themeFill="accent6" w:themeFillTint="66"/>
            <w:vAlign w:val="center"/>
          </w:tcPr>
          <w:p w14:paraId="7C1F08EE" w14:textId="10365D99" w:rsidR="00096766" w:rsidRPr="00693219" w:rsidRDefault="00457A4E" w:rsidP="00096766">
            <w:pPr>
              <w:jc w:val="right"/>
            </w:pPr>
            <w:r>
              <w:t>(1,029</w:t>
            </w:r>
            <w:r w:rsidR="00693219" w:rsidRPr="00693219">
              <w:t>)</w:t>
            </w:r>
          </w:p>
        </w:tc>
      </w:tr>
      <w:tr w:rsidR="00096766" w:rsidRPr="000127EF" w14:paraId="04AC88DC" w14:textId="77777777" w:rsidTr="007A79E7">
        <w:trPr>
          <w:jc w:val="center"/>
        </w:trPr>
        <w:tc>
          <w:tcPr>
            <w:tcW w:w="1454" w:type="dxa"/>
            <w:tcBorders>
              <w:top w:val="single" w:sz="8" w:space="0" w:color="auto"/>
              <w:bottom w:val="single" w:sz="8" w:space="0" w:color="auto"/>
            </w:tcBorders>
          </w:tcPr>
          <w:p w14:paraId="0A7D93B3" w14:textId="3473268A" w:rsidR="00096766" w:rsidRPr="00096766" w:rsidRDefault="00096766" w:rsidP="00096766">
            <w:pPr>
              <w:jc w:val="right"/>
              <w:rPr>
                <w:b/>
                <w:i/>
              </w:rPr>
            </w:pPr>
            <w:r w:rsidRPr="00096766">
              <w:rPr>
                <w:b/>
                <w:i/>
              </w:rPr>
              <w:fldChar w:fldCharType="begin"/>
            </w:r>
            <w:r w:rsidRPr="00096766">
              <w:rPr>
                <w:b/>
                <w:i/>
              </w:rPr>
              <w:instrText xml:space="preserve"> =SUM(c3:c11) </w:instrText>
            </w:r>
            <w:r w:rsidRPr="00096766">
              <w:rPr>
                <w:b/>
                <w:i/>
              </w:rPr>
              <w:fldChar w:fldCharType="separate"/>
            </w:r>
            <w:r w:rsidRPr="00096766">
              <w:rPr>
                <w:b/>
                <w:i/>
                <w:noProof/>
              </w:rPr>
              <w:t>21,246</w:t>
            </w:r>
            <w:r w:rsidRPr="00096766">
              <w:rPr>
                <w:b/>
                <w:i/>
              </w:rPr>
              <w:fldChar w:fldCharType="end"/>
            </w:r>
          </w:p>
        </w:tc>
        <w:tc>
          <w:tcPr>
            <w:tcW w:w="5634" w:type="dxa"/>
            <w:tcBorders>
              <w:bottom w:val="nil"/>
            </w:tcBorders>
          </w:tcPr>
          <w:p w14:paraId="0E97E0B2" w14:textId="77777777" w:rsidR="00096766" w:rsidRPr="000127EF" w:rsidRDefault="00096766" w:rsidP="00096766">
            <w:pPr>
              <w:rPr>
                <w:rFonts w:cs="Arial"/>
                <w:b/>
                <w:szCs w:val="22"/>
                <w:lang w:val="en-US"/>
              </w:rPr>
            </w:pPr>
            <w:r w:rsidRPr="000127EF">
              <w:rPr>
                <w:rFonts w:cs="Arial"/>
                <w:b/>
                <w:szCs w:val="22"/>
                <w:lang w:val="en-US"/>
              </w:rPr>
              <w:t xml:space="preserve">Closing Capital Financing Requirement </w:t>
            </w:r>
          </w:p>
        </w:tc>
        <w:tc>
          <w:tcPr>
            <w:tcW w:w="1534" w:type="dxa"/>
            <w:tcBorders>
              <w:top w:val="single" w:sz="8" w:space="0" w:color="auto"/>
              <w:bottom w:val="single" w:sz="8" w:space="0" w:color="auto"/>
            </w:tcBorders>
            <w:shd w:val="clear" w:color="auto" w:fill="C5E0B3" w:themeFill="accent6" w:themeFillTint="66"/>
          </w:tcPr>
          <w:p w14:paraId="7393B5A6" w14:textId="401D4605" w:rsidR="00096766" w:rsidRPr="00693219" w:rsidRDefault="0006697C" w:rsidP="00096766">
            <w:pPr>
              <w:jc w:val="right"/>
              <w:rPr>
                <w:b/>
              </w:rPr>
            </w:pPr>
            <w:r>
              <w:rPr>
                <w:b/>
              </w:rPr>
              <w:t>20,632</w:t>
            </w:r>
          </w:p>
        </w:tc>
      </w:tr>
      <w:tr w:rsidR="00096766" w:rsidRPr="000127EF" w14:paraId="09634FD7" w14:textId="77777777" w:rsidTr="007A79E7">
        <w:trPr>
          <w:jc w:val="center"/>
        </w:trPr>
        <w:tc>
          <w:tcPr>
            <w:tcW w:w="1454" w:type="dxa"/>
            <w:tcBorders>
              <w:top w:val="single" w:sz="8" w:space="0" w:color="auto"/>
              <w:bottom w:val="nil"/>
            </w:tcBorders>
          </w:tcPr>
          <w:p w14:paraId="6A0B1498" w14:textId="77777777" w:rsidR="00096766" w:rsidRPr="00096766" w:rsidRDefault="00096766" w:rsidP="00096766">
            <w:pPr>
              <w:jc w:val="right"/>
              <w:rPr>
                <w:i/>
                <w:sz w:val="10"/>
                <w:szCs w:val="10"/>
              </w:rPr>
            </w:pPr>
          </w:p>
        </w:tc>
        <w:tc>
          <w:tcPr>
            <w:tcW w:w="5634" w:type="dxa"/>
            <w:tcBorders>
              <w:bottom w:val="nil"/>
            </w:tcBorders>
          </w:tcPr>
          <w:p w14:paraId="4621FFA8" w14:textId="77777777" w:rsidR="00096766" w:rsidRPr="000127EF" w:rsidRDefault="00096766" w:rsidP="00096766">
            <w:pPr>
              <w:rPr>
                <w:rFonts w:cs="Arial"/>
                <w:sz w:val="10"/>
                <w:szCs w:val="10"/>
                <w:lang w:val="en-US"/>
              </w:rPr>
            </w:pPr>
          </w:p>
        </w:tc>
        <w:tc>
          <w:tcPr>
            <w:tcW w:w="1534" w:type="dxa"/>
            <w:tcBorders>
              <w:top w:val="single" w:sz="8" w:space="0" w:color="auto"/>
              <w:bottom w:val="nil"/>
            </w:tcBorders>
            <w:shd w:val="clear" w:color="auto" w:fill="C5E0B3" w:themeFill="accent6" w:themeFillTint="66"/>
          </w:tcPr>
          <w:p w14:paraId="2159B436" w14:textId="77777777" w:rsidR="00096766" w:rsidRPr="00693219" w:rsidRDefault="00096766" w:rsidP="00096766">
            <w:pPr>
              <w:jc w:val="right"/>
              <w:rPr>
                <w:sz w:val="10"/>
                <w:szCs w:val="10"/>
              </w:rPr>
            </w:pPr>
          </w:p>
        </w:tc>
      </w:tr>
      <w:tr w:rsidR="00096766" w:rsidRPr="000127EF" w14:paraId="31D00D8B" w14:textId="77777777" w:rsidTr="007A79E7">
        <w:trPr>
          <w:jc w:val="center"/>
        </w:trPr>
        <w:tc>
          <w:tcPr>
            <w:tcW w:w="1454" w:type="dxa"/>
            <w:tcBorders>
              <w:bottom w:val="nil"/>
            </w:tcBorders>
          </w:tcPr>
          <w:p w14:paraId="41FAA4E0" w14:textId="77777777" w:rsidR="00096766" w:rsidRPr="00096766" w:rsidRDefault="00096766" w:rsidP="00096766">
            <w:pPr>
              <w:jc w:val="right"/>
              <w:rPr>
                <w:i/>
              </w:rPr>
            </w:pPr>
          </w:p>
        </w:tc>
        <w:tc>
          <w:tcPr>
            <w:tcW w:w="5634" w:type="dxa"/>
            <w:tcBorders>
              <w:bottom w:val="nil"/>
            </w:tcBorders>
          </w:tcPr>
          <w:p w14:paraId="479400F0" w14:textId="77777777" w:rsidR="00096766" w:rsidRPr="000127EF" w:rsidRDefault="00096766" w:rsidP="00096766">
            <w:pPr>
              <w:rPr>
                <w:rFonts w:cs="Arial"/>
                <w:szCs w:val="22"/>
                <w:lang w:val="en-US"/>
              </w:rPr>
            </w:pPr>
            <w:r w:rsidRPr="000127EF">
              <w:rPr>
                <w:rFonts w:cs="Arial"/>
                <w:szCs w:val="22"/>
                <w:lang w:val="en-US"/>
              </w:rPr>
              <w:t>Explanation of movement in year</w:t>
            </w:r>
          </w:p>
        </w:tc>
        <w:tc>
          <w:tcPr>
            <w:tcW w:w="1534" w:type="dxa"/>
            <w:tcBorders>
              <w:bottom w:val="nil"/>
            </w:tcBorders>
            <w:shd w:val="clear" w:color="auto" w:fill="C5E0B3" w:themeFill="accent6" w:themeFillTint="66"/>
          </w:tcPr>
          <w:p w14:paraId="13F4CFAE" w14:textId="77777777" w:rsidR="00096766" w:rsidRPr="00693219" w:rsidRDefault="00096766" w:rsidP="00096766">
            <w:pPr>
              <w:jc w:val="right"/>
            </w:pPr>
          </w:p>
        </w:tc>
      </w:tr>
      <w:tr w:rsidR="00096766" w:rsidRPr="000127EF" w14:paraId="6313E82B" w14:textId="77777777" w:rsidTr="007A79E7">
        <w:trPr>
          <w:jc w:val="center"/>
        </w:trPr>
        <w:tc>
          <w:tcPr>
            <w:tcW w:w="1454" w:type="dxa"/>
            <w:tcBorders>
              <w:bottom w:val="nil"/>
            </w:tcBorders>
          </w:tcPr>
          <w:p w14:paraId="15A46457" w14:textId="7BEC829C" w:rsidR="00096766" w:rsidRPr="00096766" w:rsidRDefault="00096766" w:rsidP="00096766">
            <w:pPr>
              <w:jc w:val="right"/>
              <w:rPr>
                <w:i/>
              </w:rPr>
            </w:pPr>
            <w:r w:rsidRPr="00096766">
              <w:rPr>
                <w:i/>
              </w:rPr>
              <w:fldChar w:fldCharType="begin"/>
            </w:r>
            <w:r w:rsidRPr="00096766">
              <w:rPr>
                <w:i/>
              </w:rPr>
              <w:instrText xml:space="preserve"> =c12-c3 \# "#,##0;(0)" </w:instrText>
            </w:r>
            <w:r w:rsidRPr="00096766">
              <w:rPr>
                <w:i/>
              </w:rPr>
              <w:fldChar w:fldCharType="separate"/>
            </w:r>
            <w:r w:rsidRPr="00096766">
              <w:rPr>
                <w:i/>
                <w:noProof/>
              </w:rPr>
              <w:t>(613)</w:t>
            </w:r>
            <w:r w:rsidRPr="00096766">
              <w:rPr>
                <w:i/>
              </w:rPr>
              <w:fldChar w:fldCharType="end"/>
            </w:r>
          </w:p>
        </w:tc>
        <w:tc>
          <w:tcPr>
            <w:tcW w:w="5634" w:type="dxa"/>
            <w:tcBorders>
              <w:bottom w:val="nil"/>
            </w:tcBorders>
          </w:tcPr>
          <w:p w14:paraId="5EAA2516" w14:textId="77777777" w:rsidR="00096766" w:rsidRPr="000127EF" w:rsidRDefault="00096766" w:rsidP="00096766">
            <w:pPr>
              <w:rPr>
                <w:rFonts w:cs="Arial"/>
                <w:szCs w:val="22"/>
                <w:lang w:val="en-US"/>
              </w:rPr>
            </w:pPr>
            <w:r w:rsidRPr="000127EF">
              <w:rPr>
                <w:rFonts w:cs="Arial"/>
                <w:color w:val="000000"/>
                <w:szCs w:val="22"/>
              </w:rPr>
              <w:t>Increase/(reduction) in the underlying need to borrow</w:t>
            </w:r>
          </w:p>
        </w:tc>
        <w:tc>
          <w:tcPr>
            <w:tcW w:w="1534" w:type="dxa"/>
            <w:tcBorders>
              <w:bottom w:val="nil"/>
            </w:tcBorders>
            <w:shd w:val="clear" w:color="auto" w:fill="C5E0B3" w:themeFill="accent6" w:themeFillTint="66"/>
          </w:tcPr>
          <w:p w14:paraId="405DA1C5" w14:textId="7C7416F1" w:rsidR="00096766" w:rsidRPr="00693219" w:rsidRDefault="00457A4E" w:rsidP="00096766">
            <w:pPr>
              <w:jc w:val="right"/>
            </w:pPr>
            <w:r>
              <w:t>(614</w:t>
            </w:r>
            <w:r w:rsidR="00693219" w:rsidRPr="00693219">
              <w:t>)</w:t>
            </w:r>
          </w:p>
        </w:tc>
      </w:tr>
      <w:tr w:rsidR="00F82E5E" w:rsidRPr="000127EF" w14:paraId="12DD2C8A" w14:textId="77777777" w:rsidTr="007A79E7">
        <w:trPr>
          <w:trHeight w:hRule="exact" w:val="142"/>
          <w:jc w:val="center"/>
        </w:trPr>
        <w:tc>
          <w:tcPr>
            <w:tcW w:w="1454" w:type="dxa"/>
            <w:tcBorders>
              <w:top w:val="nil"/>
            </w:tcBorders>
          </w:tcPr>
          <w:p w14:paraId="0DBE9F27" w14:textId="77777777" w:rsidR="00F82E5E" w:rsidRPr="000127EF" w:rsidRDefault="00F82E5E" w:rsidP="00F82E5E">
            <w:pPr>
              <w:jc w:val="right"/>
              <w:rPr>
                <w:i/>
              </w:rPr>
            </w:pPr>
          </w:p>
        </w:tc>
        <w:tc>
          <w:tcPr>
            <w:tcW w:w="5634" w:type="dxa"/>
            <w:tcBorders>
              <w:top w:val="nil"/>
            </w:tcBorders>
          </w:tcPr>
          <w:p w14:paraId="64EC535D" w14:textId="77777777" w:rsidR="00F82E5E" w:rsidRPr="000127EF" w:rsidRDefault="00F82E5E" w:rsidP="00F82E5E">
            <w:pPr>
              <w:jc w:val="both"/>
            </w:pPr>
          </w:p>
        </w:tc>
        <w:tc>
          <w:tcPr>
            <w:tcW w:w="1534" w:type="dxa"/>
            <w:tcBorders>
              <w:top w:val="nil"/>
            </w:tcBorders>
          </w:tcPr>
          <w:p w14:paraId="5946F977" w14:textId="77777777" w:rsidR="00F82E5E" w:rsidRPr="00693219" w:rsidRDefault="00F82E5E" w:rsidP="00F82E5E">
            <w:pPr>
              <w:jc w:val="right"/>
            </w:pPr>
          </w:p>
        </w:tc>
      </w:tr>
    </w:tbl>
    <w:p w14:paraId="37D89A86" w14:textId="56DD9003" w:rsidR="00096FC2" w:rsidRPr="000127EF" w:rsidRDefault="00096FC2" w:rsidP="00D162D1">
      <w:pPr>
        <w:pStyle w:val="Heading1"/>
        <w:numPr>
          <w:ilvl w:val="0"/>
          <w:numId w:val="8"/>
        </w:numPr>
        <w:ind w:left="426"/>
        <w:rPr>
          <w:sz w:val="22"/>
          <w:szCs w:val="22"/>
        </w:rPr>
      </w:pPr>
      <w:r w:rsidRPr="000127EF">
        <w:rPr>
          <w:sz w:val="22"/>
          <w:szCs w:val="22"/>
        </w:rPr>
        <w:t>Leases</w:t>
      </w:r>
    </w:p>
    <w:p w14:paraId="0BACE219" w14:textId="77777777" w:rsidR="00096FC2" w:rsidRPr="000127EF" w:rsidRDefault="00096FC2" w:rsidP="00096FC2">
      <w:pPr>
        <w:spacing w:after="120"/>
        <w:rPr>
          <w:b/>
        </w:rPr>
      </w:pPr>
      <w:r w:rsidRPr="000127EF">
        <w:rPr>
          <w:b/>
        </w:rPr>
        <w:t>Authority as Lessee</w:t>
      </w:r>
    </w:p>
    <w:p w14:paraId="026A7D47" w14:textId="77777777" w:rsidR="00096FC2" w:rsidRPr="000127EF" w:rsidRDefault="00096FC2" w:rsidP="00096FC2">
      <w:r w:rsidRPr="000127EF">
        <w:t>Operating leases:</w:t>
      </w:r>
    </w:p>
    <w:p w14:paraId="4A54B601" w14:textId="77777777" w:rsidR="00096FC2" w:rsidRPr="000127EF" w:rsidRDefault="00096FC2" w:rsidP="00096FC2">
      <w:pPr>
        <w:spacing w:after="120"/>
      </w:pPr>
      <w:r w:rsidRPr="000127EF">
        <w:t>The authority has acquired property, vehicles and equipment by entering into operating leases.  The minimum lease payments due under non-cancellable leases in future years are;</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096FC2" w:rsidRPr="000127EF" w14:paraId="3E5EC4E9" w14:textId="77777777" w:rsidTr="00E54C37">
        <w:trPr>
          <w:trHeight w:val="283"/>
          <w:jc w:val="center"/>
        </w:trPr>
        <w:tc>
          <w:tcPr>
            <w:tcW w:w="1454" w:type="dxa"/>
          </w:tcPr>
          <w:p w14:paraId="2ED71A76" w14:textId="41C7B25A" w:rsidR="00096FC2" w:rsidRPr="000127EF" w:rsidRDefault="00096766" w:rsidP="00E54C37">
            <w:pPr>
              <w:jc w:val="center"/>
              <w:rPr>
                <w:b/>
                <w:i/>
              </w:rPr>
            </w:pPr>
            <w:r>
              <w:rPr>
                <w:b/>
                <w:i/>
              </w:rPr>
              <w:t>2018/19</w:t>
            </w:r>
          </w:p>
        </w:tc>
        <w:tc>
          <w:tcPr>
            <w:tcW w:w="5634" w:type="dxa"/>
            <w:vAlign w:val="center"/>
          </w:tcPr>
          <w:p w14:paraId="0D1EE009" w14:textId="77777777" w:rsidR="00096FC2" w:rsidRPr="000127EF" w:rsidRDefault="00096FC2" w:rsidP="00E54C37">
            <w:pPr>
              <w:jc w:val="center"/>
              <w:rPr>
                <w:b/>
              </w:rPr>
            </w:pPr>
            <w:r w:rsidRPr="000127EF">
              <w:rPr>
                <w:b/>
              </w:rPr>
              <w:t>Council as Lessee - Operating Leases</w:t>
            </w:r>
          </w:p>
        </w:tc>
        <w:tc>
          <w:tcPr>
            <w:tcW w:w="1534" w:type="dxa"/>
          </w:tcPr>
          <w:p w14:paraId="74857176" w14:textId="3B7DDE0B" w:rsidR="00096FC2" w:rsidRPr="00CF7542" w:rsidRDefault="00626641" w:rsidP="00E54C37">
            <w:pPr>
              <w:jc w:val="center"/>
              <w:rPr>
                <w:b/>
              </w:rPr>
            </w:pPr>
            <w:r w:rsidRPr="00CF7542">
              <w:rPr>
                <w:b/>
              </w:rPr>
              <w:t>2</w:t>
            </w:r>
            <w:r w:rsidR="00096766" w:rsidRPr="00CF7542">
              <w:rPr>
                <w:b/>
              </w:rPr>
              <w:t>019/20</w:t>
            </w:r>
          </w:p>
        </w:tc>
      </w:tr>
      <w:tr w:rsidR="00626641" w:rsidRPr="000127EF" w14:paraId="7606AD22" w14:textId="77777777" w:rsidTr="00E54C37">
        <w:trPr>
          <w:jc w:val="center"/>
        </w:trPr>
        <w:tc>
          <w:tcPr>
            <w:tcW w:w="1454" w:type="dxa"/>
          </w:tcPr>
          <w:p w14:paraId="54B50106" w14:textId="77777777" w:rsidR="00626641" w:rsidRPr="000127EF" w:rsidRDefault="00626641" w:rsidP="00EF7DF3">
            <w:pPr>
              <w:jc w:val="center"/>
              <w:rPr>
                <w:b/>
                <w:i/>
              </w:rPr>
            </w:pPr>
            <w:r w:rsidRPr="000127EF">
              <w:rPr>
                <w:b/>
                <w:i/>
              </w:rPr>
              <w:t>£000</w:t>
            </w:r>
          </w:p>
        </w:tc>
        <w:tc>
          <w:tcPr>
            <w:tcW w:w="5634" w:type="dxa"/>
          </w:tcPr>
          <w:p w14:paraId="3EF52FFA" w14:textId="77777777" w:rsidR="00626641" w:rsidRPr="000127EF" w:rsidRDefault="00626641" w:rsidP="00E54C37">
            <w:pPr>
              <w:jc w:val="center"/>
              <w:rPr>
                <w:b/>
              </w:rPr>
            </w:pPr>
          </w:p>
        </w:tc>
        <w:tc>
          <w:tcPr>
            <w:tcW w:w="1534" w:type="dxa"/>
            <w:shd w:val="clear" w:color="auto" w:fill="C5E0B3" w:themeFill="accent6" w:themeFillTint="66"/>
          </w:tcPr>
          <w:p w14:paraId="5F3E59C4" w14:textId="77777777" w:rsidR="00626641" w:rsidRPr="00CF7542" w:rsidRDefault="00626641" w:rsidP="00E54C37">
            <w:pPr>
              <w:jc w:val="center"/>
              <w:rPr>
                <w:b/>
              </w:rPr>
            </w:pPr>
            <w:r w:rsidRPr="00CF7542">
              <w:rPr>
                <w:b/>
              </w:rPr>
              <w:t>£000</w:t>
            </w:r>
          </w:p>
        </w:tc>
      </w:tr>
      <w:tr w:rsidR="00096766" w:rsidRPr="000127EF" w14:paraId="1ABB1E93" w14:textId="77777777" w:rsidTr="00E165AE">
        <w:trPr>
          <w:jc w:val="center"/>
        </w:trPr>
        <w:tc>
          <w:tcPr>
            <w:tcW w:w="1454" w:type="dxa"/>
          </w:tcPr>
          <w:p w14:paraId="792CF7FF" w14:textId="610DB0BD" w:rsidR="00096766" w:rsidRPr="00096766" w:rsidRDefault="00096766" w:rsidP="00096766">
            <w:pPr>
              <w:jc w:val="right"/>
              <w:rPr>
                <w:i/>
              </w:rPr>
            </w:pPr>
            <w:r w:rsidRPr="00096766">
              <w:rPr>
                <w:i/>
              </w:rPr>
              <w:t>56</w:t>
            </w:r>
          </w:p>
        </w:tc>
        <w:tc>
          <w:tcPr>
            <w:tcW w:w="5634" w:type="dxa"/>
            <w:vAlign w:val="center"/>
          </w:tcPr>
          <w:p w14:paraId="4D32DB36" w14:textId="77777777" w:rsidR="00096766" w:rsidRPr="000127EF" w:rsidRDefault="00096766" w:rsidP="00096766">
            <w:pPr>
              <w:rPr>
                <w:rFonts w:cs="Arial"/>
                <w:szCs w:val="22"/>
                <w:lang w:val="en-US"/>
              </w:rPr>
            </w:pPr>
            <w:r w:rsidRPr="000127EF">
              <w:rPr>
                <w:rFonts w:cs="Arial"/>
                <w:szCs w:val="22"/>
                <w:lang w:val="en-US"/>
              </w:rPr>
              <w:t>Not later than one year</w:t>
            </w:r>
          </w:p>
        </w:tc>
        <w:tc>
          <w:tcPr>
            <w:tcW w:w="1534" w:type="dxa"/>
            <w:shd w:val="clear" w:color="auto" w:fill="C5E0B3" w:themeFill="accent6" w:themeFillTint="66"/>
          </w:tcPr>
          <w:p w14:paraId="33107DE9" w14:textId="129C1A00" w:rsidR="00096766" w:rsidRPr="00CF7542" w:rsidRDefault="00CF7542" w:rsidP="00096766">
            <w:pPr>
              <w:jc w:val="right"/>
            </w:pPr>
            <w:r w:rsidRPr="00CF7542">
              <w:t>61</w:t>
            </w:r>
          </w:p>
        </w:tc>
      </w:tr>
      <w:tr w:rsidR="00096766" w:rsidRPr="000127EF" w14:paraId="28E9EA81" w14:textId="77777777" w:rsidTr="00E165AE">
        <w:trPr>
          <w:jc w:val="center"/>
        </w:trPr>
        <w:tc>
          <w:tcPr>
            <w:tcW w:w="1454" w:type="dxa"/>
            <w:tcBorders>
              <w:bottom w:val="nil"/>
            </w:tcBorders>
          </w:tcPr>
          <w:p w14:paraId="1790B975" w14:textId="396DD112" w:rsidR="00096766" w:rsidRPr="00096766" w:rsidRDefault="00096766" w:rsidP="00096766">
            <w:pPr>
              <w:jc w:val="right"/>
              <w:rPr>
                <w:i/>
              </w:rPr>
            </w:pPr>
            <w:r w:rsidRPr="00096766">
              <w:rPr>
                <w:i/>
              </w:rPr>
              <w:t>137</w:t>
            </w:r>
          </w:p>
        </w:tc>
        <w:tc>
          <w:tcPr>
            <w:tcW w:w="5634" w:type="dxa"/>
            <w:tcBorders>
              <w:bottom w:val="nil"/>
            </w:tcBorders>
          </w:tcPr>
          <w:p w14:paraId="26277EFE" w14:textId="77777777" w:rsidR="00096766" w:rsidRPr="000127EF" w:rsidRDefault="00096766" w:rsidP="00096766">
            <w:pPr>
              <w:rPr>
                <w:rFonts w:cs="Arial"/>
                <w:szCs w:val="22"/>
                <w:lang w:val="en-US"/>
              </w:rPr>
            </w:pPr>
            <w:r w:rsidRPr="000127EF">
              <w:rPr>
                <w:rFonts w:cs="Arial"/>
                <w:szCs w:val="22"/>
                <w:lang w:val="en-US"/>
              </w:rPr>
              <w:t>Later than one year and not later than five years</w:t>
            </w:r>
          </w:p>
        </w:tc>
        <w:tc>
          <w:tcPr>
            <w:tcW w:w="1534" w:type="dxa"/>
            <w:tcBorders>
              <w:bottom w:val="nil"/>
            </w:tcBorders>
            <w:shd w:val="clear" w:color="auto" w:fill="C5E0B3" w:themeFill="accent6" w:themeFillTint="66"/>
          </w:tcPr>
          <w:p w14:paraId="543FA6AC" w14:textId="0208608A" w:rsidR="00096766" w:rsidRPr="00CF7542" w:rsidRDefault="00CF7542" w:rsidP="00096766">
            <w:pPr>
              <w:jc w:val="right"/>
            </w:pPr>
            <w:r w:rsidRPr="00CF7542">
              <w:t>205</w:t>
            </w:r>
          </w:p>
        </w:tc>
      </w:tr>
      <w:tr w:rsidR="00096766" w:rsidRPr="000127EF" w14:paraId="10085DA5" w14:textId="77777777" w:rsidTr="00E165AE">
        <w:trPr>
          <w:jc w:val="center"/>
        </w:trPr>
        <w:tc>
          <w:tcPr>
            <w:tcW w:w="1454" w:type="dxa"/>
            <w:tcBorders>
              <w:bottom w:val="nil"/>
            </w:tcBorders>
          </w:tcPr>
          <w:p w14:paraId="30D61E6C" w14:textId="5776F6C3" w:rsidR="00096766" w:rsidRPr="00096766" w:rsidRDefault="00096766" w:rsidP="00096766">
            <w:pPr>
              <w:jc w:val="right"/>
              <w:rPr>
                <w:i/>
              </w:rPr>
            </w:pPr>
            <w:r w:rsidRPr="00096766">
              <w:rPr>
                <w:i/>
              </w:rPr>
              <w:t>170</w:t>
            </w:r>
          </w:p>
        </w:tc>
        <w:tc>
          <w:tcPr>
            <w:tcW w:w="5634" w:type="dxa"/>
            <w:tcBorders>
              <w:bottom w:val="nil"/>
            </w:tcBorders>
          </w:tcPr>
          <w:p w14:paraId="2159DA9F" w14:textId="77777777" w:rsidR="00096766" w:rsidRPr="000127EF" w:rsidRDefault="00096766" w:rsidP="00096766">
            <w:pPr>
              <w:rPr>
                <w:rFonts w:cs="Arial"/>
                <w:szCs w:val="22"/>
                <w:lang w:val="en-US"/>
              </w:rPr>
            </w:pPr>
            <w:r w:rsidRPr="000127EF">
              <w:rPr>
                <w:rFonts w:cs="Arial"/>
                <w:szCs w:val="22"/>
                <w:lang w:val="en-US"/>
              </w:rPr>
              <w:t>Later than five years</w:t>
            </w:r>
          </w:p>
        </w:tc>
        <w:tc>
          <w:tcPr>
            <w:tcW w:w="1534" w:type="dxa"/>
            <w:tcBorders>
              <w:bottom w:val="nil"/>
            </w:tcBorders>
            <w:shd w:val="clear" w:color="auto" w:fill="C5E0B3" w:themeFill="accent6" w:themeFillTint="66"/>
          </w:tcPr>
          <w:p w14:paraId="0F24C0E2" w14:textId="0C3F869C" w:rsidR="00096766" w:rsidRPr="00CF7542" w:rsidRDefault="00CF7542" w:rsidP="00096766">
            <w:pPr>
              <w:jc w:val="right"/>
            </w:pPr>
            <w:r w:rsidRPr="00CF7542">
              <w:t>148</w:t>
            </w:r>
          </w:p>
        </w:tc>
      </w:tr>
      <w:tr w:rsidR="00096766" w:rsidRPr="000127EF" w14:paraId="1798E6F0" w14:textId="77777777" w:rsidTr="00E165AE">
        <w:trPr>
          <w:jc w:val="center"/>
        </w:trPr>
        <w:tc>
          <w:tcPr>
            <w:tcW w:w="1454" w:type="dxa"/>
            <w:tcBorders>
              <w:top w:val="single" w:sz="8" w:space="0" w:color="auto"/>
              <w:bottom w:val="single" w:sz="8" w:space="0" w:color="auto"/>
            </w:tcBorders>
          </w:tcPr>
          <w:p w14:paraId="2BFD379E" w14:textId="460BC7BF" w:rsidR="00096766" w:rsidRPr="00096766" w:rsidRDefault="00096766" w:rsidP="00096766">
            <w:pPr>
              <w:jc w:val="right"/>
              <w:rPr>
                <w:b/>
                <w:i/>
              </w:rPr>
            </w:pPr>
            <w:r w:rsidRPr="00096766">
              <w:rPr>
                <w:b/>
                <w:i/>
              </w:rPr>
              <w:fldChar w:fldCharType="begin"/>
            </w:r>
            <w:r w:rsidRPr="00096766">
              <w:rPr>
                <w:b/>
                <w:i/>
              </w:rPr>
              <w:instrText xml:space="preserve"> =SUM(c2:c5) \# "#,##0" </w:instrText>
            </w:r>
            <w:r w:rsidRPr="00096766">
              <w:rPr>
                <w:b/>
                <w:i/>
              </w:rPr>
              <w:fldChar w:fldCharType="separate"/>
            </w:r>
            <w:r w:rsidRPr="00096766">
              <w:rPr>
                <w:b/>
                <w:i/>
                <w:noProof/>
              </w:rPr>
              <w:t xml:space="preserve"> 363</w:t>
            </w:r>
            <w:r w:rsidRPr="00096766">
              <w:rPr>
                <w:b/>
                <w:i/>
              </w:rPr>
              <w:fldChar w:fldCharType="end"/>
            </w:r>
          </w:p>
        </w:tc>
        <w:tc>
          <w:tcPr>
            <w:tcW w:w="5634" w:type="dxa"/>
            <w:tcBorders>
              <w:bottom w:val="nil"/>
            </w:tcBorders>
          </w:tcPr>
          <w:p w14:paraId="2C4B767A" w14:textId="77777777" w:rsidR="00096766" w:rsidRPr="000127EF" w:rsidRDefault="00096766" w:rsidP="00096766">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660CE422" w14:textId="0201714C" w:rsidR="00096766" w:rsidRPr="00CF7542" w:rsidRDefault="00CF7542" w:rsidP="00096766">
            <w:pPr>
              <w:jc w:val="right"/>
              <w:rPr>
                <w:b/>
              </w:rPr>
            </w:pPr>
            <w:r w:rsidRPr="00CF7542">
              <w:rPr>
                <w:b/>
              </w:rPr>
              <w:t>414</w:t>
            </w:r>
          </w:p>
        </w:tc>
      </w:tr>
      <w:tr w:rsidR="00F82E5E" w:rsidRPr="000127EF" w14:paraId="22FB77F4" w14:textId="77777777" w:rsidTr="00E54C37">
        <w:trPr>
          <w:trHeight w:hRule="exact" w:val="142"/>
          <w:jc w:val="center"/>
        </w:trPr>
        <w:tc>
          <w:tcPr>
            <w:tcW w:w="1454" w:type="dxa"/>
            <w:tcBorders>
              <w:top w:val="nil"/>
            </w:tcBorders>
          </w:tcPr>
          <w:p w14:paraId="5FE03EF5" w14:textId="77777777" w:rsidR="00F82E5E" w:rsidRPr="000127EF" w:rsidRDefault="00F82E5E" w:rsidP="00F82E5E">
            <w:pPr>
              <w:jc w:val="right"/>
              <w:rPr>
                <w:i/>
              </w:rPr>
            </w:pPr>
          </w:p>
        </w:tc>
        <w:tc>
          <w:tcPr>
            <w:tcW w:w="5634" w:type="dxa"/>
            <w:tcBorders>
              <w:top w:val="nil"/>
            </w:tcBorders>
          </w:tcPr>
          <w:p w14:paraId="38DC1891" w14:textId="77777777" w:rsidR="00F82E5E" w:rsidRPr="000127EF" w:rsidRDefault="00F82E5E" w:rsidP="00F82E5E">
            <w:pPr>
              <w:jc w:val="both"/>
            </w:pPr>
          </w:p>
        </w:tc>
        <w:tc>
          <w:tcPr>
            <w:tcW w:w="1534" w:type="dxa"/>
            <w:tcBorders>
              <w:top w:val="nil"/>
            </w:tcBorders>
          </w:tcPr>
          <w:p w14:paraId="6EA74B2A" w14:textId="77777777" w:rsidR="00F82E5E" w:rsidRPr="00CF7542" w:rsidRDefault="00F82E5E" w:rsidP="00F82E5E">
            <w:pPr>
              <w:jc w:val="right"/>
            </w:pPr>
          </w:p>
        </w:tc>
      </w:tr>
    </w:tbl>
    <w:p w14:paraId="38A73687" w14:textId="77777777" w:rsidR="00096FC2" w:rsidRPr="000127EF" w:rsidRDefault="00096FC2" w:rsidP="00A974E3">
      <w:pPr>
        <w:spacing w:before="120" w:after="120"/>
        <w:jc w:val="both"/>
      </w:pPr>
      <w:r w:rsidRPr="000127EF">
        <w:t>The expenditure charged across the authority including Cultural and Environmental Services line in the Comprehensive Income and Expenditure Statement during the year in relation to these leases was:</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096FC2" w:rsidRPr="000127EF" w14:paraId="2D2C1E9F" w14:textId="77777777" w:rsidTr="00E54C37">
        <w:trPr>
          <w:trHeight w:val="283"/>
          <w:jc w:val="center"/>
        </w:trPr>
        <w:tc>
          <w:tcPr>
            <w:tcW w:w="1454" w:type="dxa"/>
          </w:tcPr>
          <w:p w14:paraId="01E3BDD3" w14:textId="7D32446F" w:rsidR="00096FC2" w:rsidRPr="000127EF" w:rsidRDefault="00210C2F" w:rsidP="005805BF">
            <w:pPr>
              <w:jc w:val="center"/>
              <w:rPr>
                <w:b/>
                <w:i/>
              </w:rPr>
            </w:pPr>
            <w:r w:rsidRPr="000127EF">
              <w:rPr>
                <w:b/>
                <w:i/>
              </w:rPr>
              <w:t>201</w:t>
            </w:r>
            <w:r w:rsidR="00096766">
              <w:rPr>
                <w:b/>
                <w:i/>
              </w:rPr>
              <w:t>8/19</w:t>
            </w:r>
          </w:p>
        </w:tc>
        <w:tc>
          <w:tcPr>
            <w:tcW w:w="5634" w:type="dxa"/>
            <w:vAlign w:val="center"/>
          </w:tcPr>
          <w:p w14:paraId="18F606E5" w14:textId="77777777" w:rsidR="00096FC2" w:rsidRPr="000127EF" w:rsidRDefault="00096FC2" w:rsidP="00096FC2">
            <w:pPr>
              <w:jc w:val="center"/>
              <w:rPr>
                <w:b/>
              </w:rPr>
            </w:pPr>
            <w:r w:rsidRPr="000127EF">
              <w:rPr>
                <w:b/>
              </w:rPr>
              <w:t>Council as Lessee – Minimum Lease Payments</w:t>
            </w:r>
          </w:p>
        </w:tc>
        <w:tc>
          <w:tcPr>
            <w:tcW w:w="1534" w:type="dxa"/>
          </w:tcPr>
          <w:p w14:paraId="31733E5C" w14:textId="153A3F57" w:rsidR="00096FC2" w:rsidRPr="00CF7542" w:rsidRDefault="00210C2F" w:rsidP="005805BF">
            <w:pPr>
              <w:jc w:val="center"/>
              <w:rPr>
                <w:b/>
              </w:rPr>
            </w:pPr>
            <w:r w:rsidRPr="00CF7542">
              <w:rPr>
                <w:b/>
              </w:rPr>
              <w:t>201</w:t>
            </w:r>
            <w:r w:rsidR="00096766" w:rsidRPr="00CF7542">
              <w:rPr>
                <w:b/>
              </w:rPr>
              <w:t>9/20</w:t>
            </w:r>
          </w:p>
        </w:tc>
      </w:tr>
      <w:tr w:rsidR="00096FC2" w:rsidRPr="000127EF" w14:paraId="2AA47D00" w14:textId="77777777" w:rsidTr="00E54C37">
        <w:trPr>
          <w:jc w:val="center"/>
        </w:trPr>
        <w:tc>
          <w:tcPr>
            <w:tcW w:w="1454" w:type="dxa"/>
          </w:tcPr>
          <w:p w14:paraId="109F9361" w14:textId="77777777" w:rsidR="00096FC2" w:rsidRPr="000127EF" w:rsidRDefault="00096FC2" w:rsidP="00E54C37">
            <w:pPr>
              <w:jc w:val="center"/>
              <w:rPr>
                <w:b/>
                <w:i/>
              </w:rPr>
            </w:pPr>
            <w:r w:rsidRPr="000127EF">
              <w:rPr>
                <w:b/>
                <w:i/>
              </w:rPr>
              <w:t>£000</w:t>
            </w:r>
          </w:p>
        </w:tc>
        <w:tc>
          <w:tcPr>
            <w:tcW w:w="5634" w:type="dxa"/>
          </w:tcPr>
          <w:p w14:paraId="54E5AD01" w14:textId="77777777" w:rsidR="00096FC2" w:rsidRPr="000127EF" w:rsidRDefault="00096FC2" w:rsidP="00E54C37">
            <w:pPr>
              <w:jc w:val="center"/>
              <w:rPr>
                <w:b/>
              </w:rPr>
            </w:pPr>
          </w:p>
        </w:tc>
        <w:tc>
          <w:tcPr>
            <w:tcW w:w="1534" w:type="dxa"/>
            <w:shd w:val="clear" w:color="auto" w:fill="C5E0B3" w:themeFill="accent6" w:themeFillTint="66"/>
          </w:tcPr>
          <w:p w14:paraId="0A2AE51F" w14:textId="77777777" w:rsidR="00096FC2" w:rsidRPr="00CF7542" w:rsidRDefault="00096FC2" w:rsidP="00E54C37">
            <w:pPr>
              <w:jc w:val="center"/>
              <w:rPr>
                <w:b/>
              </w:rPr>
            </w:pPr>
            <w:r w:rsidRPr="00CF7542">
              <w:rPr>
                <w:b/>
              </w:rPr>
              <w:t>£000</w:t>
            </w:r>
          </w:p>
        </w:tc>
      </w:tr>
      <w:tr w:rsidR="00096FC2" w:rsidRPr="000127EF" w14:paraId="0B64C846" w14:textId="77777777" w:rsidTr="00E54C37">
        <w:trPr>
          <w:jc w:val="center"/>
        </w:trPr>
        <w:tc>
          <w:tcPr>
            <w:tcW w:w="1454" w:type="dxa"/>
            <w:vAlign w:val="bottom"/>
          </w:tcPr>
          <w:p w14:paraId="035C3F52" w14:textId="73FC2D1C" w:rsidR="00096FC2" w:rsidRPr="000127EF" w:rsidRDefault="00096766" w:rsidP="00E54C37">
            <w:pPr>
              <w:jc w:val="right"/>
              <w:rPr>
                <w:i/>
              </w:rPr>
            </w:pPr>
            <w:r>
              <w:rPr>
                <w:i/>
              </w:rPr>
              <w:t>67</w:t>
            </w:r>
          </w:p>
        </w:tc>
        <w:tc>
          <w:tcPr>
            <w:tcW w:w="5634" w:type="dxa"/>
            <w:vAlign w:val="center"/>
          </w:tcPr>
          <w:p w14:paraId="04F5E9DC" w14:textId="77777777" w:rsidR="00096FC2" w:rsidRPr="000127EF" w:rsidRDefault="00096FC2" w:rsidP="00E54C37">
            <w:pPr>
              <w:rPr>
                <w:rFonts w:cs="Arial"/>
                <w:szCs w:val="22"/>
                <w:lang w:val="en-US"/>
              </w:rPr>
            </w:pPr>
            <w:r w:rsidRPr="000127EF">
              <w:rPr>
                <w:rFonts w:cs="Arial"/>
                <w:szCs w:val="22"/>
                <w:lang w:val="en-US"/>
              </w:rPr>
              <w:t>Minimum Lease Payment</w:t>
            </w:r>
          </w:p>
        </w:tc>
        <w:tc>
          <w:tcPr>
            <w:tcW w:w="1534" w:type="dxa"/>
            <w:shd w:val="clear" w:color="auto" w:fill="C5E0B3" w:themeFill="accent6" w:themeFillTint="66"/>
          </w:tcPr>
          <w:p w14:paraId="691951D2" w14:textId="7778E0CB" w:rsidR="00096FC2" w:rsidRPr="00CF7542" w:rsidRDefault="00CF7542" w:rsidP="00E54C37">
            <w:pPr>
              <w:jc w:val="right"/>
            </w:pPr>
            <w:r w:rsidRPr="00CF7542">
              <w:t>58</w:t>
            </w:r>
          </w:p>
        </w:tc>
      </w:tr>
      <w:tr w:rsidR="00096FC2" w:rsidRPr="000127EF" w14:paraId="2BC142CF" w14:textId="77777777" w:rsidTr="00E54C37">
        <w:trPr>
          <w:trHeight w:hRule="exact" w:val="142"/>
          <w:jc w:val="center"/>
        </w:trPr>
        <w:tc>
          <w:tcPr>
            <w:tcW w:w="1454" w:type="dxa"/>
            <w:tcBorders>
              <w:top w:val="nil"/>
            </w:tcBorders>
          </w:tcPr>
          <w:p w14:paraId="3463D6E2" w14:textId="77777777" w:rsidR="00096FC2" w:rsidRPr="000127EF" w:rsidRDefault="00096FC2" w:rsidP="00E54C37">
            <w:pPr>
              <w:jc w:val="right"/>
              <w:rPr>
                <w:i/>
              </w:rPr>
            </w:pPr>
          </w:p>
        </w:tc>
        <w:tc>
          <w:tcPr>
            <w:tcW w:w="5634" w:type="dxa"/>
            <w:tcBorders>
              <w:top w:val="nil"/>
            </w:tcBorders>
          </w:tcPr>
          <w:p w14:paraId="75377171" w14:textId="77777777" w:rsidR="00096FC2" w:rsidRPr="000127EF" w:rsidRDefault="00096FC2" w:rsidP="00E54C37">
            <w:pPr>
              <w:jc w:val="both"/>
            </w:pPr>
          </w:p>
        </w:tc>
        <w:tc>
          <w:tcPr>
            <w:tcW w:w="1534" w:type="dxa"/>
            <w:tcBorders>
              <w:top w:val="nil"/>
            </w:tcBorders>
          </w:tcPr>
          <w:p w14:paraId="6B07F7FB" w14:textId="77777777" w:rsidR="00096FC2" w:rsidRPr="00CF7542" w:rsidRDefault="00096FC2" w:rsidP="00E54C37">
            <w:pPr>
              <w:jc w:val="right"/>
            </w:pPr>
          </w:p>
        </w:tc>
      </w:tr>
    </w:tbl>
    <w:p w14:paraId="302CC4F5" w14:textId="77777777" w:rsidR="00096FC2" w:rsidRPr="000127EF" w:rsidRDefault="00096FC2" w:rsidP="00096FC2">
      <w:pPr>
        <w:spacing w:before="240" w:after="120"/>
        <w:rPr>
          <w:b/>
        </w:rPr>
      </w:pPr>
      <w:r w:rsidRPr="000127EF">
        <w:rPr>
          <w:b/>
        </w:rPr>
        <w:t>Authority as Lessor</w:t>
      </w:r>
    </w:p>
    <w:p w14:paraId="408CC8F7" w14:textId="77777777" w:rsidR="00096FC2" w:rsidRPr="000127EF" w:rsidRDefault="00096FC2" w:rsidP="00096FC2">
      <w:r w:rsidRPr="000127EF">
        <w:t>Operating leases:</w:t>
      </w:r>
    </w:p>
    <w:p w14:paraId="74067D06" w14:textId="77777777" w:rsidR="00096FC2" w:rsidRPr="000127EF" w:rsidRDefault="00096FC2" w:rsidP="00096FC2">
      <w:pPr>
        <w:spacing w:after="120"/>
        <w:jc w:val="both"/>
      </w:pPr>
      <w:r w:rsidRPr="000127EF">
        <w:t>The authority leases out property and equipment under operating leases for the following purposes:</w:t>
      </w:r>
    </w:p>
    <w:p w14:paraId="37F75274" w14:textId="77777777" w:rsidR="00096FC2" w:rsidRPr="000127EF" w:rsidRDefault="00096FC2" w:rsidP="005676B7">
      <w:pPr>
        <w:numPr>
          <w:ilvl w:val="0"/>
          <w:numId w:val="10"/>
        </w:numPr>
        <w:spacing w:after="240"/>
        <w:ind w:left="714" w:hanging="357"/>
        <w:contextualSpacing/>
        <w:jc w:val="both"/>
        <w:rPr>
          <w:rFonts w:cs="Arial"/>
          <w:szCs w:val="22"/>
        </w:rPr>
      </w:pPr>
      <w:r w:rsidRPr="000127EF">
        <w:rPr>
          <w:rFonts w:cs="Arial"/>
          <w:szCs w:val="22"/>
        </w:rPr>
        <w:t>For the provision of community services, such as sports facilities, tourism services and community centres</w:t>
      </w:r>
    </w:p>
    <w:p w14:paraId="26230EF9" w14:textId="77777777" w:rsidR="00096FC2" w:rsidRPr="000127EF" w:rsidRDefault="00096FC2" w:rsidP="005676B7">
      <w:pPr>
        <w:numPr>
          <w:ilvl w:val="0"/>
          <w:numId w:val="10"/>
        </w:numPr>
        <w:spacing w:after="120"/>
        <w:ind w:left="714" w:hanging="357"/>
        <w:jc w:val="both"/>
        <w:rPr>
          <w:rFonts w:cs="Arial"/>
          <w:szCs w:val="22"/>
        </w:rPr>
      </w:pPr>
      <w:r w:rsidRPr="000127EF">
        <w:rPr>
          <w:rFonts w:cs="Arial"/>
          <w:szCs w:val="22"/>
        </w:rPr>
        <w:lastRenderedPageBreak/>
        <w:t>For economic development purposes to provide suitable affordable accommodation for local businesses.</w:t>
      </w:r>
    </w:p>
    <w:p w14:paraId="2A023057" w14:textId="77777777" w:rsidR="00096FC2" w:rsidRPr="000127EF" w:rsidRDefault="00096FC2" w:rsidP="00096FC2">
      <w:pPr>
        <w:spacing w:after="120"/>
        <w:jc w:val="both"/>
      </w:pPr>
      <w:r w:rsidRPr="000127EF">
        <w:t>The future minimum lease payments receivable under non-cancellable leases in future years are:</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096FC2" w:rsidRPr="000127EF" w14:paraId="1FB62F27" w14:textId="77777777" w:rsidTr="00E54C37">
        <w:trPr>
          <w:trHeight w:val="283"/>
          <w:jc w:val="center"/>
        </w:trPr>
        <w:tc>
          <w:tcPr>
            <w:tcW w:w="1454" w:type="dxa"/>
          </w:tcPr>
          <w:p w14:paraId="310530D4" w14:textId="7E5578BC" w:rsidR="00096FC2" w:rsidRPr="000127EF" w:rsidRDefault="003F64CF" w:rsidP="00E54C37">
            <w:pPr>
              <w:jc w:val="center"/>
              <w:rPr>
                <w:b/>
                <w:i/>
              </w:rPr>
            </w:pPr>
            <w:r>
              <w:rPr>
                <w:b/>
                <w:i/>
              </w:rPr>
              <w:t>2018/19</w:t>
            </w:r>
          </w:p>
        </w:tc>
        <w:tc>
          <w:tcPr>
            <w:tcW w:w="5634" w:type="dxa"/>
            <w:vAlign w:val="center"/>
          </w:tcPr>
          <w:p w14:paraId="2F2F09D6" w14:textId="77777777" w:rsidR="00096FC2" w:rsidRPr="000127EF" w:rsidRDefault="009E167F" w:rsidP="00E54C37">
            <w:pPr>
              <w:jc w:val="center"/>
              <w:rPr>
                <w:b/>
              </w:rPr>
            </w:pPr>
            <w:r w:rsidRPr="000127EF">
              <w:rPr>
                <w:b/>
              </w:rPr>
              <w:t>Council as Lessor</w:t>
            </w:r>
            <w:r w:rsidR="00096FC2" w:rsidRPr="000127EF">
              <w:rPr>
                <w:b/>
              </w:rPr>
              <w:t xml:space="preserve"> - Operating Leases</w:t>
            </w:r>
          </w:p>
        </w:tc>
        <w:tc>
          <w:tcPr>
            <w:tcW w:w="1534" w:type="dxa"/>
          </w:tcPr>
          <w:p w14:paraId="3A9921E5" w14:textId="6A0240CB" w:rsidR="00096FC2" w:rsidRPr="00CF7542" w:rsidRDefault="003F64CF" w:rsidP="00E54C37">
            <w:pPr>
              <w:jc w:val="center"/>
              <w:rPr>
                <w:b/>
              </w:rPr>
            </w:pPr>
            <w:r w:rsidRPr="00CF7542">
              <w:rPr>
                <w:b/>
              </w:rPr>
              <w:t>2019/20</w:t>
            </w:r>
          </w:p>
        </w:tc>
      </w:tr>
      <w:tr w:rsidR="00096FC2" w:rsidRPr="000127EF" w14:paraId="08D6214A" w14:textId="77777777" w:rsidTr="00E54C37">
        <w:trPr>
          <w:jc w:val="center"/>
        </w:trPr>
        <w:tc>
          <w:tcPr>
            <w:tcW w:w="1454" w:type="dxa"/>
          </w:tcPr>
          <w:p w14:paraId="2B3BA04B" w14:textId="77777777" w:rsidR="00096FC2" w:rsidRPr="000127EF" w:rsidRDefault="00096FC2" w:rsidP="00E54C37">
            <w:pPr>
              <w:jc w:val="center"/>
              <w:rPr>
                <w:b/>
                <w:i/>
              </w:rPr>
            </w:pPr>
            <w:r w:rsidRPr="000127EF">
              <w:rPr>
                <w:b/>
                <w:i/>
              </w:rPr>
              <w:t>£000</w:t>
            </w:r>
          </w:p>
        </w:tc>
        <w:tc>
          <w:tcPr>
            <w:tcW w:w="5634" w:type="dxa"/>
          </w:tcPr>
          <w:p w14:paraId="29812EC5" w14:textId="77777777" w:rsidR="00096FC2" w:rsidRPr="000127EF" w:rsidRDefault="00096FC2" w:rsidP="00E54C37">
            <w:pPr>
              <w:jc w:val="center"/>
              <w:rPr>
                <w:b/>
              </w:rPr>
            </w:pPr>
          </w:p>
        </w:tc>
        <w:tc>
          <w:tcPr>
            <w:tcW w:w="1534" w:type="dxa"/>
            <w:shd w:val="clear" w:color="auto" w:fill="C5E0B3" w:themeFill="accent6" w:themeFillTint="66"/>
          </w:tcPr>
          <w:p w14:paraId="5BEC0705" w14:textId="77777777" w:rsidR="00096FC2" w:rsidRPr="00CF7542" w:rsidRDefault="00096FC2" w:rsidP="00E54C37">
            <w:pPr>
              <w:jc w:val="center"/>
              <w:rPr>
                <w:b/>
              </w:rPr>
            </w:pPr>
            <w:r w:rsidRPr="00CF7542">
              <w:rPr>
                <w:b/>
              </w:rPr>
              <w:t>£000</w:t>
            </w:r>
          </w:p>
        </w:tc>
      </w:tr>
      <w:tr w:rsidR="003F64CF" w:rsidRPr="000127EF" w14:paraId="7EA1F83F" w14:textId="77777777" w:rsidTr="000E1C2E">
        <w:trPr>
          <w:jc w:val="center"/>
        </w:trPr>
        <w:tc>
          <w:tcPr>
            <w:tcW w:w="1454" w:type="dxa"/>
          </w:tcPr>
          <w:p w14:paraId="19C7B887" w14:textId="6513A037" w:rsidR="003F64CF" w:rsidRPr="003F64CF" w:rsidRDefault="003F64CF" w:rsidP="003F64CF">
            <w:pPr>
              <w:jc w:val="right"/>
              <w:rPr>
                <w:i/>
              </w:rPr>
            </w:pPr>
            <w:r w:rsidRPr="003F64CF">
              <w:rPr>
                <w:i/>
              </w:rPr>
              <w:t>611</w:t>
            </w:r>
          </w:p>
        </w:tc>
        <w:tc>
          <w:tcPr>
            <w:tcW w:w="5634" w:type="dxa"/>
            <w:vAlign w:val="center"/>
          </w:tcPr>
          <w:p w14:paraId="1DFEBFB4" w14:textId="77777777" w:rsidR="003F64CF" w:rsidRPr="000127EF" w:rsidRDefault="003F64CF" w:rsidP="003F64CF">
            <w:pPr>
              <w:rPr>
                <w:rFonts w:cs="Arial"/>
                <w:szCs w:val="22"/>
                <w:lang w:val="en-US"/>
              </w:rPr>
            </w:pPr>
            <w:r w:rsidRPr="000127EF">
              <w:rPr>
                <w:rFonts w:cs="Arial"/>
                <w:szCs w:val="22"/>
                <w:lang w:val="en-US"/>
              </w:rPr>
              <w:t>Not later than one year</w:t>
            </w:r>
          </w:p>
        </w:tc>
        <w:tc>
          <w:tcPr>
            <w:tcW w:w="1534" w:type="dxa"/>
            <w:shd w:val="clear" w:color="auto" w:fill="C5E0B3" w:themeFill="accent6" w:themeFillTint="66"/>
          </w:tcPr>
          <w:p w14:paraId="510D19C2" w14:textId="4F822BAD" w:rsidR="003F64CF" w:rsidRPr="00CF7542" w:rsidRDefault="00CF7542" w:rsidP="003F64CF">
            <w:pPr>
              <w:jc w:val="right"/>
            </w:pPr>
            <w:r w:rsidRPr="00CF7542">
              <w:t>622</w:t>
            </w:r>
          </w:p>
        </w:tc>
      </w:tr>
      <w:tr w:rsidR="003F64CF" w:rsidRPr="000127EF" w14:paraId="77E23640" w14:textId="77777777" w:rsidTr="000E1C2E">
        <w:trPr>
          <w:jc w:val="center"/>
        </w:trPr>
        <w:tc>
          <w:tcPr>
            <w:tcW w:w="1454" w:type="dxa"/>
          </w:tcPr>
          <w:p w14:paraId="7D62D021" w14:textId="50601B93" w:rsidR="003F64CF" w:rsidRPr="003F64CF" w:rsidRDefault="003F64CF" w:rsidP="003F64CF">
            <w:pPr>
              <w:jc w:val="right"/>
              <w:rPr>
                <w:i/>
              </w:rPr>
            </w:pPr>
            <w:r w:rsidRPr="003F64CF">
              <w:rPr>
                <w:i/>
              </w:rPr>
              <w:t>-</w:t>
            </w:r>
          </w:p>
        </w:tc>
        <w:tc>
          <w:tcPr>
            <w:tcW w:w="5634" w:type="dxa"/>
            <w:vAlign w:val="center"/>
          </w:tcPr>
          <w:p w14:paraId="52D78D21" w14:textId="39865098" w:rsidR="003F64CF" w:rsidRPr="000127EF" w:rsidRDefault="003F64CF" w:rsidP="003F64CF">
            <w:pPr>
              <w:rPr>
                <w:rFonts w:cs="Arial"/>
                <w:szCs w:val="22"/>
                <w:lang w:val="en-US"/>
              </w:rPr>
            </w:pPr>
            <w:r w:rsidRPr="000127EF">
              <w:rPr>
                <w:rFonts w:cs="Arial"/>
                <w:szCs w:val="22"/>
                <w:lang w:val="en-US"/>
              </w:rPr>
              <w:t>Change in accounting estimate- Not later than one year</w:t>
            </w:r>
          </w:p>
        </w:tc>
        <w:tc>
          <w:tcPr>
            <w:tcW w:w="1534" w:type="dxa"/>
            <w:shd w:val="clear" w:color="auto" w:fill="C5E0B3" w:themeFill="accent6" w:themeFillTint="66"/>
          </w:tcPr>
          <w:p w14:paraId="324E10AB" w14:textId="4FD27798" w:rsidR="003F64CF" w:rsidRPr="00CF7542" w:rsidRDefault="00CF7542" w:rsidP="003F64CF">
            <w:pPr>
              <w:jc w:val="right"/>
            </w:pPr>
            <w:r w:rsidRPr="00CF7542">
              <w:t>-</w:t>
            </w:r>
          </w:p>
        </w:tc>
      </w:tr>
      <w:tr w:rsidR="003F64CF" w:rsidRPr="000127EF" w14:paraId="109EC4B8" w14:textId="77777777" w:rsidTr="000E1C2E">
        <w:trPr>
          <w:jc w:val="center"/>
        </w:trPr>
        <w:tc>
          <w:tcPr>
            <w:tcW w:w="1454" w:type="dxa"/>
          </w:tcPr>
          <w:p w14:paraId="749DD260" w14:textId="5C12A396" w:rsidR="003F64CF" w:rsidRPr="003F64CF" w:rsidRDefault="003F64CF" w:rsidP="003F64CF">
            <w:pPr>
              <w:jc w:val="right"/>
              <w:rPr>
                <w:i/>
              </w:rPr>
            </w:pPr>
            <w:r w:rsidRPr="003F64CF">
              <w:rPr>
                <w:i/>
              </w:rPr>
              <w:t>1,752</w:t>
            </w:r>
          </w:p>
        </w:tc>
        <w:tc>
          <w:tcPr>
            <w:tcW w:w="5634" w:type="dxa"/>
            <w:vAlign w:val="center"/>
          </w:tcPr>
          <w:p w14:paraId="659CA98E" w14:textId="48E28AEC" w:rsidR="003F64CF" w:rsidRPr="000127EF" w:rsidRDefault="003F64CF" w:rsidP="003F64CF">
            <w:pPr>
              <w:rPr>
                <w:rFonts w:cs="Arial"/>
                <w:szCs w:val="22"/>
                <w:lang w:val="en-US"/>
              </w:rPr>
            </w:pPr>
            <w:r w:rsidRPr="000127EF">
              <w:rPr>
                <w:rFonts w:cs="Arial"/>
                <w:szCs w:val="22"/>
                <w:lang w:val="en-US"/>
              </w:rPr>
              <w:t>Later than one year and not later than five years</w:t>
            </w:r>
          </w:p>
        </w:tc>
        <w:tc>
          <w:tcPr>
            <w:tcW w:w="1534" w:type="dxa"/>
            <w:shd w:val="clear" w:color="auto" w:fill="C5E0B3" w:themeFill="accent6" w:themeFillTint="66"/>
          </w:tcPr>
          <w:p w14:paraId="46219004" w14:textId="2AE9CF95" w:rsidR="003F64CF" w:rsidRPr="00CF7542" w:rsidRDefault="00CF7542" w:rsidP="003F64CF">
            <w:pPr>
              <w:jc w:val="right"/>
            </w:pPr>
            <w:r w:rsidRPr="00CF7542">
              <w:t>1,673</w:t>
            </w:r>
          </w:p>
        </w:tc>
      </w:tr>
      <w:tr w:rsidR="003F64CF" w:rsidRPr="000127EF" w14:paraId="6176E757" w14:textId="77777777" w:rsidTr="000E1C2E">
        <w:trPr>
          <w:jc w:val="center"/>
        </w:trPr>
        <w:tc>
          <w:tcPr>
            <w:tcW w:w="1454" w:type="dxa"/>
            <w:tcBorders>
              <w:bottom w:val="single" w:sz="8" w:space="0" w:color="auto"/>
            </w:tcBorders>
          </w:tcPr>
          <w:p w14:paraId="2754E804" w14:textId="60DB7C7A" w:rsidR="003F64CF" w:rsidRPr="003F64CF" w:rsidRDefault="003F64CF" w:rsidP="003F64CF">
            <w:pPr>
              <w:jc w:val="right"/>
              <w:rPr>
                <w:i/>
              </w:rPr>
            </w:pPr>
            <w:r w:rsidRPr="003F64CF">
              <w:rPr>
                <w:i/>
              </w:rPr>
              <w:t>354</w:t>
            </w:r>
          </w:p>
        </w:tc>
        <w:tc>
          <w:tcPr>
            <w:tcW w:w="5634" w:type="dxa"/>
            <w:vAlign w:val="center"/>
          </w:tcPr>
          <w:p w14:paraId="7F55AC9A" w14:textId="35F84EA3" w:rsidR="003F64CF" w:rsidRPr="000127EF" w:rsidRDefault="003F64CF" w:rsidP="003F64CF">
            <w:pPr>
              <w:rPr>
                <w:rFonts w:cs="Arial"/>
                <w:szCs w:val="22"/>
                <w:lang w:val="en-US"/>
              </w:rPr>
            </w:pPr>
            <w:r w:rsidRPr="000127EF">
              <w:rPr>
                <w:rFonts w:cs="Arial"/>
                <w:szCs w:val="22"/>
                <w:lang w:val="en-US"/>
              </w:rPr>
              <w:t>Later than five yearsr</w:t>
            </w:r>
          </w:p>
        </w:tc>
        <w:tc>
          <w:tcPr>
            <w:tcW w:w="1534" w:type="dxa"/>
            <w:tcBorders>
              <w:bottom w:val="single" w:sz="8" w:space="0" w:color="auto"/>
            </w:tcBorders>
            <w:shd w:val="clear" w:color="auto" w:fill="C5E0B3" w:themeFill="accent6" w:themeFillTint="66"/>
          </w:tcPr>
          <w:p w14:paraId="14CB9745" w14:textId="1013C1CC" w:rsidR="003F64CF" w:rsidRPr="00CF7542" w:rsidRDefault="00CF7542" w:rsidP="003F64CF">
            <w:pPr>
              <w:jc w:val="right"/>
            </w:pPr>
            <w:r w:rsidRPr="00CF7542">
              <w:t>401</w:t>
            </w:r>
          </w:p>
        </w:tc>
      </w:tr>
      <w:tr w:rsidR="003F64CF" w:rsidRPr="000127EF" w14:paraId="4513B681" w14:textId="77777777" w:rsidTr="000E1C2E">
        <w:trPr>
          <w:jc w:val="center"/>
        </w:trPr>
        <w:tc>
          <w:tcPr>
            <w:tcW w:w="1454" w:type="dxa"/>
            <w:tcBorders>
              <w:top w:val="single" w:sz="8" w:space="0" w:color="auto"/>
              <w:bottom w:val="single" w:sz="8" w:space="0" w:color="auto"/>
            </w:tcBorders>
          </w:tcPr>
          <w:p w14:paraId="1B7F1CF8" w14:textId="33F4B707" w:rsidR="003F64CF" w:rsidRPr="003F64CF" w:rsidRDefault="003F64CF" w:rsidP="003F64CF">
            <w:pPr>
              <w:jc w:val="right"/>
              <w:rPr>
                <w:b/>
                <w:i/>
              </w:rPr>
            </w:pPr>
            <w:r w:rsidRPr="003F64CF">
              <w:rPr>
                <w:b/>
                <w:i/>
              </w:rPr>
              <w:t>2,717</w:t>
            </w:r>
          </w:p>
        </w:tc>
        <w:tc>
          <w:tcPr>
            <w:tcW w:w="5634" w:type="dxa"/>
            <w:vAlign w:val="center"/>
          </w:tcPr>
          <w:p w14:paraId="76870AFD" w14:textId="50E342CB" w:rsidR="003F64CF" w:rsidRPr="000127EF" w:rsidRDefault="003F64CF" w:rsidP="003F64CF">
            <w:pPr>
              <w:rPr>
                <w:rFonts w:cs="Arial"/>
                <w:b/>
                <w:szCs w:val="22"/>
                <w:lang w:val="en-US"/>
              </w:rPr>
            </w:pPr>
            <w:r w:rsidRPr="000127EF">
              <w:rPr>
                <w:rFonts w:cs="Arial"/>
                <w:b/>
                <w:szCs w:val="22"/>
                <w:lang w:val="en-US"/>
              </w:rPr>
              <w:t>Total</w:t>
            </w:r>
          </w:p>
        </w:tc>
        <w:tc>
          <w:tcPr>
            <w:tcW w:w="1534" w:type="dxa"/>
            <w:tcBorders>
              <w:top w:val="single" w:sz="8" w:space="0" w:color="auto"/>
              <w:bottom w:val="single" w:sz="8" w:space="0" w:color="auto"/>
            </w:tcBorders>
            <w:shd w:val="clear" w:color="auto" w:fill="C5E0B3" w:themeFill="accent6" w:themeFillTint="66"/>
          </w:tcPr>
          <w:p w14:paraId="35BD9541" w14:textId="6D5FAF41" w:rsidR="003F64CF" w:rsidRPr="00CF7542" w:rsidRDefault="00CF7542" w:rsidP="003F64CF">
            <w:pPr>
              <w:jc w:val="right"/>
              <w:rPr>
                <w:b/>
              </w:rPr>
            </w:pPr>
            <w:r w:rsidRPr="00CF7542">
              <w:rPr>
                <w:b/>
              </w:rPr>
              <w:t>2,696</w:t>
            </w:r>
          </w:p>
        </w:tc>
      </w:tr>
      <w:tr w:rsidR="00096FC2" w:rsidRPr="000127EF" w14:paraId="67FF9711" w14:textId="77777777" w:rsidTr="00FC790C">
        <w:trPr>
          <w:trHeight w:hRule="exact" w:val="142"/>
          <w:jc w:val="center"/>
        </w:trPr>
        <w:tc>
          <w:tcPr>
            <w:tcW w:w="1454" w:type="dxa"/>
            <w:tcBorders>
              <w:top w:val="single" w:sz="8" w:space="0" w:color="auto"/>
            </w:tcBorders>
          </w:tcPr>
          <w:p w14:paraId="26BD81BF" w14:textId="77777777" w:rsidR="00096FC2" w:rsidRPr="000127EF" w:rsidRDefault="00096FC2" w:rsidP="00E54C37">
            <w:pPr>
              <w:jc w:val="right"/>
              <w:rPr>
                <w:i/>
              </w:rPr>
            </w:pPr>
          </w:p>
        </w:tc>
        <w:tc>
          <w:tcPr>
            <w:tcW w:w="5634" w:type="dxa"/>
            <w:tcBorders>
              <w:top w:val="nil"/>
            </w:tcBorders>
          </w:tcPr>
          <w:p w14:paraId="4F2755C7" w14:textId="77777777" w:rsidR="00096FC2" w:rsidRPr="000127EF" w:rsidRDefault="00096FC2" w:rsidP="00E54C37">
            <w:pPr>
              <w:jc w:val="both"/>
            </w:pPr>
          </w:p>
        </w:tc>
        <w:tc>
          <w:tcPr>
            <w:tcW w:w="1534" w:type="dxa"/>
            <w:tcBorders>
              <w:top w:val="single" w:sz="8" w:space="0" w:color="auto"/>
            </w:tcBorders>
          </w:tcPr>
          <w:p w14:paraId="33128185" w14:textId="77777777" w:rsidR="00096FC2" w:rsidRPr="00CF7542" w:rsidRDefault="00096FC2" w:rsidP="00E54C37">
            <w:pPr>
              <w:jc w:val="right"/>
            </w:pPr>
          </w:p>
        </w:tc>
      </w:tr>
    </w:tbl>
    <w:p w14:paraId="53535984" w14:textId="77777777" w:rsidR="00096FC2" w:rsidRPr="000127EF" w:rsidRDefault="00627352" w:rsidP="006A674F">
      <w:pPr>
        <w:spacing w:before="120" w:after="120"/>
        <w:jc w:val="both"/>
      </w:pPr>
      <w:r w:rsidRPr="000127EF">
        <w:t>The minimum lease payments receivable do not include rents that are contingent on events taking place after the lease was entered into, such as adjustments following rent reviews</w:t>
      </w:r>
    </w:p>
    <w:p w14:paraId="3F9DFDD6" w14:textId="77777777" w:rsidR="00B666A5" w:rsidRPr="000127EF" w:rsidRDefault="00B666A5" w:rsidP="00D162D1">
      <w:pPr>
        <w:pStyle w:val="Heading1"/>
        <w:numPr>
          <w:ilvl w:val="0"/>
          <w:numId w:val="8"/>
        </w:numPr>
        <w:ind w:left="426"/>
        <w:rPr>
          <w:sz w:val="22"/>
          <w:szCs w:val="22"/>
        </w:rPr>
      </w:pPr>
      <w:r w:rsidRPr="000127EF">
        <w:rPr>
          <w:sz w:val="22"/>
          <w:szCs w:val="22"/>
        </w:rPr>
        <w:t>Debtors</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B666A5" w:rsidRPr="000127EF" w14:paraId="54858C43" w14:textId="77777777" w:rsidTr="009E51A5">
        <w:trPr>
          <w:trHeight w:val="283"/>
          <w:jc w:val="center"/>
        </w:trPr>
        <w:tc>
          <w:tcPr>
            <w:tcW w:w="1454" w:type="dxa"/>
          </w:tcPr>
          <w:p w14:paraId="2B1FCF43" w14:textId="7BC1DE58" w:rsidR="00B666A5" w:rsidRPr="000127EF" w:rsidRDefault="00C32F9E" w:rsidP="005744D8">
            <w:pPr>
              <w:jc w:val="center"/>
              <w:rPr>
                <w:b/>
                <w:i/>
              </w:rPr>
            </w:pPr>
            <w:r w:rsidRPr="000127EF">
              <w:rPr>
                <w:b/>
                <w:i/>
              </w:rPr>
              <w:t>201</w:t>
            </w:r>
            <w:r w:rsidR="003F64CF">
              <w:rPr>
                <w:b/>
                <w:i/>
              </w:rPr>
              <w:t>8/19</w:t>
            </w:r>
          </w:p>
        </w:tc>
        <w:tc>
          <w:tcPr>
            <w:tcW w:w="5634" w:type="dxa"/>
            <w:vAlign w:val="center"/>
          </w:tcPr>
          <w:p w14:paraId="7E5F12FB" w14:textId="77777777" w:rsidR="00B666A5" w:rsidRPr="000127EF" w:rsidRDefault="00B666A5" w:rsidP="009E51A5">
            <w:pPr>
              <w:jc w:val="center"/>
              <w:rPr>
                <w:b/>
              </w:rPr>
            </w:pPr>
            <w:r w:rsidRPr="000127EF">
              <w:rPr>
                <w:b/>
              </w:rPr>
              <w:t>Short-term debtors</w:t>
            </w:r>
          </w:p>
        </w:tc>
        <w:tc>
          <w:tcPr>
            <w:tcW w:w="1534" w:type="dxa"/>
          </w:tcPr>
          <w:p w14:paraId="206818A1" w14:textId="42B2004E" w:rsidR="00B666A5" w:rsidRPr="0086008A" w:rsidRDefault="003F64CF" w:rsidP="005744D8">
            <w:pPr>
              <w:jc w:val="center"/>
              <w:rPr>
                <w:b/>
              </w:rPr>
            </w:pPr>
            <w:r w:rsidRPr="0086008A">
              <w:rPr>
                <w:b/>
              </w:rPr>
              <w:t>2019/20</w:t>
            </w:r>
          </w:p>
        </w:tc>
      </w:tr>
      <w:tr w:rsidR="00B666A5" w:rsidRPr="000127EF" w14:paraId="198F51D4" w14:textId="77777777" w:rsidTr="009E51A5">
        <w:trPr>
          <w:jc w:val="center"/>
        </w:trPr>
        <w:tc>
          <w:tcPr>
            <w:tcW w:w="1454" w:type="dxa"/>
          </w:tcPr>
          <w:p w14:paraId="2262D3E3" w14:textId="77777777" w:rsidR="00B666A5" w:rsidRPr="000127EF" w:rsidRDefault="00B666A5" w:rsidP="009E51A5">
            <w:pPr>
              <w:jc w:val="center"/>
              <w:rPr>
                <w:b/>
                <w:i/>
              </w:rPr>
            </w:pPr>
            <w:r w:rsidRPr="000127EF">
              <w:rPr>
                <w:b/>
                <w:i/>
              </w:rPr>
              <w:t>£000</w:t>
            </w:r>
          </w:p>
        </w:tc>
        <w:tc>
          <w:tcPr>
            <w:tcW w:w="5634" w:type="dxa"/>
          </w:tcPr>
          <w:p w14:paraId="4467745F" w14:textId="77777777" w:rsidR="00B666A5" w:rsidRPr="000127EF" w:rsidRDefault="00B666A5" w:rsidP="009E51A5">
            <w:pPr>
              <w:jc w:val="center"/>
              <w:rPr>
                <w:b/>
              </w:rPr>
            </w:pPr>
          </w:p>
        </w:tc>
        <w:tc>
          <w:tcPr>
            <w:tcW w:w="1534" w:type="dxa"/>
            <w:shd w:val="clear" w:color="auto" w:fill="C5E0B3" w:themeFill="accent6" w:themeFillTint="66"/>
          </w:tcPr>
          <w:p w14:paraId="4FE8303C" w14:textId="77777777" w:rsidR="00B666A5" w:rsidRPr="0086008A" w:rsidRDefault="00B666A5" w:rsidP="009E51A5">
            <w:pPr>
              <w:jc w:val="center"/>
              <w:rPr>
                <w:b/>
              </w:rPr>
            </w:pPr>
            <w:r w:rsidRPr="0086008A">
              <w:rPr>
                <w:b/>
              </w:rPr>
              <w:t>£000</w:t>
            </w:r>
          </w:p>
        </w:tc>
      </w:tr>
      <w:tr w:rsidR="003F64CF" w:rsidRPr="000127EF" w14:paraId="3772C9F5" w14:textId="77777777" w:rsidTr="00E165AE">
        <w:trPr>
          <w:jc w:val="center"/>
        </w:trPr>
        <w:tc>
          <w:tcPr>
            <w:tcW w:w="1454" w:type="dxa"/>
          </w:tcPr>
          <w:p w14:paraId="2A42F84D" w14:textId="59840136" w:rsidR="003F64CF" w:rsidRPr="003F64CF" w:rsidRDefault="003F64CF" w:rsidP="003F64CF">
            <w:pPr>
              <w:jc w:val="right"/>
              <w:rPr>
                <w:i/>
              </w:rPr>
            </w:pPr>
            <w:r w:rsidRPr="003F64CF">
              <w:rPr>
                <w:i/>
              </w:rPr>
              <w:t>600</w:t>
            </w:r>
          </w:p>
        </w:tc>
        <w:tc>
          <w:tcPr>
            <w:tcW w:w="5634" w:type="dxa"/>
            <w:vAlign w:val="center"/>
          </w:tcPr>
          <w:p w14:paraId="663C63FC" w14:textId="77777777" w:rsidR="003F64CF" w:rsidRPr="000127EF" w:rsidRDefault="003F64CF" w:rsidP="003F64CF">
            <w:pPr>
              <w:rPr>
                <w:rFonts w:cs="Arial"/>
                <w:szCs w:val="22"/>
                <w:lang w:val="en-US"/>
              </w:rPr>
            </w:pPr>
            <w:r w:rsidRPr="000127EF">
              <w:rPr>
                <w:rFonts w:cs="Arial"/>
                <w:szCs w:val="22"/>
                <w:lang w:val="en-US"/>
              </w:rPr>
              <w:t>Central Government Bodies</w:t>
            </w:r>
          </w:p>
        </w:tc>
        <w:tc>
          <w:tcPr>
            <w:tcW w:w="1534" w:type="dxa"/>
            <w:shd w:val="clear" w:color="auto" w:fill="C5E0B3" w:themeFill="accent6" w:themeFillTint="66"/>
          </w:tcPr>
          <w:p w14:paraId="35D4955C" w14:textId="2E1E3479" w:rsidR="003F64CF" w:rsidRPr="0086008A" w:rsidRDefault="0086008A" w:rsidP="003F64CF">
            <w:pPr>
              <w:jc w:val="right"/>
            </w:pPr>
            <w:r w:rsidRPr="0086008A">
              <w:t>530</w:t>
            </w:r>
          </w:p>
        </w:tc>
      </w:tr>
      <w:tr w:rsidR="003F64CF" w:rsidRPr="000127EF" w14:paraId="7B9D6E70" w14:textId="77777777" w:rsidTr="00E165AE">
        <w:trPr>
          <w:jc w:val="center"/>
        </w:trPr>
        <w:tc>
          <w:tcPr>
            <w:tcW w:w="1454" w:type="dxa"/>
            <w:tcBorders>
              <w:bottom w:val="nil"/>
            </w:tcBorders>
          </w:tcPr>
          <w:p w14:paraId="49BA862F" w14:textId="099CB349" w:rsidR="003F64CF" w:rsidRPr="003F64CF" w:rsidRDefault="003F64CF" w:rsidP="003F64CF">
            <w:pPr>
              <w:jc w:val="right"/>
              <w:rPr>
                <w:i/>
              </w:rPr>
            </w:pPr>
            <w:r w:rsidRPr="003F64CF">
              <w:rPr>
                <w:i/>
              </w:rPr>
              <w:t>848</w:t>
            </w:r>
          </w:p>
        </w:tc>
        <w:tc>
          <w:tcPr>
            <w:tcW w:w="5634" w:type="dxa"/>
            <w:tcBorders>
              <w:bottom w:val="nil"/>
            </w:tcBorders>
          </w:tcPr>
          <w:p w14:paraId="13BA8C2C" w14:textId="77777777" w:rsidR="003F64CF" w:rsidRPr="000127EF" w:rsidRDefault="003F64CF" w:rsidP="003F64CF">
            <w:pPr>
              <w:rPr>
                <w:rFonts w:cs="Arial"/>
                <w:szCs w:val="22"/>
                <w:lang w:val="en-US"/>
              </w:rPr>
            </w:pPr>
            <w:r w:rsidRPr="000127EF">
              <w:rPr>
                <w:rFonts w:cs="Arial"/>
                <w:szCs w:val="22"/>
                <w:lang w:val="en-US"/>
              </w:rPr>
              <w:t>Other Local Authorities</w:t>
            </w:r>
          </w:p>
        </w:tc>
        <w:tc>
          <w:tcPr>
            <w:tcW w:w="1534" w:type="dxa"/>
            <w:tcBorders>
              <w:bottom w:val="nil"/>
            </w:tcBorders>
            <w:shd w:val="clear" w:color="auto" w:fill="C5E0B3" w:themeFill="accent6" w:themeFillTint="66"/>
          </w:tcPr>
          <w:p w14:paraId="76A03851" w14:textId="4652A662" w:rsidR="003F64CF" w:rsidRPr="0086008A" w:rsidRDefault="001F3AF2" w:rsidP="003F64CF">
            <w:pPr>
              <w:jc w:val="right"/>
            </w:pPr>
            <w:r>
              <w:t>49</w:t>
            </w:r>
          </w:p>
        </w:tc>
      </w:tr>
      <w:tr w:rsidR="003F64CF" w:rsidRPr="000127EF" w14:paraId="2842AD4B" w14:textId="77777777" w:rsidTr="00E165AE">
        <w:trPr>
          <w:jc w:val="center"/>
        </w:trPr>
        <w:tc>
          <w:tcPr>
            <w:tcW w:w="1454" w:type="dxa"/>
            <w:tcBorders>
              <w:bottom w:val="nil"/>
            </w:tcBorders>
          </w:tcPr>
          <w:p w14:paraId="61A2B7FF" w14:textId="3BACA705" w:rsidR="003F64CF" w:rsidRPr="003F64CF" w:rsidRDefault="003F64CF" w:rsidP="003F64CF">
            <w:pPr>
              <w:jc w:val="right"/>
              <w:rPr>
                <w:i/>
              </w:rPr>
            </w:pPr>
            <w:r w:rsidRPr="003F64CF">
              <w:rPr>
                <w:i/>
              </w:rPr>
              <w:t>787</w:t>
            </w:r>
          </w:p>
        </w:tc>
        <w:tc>
          <w:tcPr>
            <w:tcW w:w="5634" w:type="dxa"/>
            <w:tcBorders>
              <w:bottom w:val="nil"/>
            </w:tcBorders>
          </w:tcPr>
          <w:p w14:paraId="3A798E79" w14:textId="77777777" w:rsidR="003F64CF" w:rsidRPr="000127EF" w:rsidRDefault="003F64CF" w:rsidP="003F64CF">
            <w:pPr>
              <w:rPr>
                <w:rFonts w:cs="Arial"/>
                <w:szCs w:val="22"/>
                <w:lang w:val="en-US"/>
              </w:rPr>
            </w:pPr>
            <w:r w:rsidRPr="000127EF">
              <w:rPr>
                <w:rFonts w:cs="Arial"/>
                <w:szCs w:val="22"/>
                <w:lang w:val="en-US"/>
              </w:rPr>
              <w:t>NHS Bodies</w:t>
            </w:r>
          </w:p>
        </w:tc>
        <w:tc>
          <w:tcPr>
            <w:tcW w:w="1534" w:type="dxa"/>
            <w:tcBorders>
              <w:bottom w:val="nil"/>
            </w:tcBorders>
            <w:shd w:val="clear" w:color="auto" w:fill="C5E0B3" w:themeFill="accent6" w:themeFillTint="66"/>
          </w:tcPr>
          <w:p w14:paraId="645B93D1" w14:textId="7825EB9F" w:rsidR="003F64CF" w:rsidRPr="0086008A" w:rsidRDefault="0086008A" w:rsidP="003F64CF">
            <w:pPr>
              <w:jc w:val="right"/>
            </w:pPr>
            <w:r w:rsidRPr="0086008A">
              <w:t>529</w:t>
            </w:r>
          </w:p>
        </w:tc>
      </w:tr>
      <w:tr w:rsidR="003F64CF" w:rsidRPr="000127EF" w14:paraId="0CA4CD57" w14:textId="77777777" w:rsidTr="00E165AE">
        <w:trPr>
          <w:jc w:val="center"/>
        </w:trPr>
        <w:tc>
          <w:tcPr>
            <w:tcW w:w="1454" w:type="dxa"/>
            <w:tcBorders>
              <w:bottom w:val="nil"/>
            </w:tcBorders>
          </w:tcPr>
          <w:p w14:paraId="20FECD19" w14:textId="5DB53D91" w:rsidR="003F64CF" w:rsidRPr="003F64CF" w:rsidRDefault="003F64CF" w:rsidP="003F64CF">
            <w:pPr>
              <w:jc w:val="right"/>
              <w:rPr>
                <w:i/>
              </w:rPr>
            </w:pPr>
            <w:r w:rsidRPr="003F64CF">
              <w:rPr>
                <w:i/>
              </w:rPr>
              <w:t>256</w:t>
            </w:r>
          </w:p>
        </w:tc>
        <w:tc>
          <w:tcPr>
            <w:tcW w:w="5634" w:type="dxa"/>
            <w:tcBorders>
              <w:bottom w:val="nil"/>
            </w:tcBorders>
          </w:tcPr>
          <w:p w14:paraId="6A0EEA0F" w14:textId="77777777" w:rsidR="003F64CF" w:rsidRPr="000127EF" w:rsidRDefault="003F64CF" w:rsidP="003F64CF">
            <w:pPr>
              <w:rPr>
                <w:rFonts w:cs="Arial"/>
                <w:szCs w:val="22"/>
                <w:lang w:val="en-US"/>
              </w:rPr>
            </w:pPr>
            <w:r w:rsidRPr="000127EF">
              <w:rPr>
                <w:rFonts w:cs="Arial"/>
                <w:szCs w:val="22"/>
                <w:lang w:val="en-US"/>
              </w:rPr>
              <w:t>Schools</w:t>
            </w:r>
          </w:p>
        </w:tc>
        <w:tc>
          <w:tcPr>
            <w:tcW w:w="1534" w:type="dxa"/>
            <w:tcBorders>
              <w:bottom w:val="nil"/>
            </w:tcBorders>
            <w:shd w:val="clear" w:color="auto" w:fill="C5E0B3" w:themeFill="accent6" w:themeFillTint="66"/>
          </w:tcPr>
          <w:p w14:paraId="59362135" w14:textId="234CBF58" w:rsidR="003F64CF" w:rsidRPr="0086008A" w:rsidRDefault="0086008A" w:rsidP="003F64CF">
            <w:pPr>
              <w:jc w:val="right"/>
            </w:pPr>
            <w:r w:rsidRPr="0086008A">
              <w:t>150</w:t>
            </w:r>
          </w:p>
        </w:tc>
      </w:tr>
      <w:tr w:rsidR="003F64CF" w:rsidRPr="000127EF" w14:paraId="5E58361F" w14:textId="77777777" w:rsidTr="00E165AE">
        <w:trPr>
          <w:jc w:val="center"/>
        </w:trPr>
        <w:tc>
          <w:tcPr>
            <w:tcW w:w="1454" w:type="dxa"/>
            <w:tcBorders>
              <w:bottom w:val="nil"/>
            </w:tcBorders>
          </w:tcPr>
          <w:p w14:paraId="29664957" w14:textId="7D0F81D8" w:rsidR="003F64CF" w:rsidRPr="003F64CF" w:rsidRDefault="003F64CF" w:rsidP="003F64CF">
            <w:pPr>
              <w:jc w:val="right"/>
              <w:rPr>
                <w:i/>
              </w:rPr>
            </w:pPr>
            <w:r w:rsidRPr="003F64CF">
              <w:rPr>
                <w:i/>
              </w:rPr>
              <w:t>2,321</w:t>
            </w:r>
          </w:p>
        </w:tc>
        <w:tc>
          <w:tcPr>
            <w:tcW w:w="5634" w:type="dxa"/>
            <w:tcBorders>
              <w:bottom w:val="nil"/>
            </w:tcBorders>
          </w:tcPr>
          <w:p w14:paraId="54185410" w14:textId="77777777" w:rsidR="003F64CF" w:rsidRPr="000127EF" w:rsidRDefault="003F64CF" w:rsidP="003F64CF">
            <w:pPr>
              <w:rPr>
                <w:rFonts w:cs="Arial"/>
                <w:szCs w:val="22"/>
                <w:lang w:val="en-US"/>
              </w:rPr>
            </w:pPr>
            <w:r w:rsidRPr="000127EF">
              <w:rPr>
                <w:rFonts w:cs="Arial"/>
                <w:szCs w:val="22"/>
                <w:lang w:val="en-US"/>
              </w:rPr>
              <w:t>Other Entities &amp; Individuals</w:t>
            </w:r>
          </w:p>
        </w:tc>
        <w:tc>
          <w:tcPr>
            <w:tcW w:w="1534" w:type="dxa"/>
            <w:tcBorders>
              <w:bottom w:val="nil"/>
            </w:tcBorders>
            <w:shd w:val="clear" w:color="auto" w:fill="C5E0B3" w:themeFill="accent6" w:themeFillTint="66"/>
          </w:tcPr>
          <w:p w14:paraId="445DD243" w14:textId="5AB1E1A6" w:rsidR="003F64CF" w:rsidRPr="0086008A" w:rsidRDefault="0086008A" w:rsidP="003F64CF">
            <w:pPr>
              <w:jc w:val="right"/>
            </w:pPr>
            <w:r w:rsidRPr="0086008A">
              <w:t>1,</w:t>
            </w:r>
            <w:r w:rsidR="00374AE9">
              <w:t>698</w:t>
            </w:r>
          </w:p>
        </w:tc>
      </w:tr>
      <w:tr w:rsidR="003F64CF" w:rsidRPr="000127EF" w14:paraId="0C42913D" w14:textId="77777777" w:rsidTr="00E165AE">
        <w:trPr>
          <w:jc w:val="center"/>
        </w:trPr>
        <w:tc>
          <w:tcPr>
            <w:tcW w:w="1454" w:type="dxa"/>
            <w:tcBorders>
              <w:top w:val="single" w:sz="8" w:space="0" w:color="auto"/>
              <w:bottom w:val="single" w:sz="8" w:space="0" w:color="auto"/>
            </w:tcBorders>
          </w:tcPr>
          <w:p w14:paraId="79211EAC" w14:textId="1AF8F079" w:rsidR="003F64CF" w:rsidRPr="003F64CF" w:rsidRDefault="003F64CF" w:rsidP="003F64CF">
            <w:pPr>
              <w:jc w:val="right"/>
              <w:rPr>
                <w:b/>
                <w:i/>
              </w:rPr>
            </w:pPr>
            <w:r w:rsidRPr="003F64CF">
              <w:rPr>
                <w:b/>
                <w:i/>
              </w:rPr>
              <w:fldChar w:fldCharType="begin"/>
            </w:r>
            <w:r w:rsidRPr="003F64CF">
              <w:rPr>
                <w:b/>
                <w:i/>
              </w:rPr>
              <w:instrText xml:space="preserve"> =SUM(C3:C7) </w:instrText>
            </w:r>
            <w:r w:rsidRPr="003F64CF">
              <w:rPr>
                <w:b/>
                <w:i/>
              </w:rPr>
              <w:fldChar w:fldCharType="separate"/>
            </w:r>
            <w:r w:rsidRPr="003F64CF">
              <w:rPr>
                <w:b/>
                <w:i/>
                <w:noProof/>
              </w:rPr>
              <w:t>4,812</w:t>
            </w:r>
            <w:r w:rsidRPr="003F64CF">
              <w:rPr>
                <w:b/>
                <w:i/>
              </w:rPr>
              <w:fldChar w:fldCharType="end"/>
            </w:r>
          </w:p>
        </w:tc>
        <w:tc>
          <w:tcPr>
            <w:tcW w:w="5634" w:type="dxa"/>
            <w:tcBorders>
              <w:bottom w:val="nil"/>
            </w:tcBorders>
          </w:tcPr>
          <w:p w14:paraId="06A29D68" w14:textId="77777777" w:rsidR="003F64CF" w:rsidRPr="000127EF" w:rsidRDefault="003F64CF" w:rsidP="003F64CF">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277D4812" w14:textId="0B095099" w:rsidR="003F64CF" w:rsidRPr="0086008A" w:rsidRDefault="00374AE9" w:rsidP="003F64CF">
            <w:pPr>
              <w:jc w:val="right"/>
              <w:rPr>
                <w:b/>
              </w:rPr>
            </w:pPr>
            <w:r>
              <w:rPr>
                <w:b/>
              </w:rPr>
              <w:t>2</w:t>
            </w:r>
            <w:r w:rsidR="0086008A" w:rsidRPr="0086008A">
              <w:rPr>
                <w:b/>
              </w:rPr>
              <w:t>,</w:t>
            </w:r>
            <w:r>
              <w:rPr>
                <w:b/>
              </w:rPr>
              <w:t>956</w:t>
            </w:r>
          </w:p>
        </w:tc>
      </w:tr>
      <w:tr w:rsidR="00F82E5E" w:rsidRPr="000127EF" w14:paraId="295208D5" w14:textId="77777777" w:rsidTr="009E51A5">
        <w:trPr>
          <w:trHeight w:hRule="exact" w:val="142"/>
          <w:jc w:val="center"/>
        </w:trPr>
        <w:tc>
          <w:tcPr>
            <w:tcW w:w="1454" w:type="dxa"/>
            <w:tcBorders>
              <w:top w:val="nil"/>
            </w:tcBorders>
          </w:tcPr>
          <w:p w14:paraId="70CA9B90" w14:textId="77777777" w:rsidR="00F82E5E" w:rsidRPr="000127EF" w:rsidRDefault="00F82E5E" w:rsidP="00F82E5E">
            <w:pPr>
              <w:jc w:val="right"/>
              <w:rPr>
                <w:i/>
              </w:rPr>
            </w:pPr>
          </w:p>
        </w:tc>
        <w:tc>
          <w:tcPr>
            <w:tcW w:w="5634" w:type="dxa"/>
            <w:tcBorders>
              <w:top w:val="nil"/>
            </w:tcBorders>
          </w:tcPr>
          <w:p w14:paraId="27BECB51" w14:textId="77777777" w:rsidR="00F82E5E" w:rsidRPr="000127EF" w:rsidRDefault="00F82E5E" w:rsidP="00F82E5E">
            <w:pPr>
              <w:jc w:val="both"/>
            </w:pPr>
          </w:p>
        </w:tc>
        <w:tc>
          <w:tcPr>
            <w:tcW w:w="1534" w:type="dxa"/>
            <w:tcBorders>
              <w:top w:val="nil"/>
            </w:tcBorders>
          </w:tcPr>
          <w:p w14:paraId="5D8A9A65" w14:textId="77777777" w:rsidR="00F82E5E" w:rsidRPr="0086008A" w:rsidRDefault="00F82E5E" w:rsidP="00F82E5E">
            <w:pPr>
              <w:jc w:val="right"/>
            </w:pPr>
          </w:p>
        </w:tc>
      </w:tr>
    </w:tbl>
    <w:p w14:paraId="16466D48" w14:textId="77777777" w:rsidR="00B666A5" w:rsidRPr="000127EF" w:rsidRDefault="00B666A5" w:rsidP="006A674F">
      <w:pPr>
        <w:jc w:val="both"/>
      </w:pP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1400E8" w:rsidRPr="000127EF" w14:paraId="54BD49BE" w14:textId="77777777" w:rsidTr="00D764D3">
        <w:trPr>
          <w:trHeight w:val="283"/>
          <w:jc w:val="center"/>
        </w:trPr>
        <w:tc>
          <w:tcPr>
            <w:tcW w:w="1454" w:type="dxa"/>
          </w:tcPr>
          <w:p w14:paraId="26DB1B6E" w14:textId="3C8BDC3D" w:rsidR="001400E8" w:rsidRPr="000127EF" w:rsidRDefault="00C32F9E" w:rsidP="00D35B59">
            <w:pPr>
              <w:jc w:val="center"/>
              <w:rPr>
                <w:b/>
                <w:i/>
              </w:rPr>
            </w:pPr>
            <w:r w:rsidRPr="000127EF">
              <w:rPr>
                <w:b/>
                <w:i/>
              </w:rPr>
              <w:t>201</w:t>
            </w:r>
            <w:r w:rsidR="003F64CF">
              <w:rPr>
                <w:b/>
                <w:i/>
              </w:rPr>
              <w:t>8/19</w:t>
            </w:r>
          </w:p>
        </w:tc>
        <w:tc>
          <w:tcPr>
            <w:tcW w:w="5634" w:type="dxa"/>
            <w:vAlign w:val="center"/>
          </w:tcPr>
          <w:p w14:paraId="3EB80E3F" w14:textId="77777777" w:rsidR="001400E8" w:rsidRPr="000127EF" w:rsidRDefault="001400E8" w:rsidP="009E51A5">
            <w:pPr>
              <w:jc w:val="center"/>
              <w:rPr>
                <w:b/>
              </w:rPr>
            </w:pPr>
            <w:r w:rsidRPr="000127EF">
              <w:rPr>
                <w:b/>
              </w:rPr>
              <w:t>Long-term debtors</w:t>
            </w:r>
          </w:p>
        </w:tc>
        <w:tc>
          <w:tcPr>
            <w:tcW w:w="1534" w:type="dxa"/>
          </w:tcPr>
          <w:p w14:paraId="36076513" w14:textId="666472D5" w:rsidR="001400E8" w:rsidRPr="0086008A" w:rsidRDefault="00C32F9E" w:rsidP="00D35B59">
            <w:pPr>
              <w:jc w:val="center"/>
              <w:rPr>
                <w:b/>
              </w:rPr>
            </w:pPr>
            <w:r w:rsidRPr="0086008A">
              <w:rPr>
                <w:b/>
              </w:rPr>
              <w:t>201</w:t>
            </w:r>
            <w:r w:rsidR="003F64CF" w:rsidRPr="0086008A">
              <w:rPr>
                <w:b/>
              </w:rPr>
              <w:t>9/20</w:t>
            </w:r>
          </w:p>
        </w:tc>
      </w:tr>
      <w:tr w:rsidR="001400E8" w:rsidRPr="000127EF" w14:paraId="2CD60184" w14:textId="77777777" w:rsidTr="00D764D3">
        <w:trPr>
          <w:trHeight w:val="513"/>
          <w:jc w:val="center"/>
        </w:trPr>
        <w:tc>
          <w:tcPr>
            <w:tcW w:w="1454" w:type="dxa"/>
          </w:tcPr>
          <w:p w14:paraId="7CC2CE91" w14:textId="77777777" w:rsidR="001400E8" w:rsidRPr="000127EF" w:rsidRDefault="001400E8" w:rsidP="009E51A5">
            <w:pPr>
              <w:jc w:val="center"/>
              <w:rPr>
                <w:b/>
                <w:i/>
              </w:rPr>
            </w:pPr>
            <w:r w:rsidRPr="000127EF">
              <w:rPr>
                <w:b/>
                <w:i/>
              </w:rPr>
              <w:t>£000</w:t>
            </w:r>
          </w:p>
        </w:tc>
        <w:tc>
          <w:tcPr>
            <w:tcW w:w="5634" w:type="dxa"/>
          </w:tcPr>
          <w:p w14:paraId="587B9AFE" w14:textId="77777777" w:rsidR="001400E8" w:rsidRPr="000127EF" w:rsidRDefault="001400E8" w:rsidP="009E51A5">
            <w:pPr>
              <w:jc w:val="center"/>
              <w:rPr>
                <w:b/>
              </w:rPr>
            </w:pPr>
          </w:p>
        </w:tc>
        <w:tc>
          <w:tcPr>
            <w:tcW w:w="1534" w:type="dxa"/>
            <w:shd w:val="clear" w:color="auto" w:fill="C5E0B3" w:themeFill="accent6" w:themeFillTint="66"/>
          </w:tcPr>
          <w:p w14:paraId="18F5E81B" w14:textId="77777777" w:rsidR="001400E8" w:rsidRPr="0086008A" w:rsidRDefault="001400E8" w:rsidP="009E51A5">
            <w:pPr>
              <w:jc w:val="center"/>
              <w:rPr>
                <w:b/>
              </w:rPr>
            </w:pPr>
            <w:r w:rsidRPr="0086008A">
              <w:rPr>
                <w:b/>
              </w:rPr>
              <w:t>£000</w:t>
            </w:r>
          </w:p>
        </w:tc>
      </w:tr>
      <w:tr w:rsidR="003F64CF" w:rsidRPr="000127EF" w14:paraId="3F3DD8E2" w14:textId="77777777" w:rsidTr="00D764D3">
        <w:trPr>
          <w:jc w:val="center"/>
        </w:trPr>
        <w:tc>
          <w:tcPr>
            <w:tcW w:w="1454" w:type="dxa"/>
            <w:tcBorders>
              <w:bottom w:val="nil"/>
            </w:tcBorders>
          </w:tcPr>
          <w:p w14:paraId="2904F727" w14:textId="5C7B4436" w:rsidR="003F64CF" w:rsidRPr="003F64CF" w:rsidRDefault="003F64CF" w:rsidP="003F64CF">
            <w:pPr>
              <w:jc w:val="right"/>
              <w:rPr>
                <w:i/>
              </w:rPr>
            </w:pPr>
            <w:r w:rsidRPr="003F64CF">
              <w:rPr>
                <w:i/>
              </w:rPr>
              <w:t>116</w:t>
            </w:r>
          </w:p>
        </w:tc>
        <w:tc>
          <w:tcPr>
            <w:tcW w:w="5634" w:type="dxa"/>
            <w:tcBorders>
              <w:bottom w:val="nil"/>
            </w:tcBorders>
          </w:tcPr>
          <w:p w14:paraId="3E8A509C" w14:textId="77777777" w:rsidR="003F64CF" w:rsidRPr="000127EF" w:rsidRDefault="003F64CF" w:rsidP="003F64CF">
            <w:pPr>
              <w:rPr>
                <w:rFonts w:cs="Arial"/>
                <w:szCs w:val="22"/>
                <w:lang w:val="en-US"/>
              </w:rPr>
            </w:pPr>
            <w:r w:rsidRPr="000127EF">
              <w:rPr>
                <w:rFonts w:cs="Arial"/>
                <w:szCs w:val="22"/>
                <w:lang w:val="en-US"/>
              </w:rPr>
              <w:t>Housing Association</w:t>
            </w:r>
          </w:p>
        </w:tc>
        <w:tc>
          <w:tcPr>
            <w:tcW w:w="1534" w:type="dxa"/>
            <w:tcBorders>
              <w:bottom w:val="nil"/>
            </w:tcBorders>
            <w:shd w:val="clear" w:color="auto" w:fill="C5E0B3" w:themeFill="accent6" w:themeFillTint="66"/>
          </w:tcPr>
          <w:p w14:paraId="5B434869" w14:textId="5DCD1C89" w:rsidR="003F64CF" w:rsidRPr="0086008A" w:rsidRDefault="0086008A" w:rsidP="003F64CF">
            <w:pPr>
              <w:jc w:val="right"/>
            </w:pPr>
            <w:r w:rsidRPr="0086008A">
              <w:t>114</w:t>
            </w:r>
          </w:p>
        </w:tc>
      </w:tr>
      <w:tr w:rsidR="003F64CF" w:rsidRPr="000127EF" w14:paraId="423AD2E7" w14:textId="77777777" w:rsidTr="00D764D3">
        <w:trPr>
          <w:jc w:val="center"/>
        </w:trPr>
        <w:tc>
          <w:tcPr>
            <w:tcW w:w="1454" w:type="dxa"/>
            <w:tcBorders>
              <w:bottom w:val="nil"/>
            </w:tcBorders>
          </w:tcPr>
          <w:p w14:paraId="42B62FCA" w14:textId="68C3FC6E" w:rsidR="003F64CF" w:rsidRPr="003F64CF" w:rsidRDefault="003F64CF" w:rsidP="003F64CF">
            <w:pPr>
              <w:jc w:val="right"/>
              <w:rPr>
                <w:i/>
              </w:rPr>
            </w:pPr>
            <w:r w:rsidRPr="003F64CF">
              <w:rPr>
                <w:i/>
              </w:rPr>
              <w:t>73</w:t>
            </w:r>
          </w:p>
        </w:tc>
        <w:tc>
          <w:tcPr>
            <w:tcW w:w="5634" w:type="dxa"/>
            <w:tcBorders>
              <w:bottom w:val="nil"/>
            </w:tcBorders>
          </w:tcPr>
          <w:p w14:paraId="6254427B" w14:textId="0B78C934" w:rsidR="003F64CF" w:rsidRPr="000127EF" w:rsidRDefault="003F64CF" w:rsidP="003F64CF">
            <w:pPr>
              <w:rPr>
                <w:rFonts w:cs="Arial"/>
                <w:szCs w:val="22"/>
                <w:lang w:val="en-US"/>
              </w:rPr>
            </w:pPr>
            <w:r w:rsidRPr="000127EF">
              <w:rPr>
                <w:rFonts w:cs="Arial"/>
                <w:szCs w:val="22"/>
                <w:lang w:val="en-US"/>
              </w:rPr>
              <w:t xml:space="preserve">Other </w:t>
            </w:r>
          </w:p>
        </w:tc>
        <w:tc>
          <w:tcPr>
            <w:tcW w:w="1534" w:type="dxa"/>
            <w:tcBorders>
              <w:bottom w:val="nil"/>
            </w:tcBorders>
            <w:shd w:val="clear" w:color="auto" w:fill="C5E0B3" w:themeFill="accent6" w:themeFillTint="66"/>
          </w:tcPr>
          <w:p w14:paraId="55874A50" w14:textId="62F124E0" w:rsidR="003F64CF" w:rsidRPr="0086008A" w:rsidRDefault="0086008A" w:rsidP="003F64CF">
            <w:pPr>
              <w:jc w:val="right"/>
            </w:pPr>
            <w:r w:rsidRPr="0086008A">
              <w:t>34</w:t>
            </w:r>
          </w:p>
        </w:tc>
      </w:tr>
      <w:tr w:rsidR="003F64CF" w:rsidRPr="000127EF" w14:paraId="070E2155" w14:textId="77777777" w:rsidTr="00D764D3">
        <w:trPr>
          <w:jc w:val="center"/>
        </w:trPr>
        <w:tc>
          <w:tcPr>
            <w:tcW w:w="1454" w:type="dxa"/>
            <w:tcBorders>
              <w:top w:val="single" w:sz="8" w:space="0" w:color="auto"/>
              <w:bottom w:val="single" w:sz="8" w:space="0" w:color="auto"/>
            </w:tcBorders>
          </w:tcPr>
          <w:p w14:paraId="65B9BAB6" w14:textId="4AA29600" w:rsidR="003F64CF" w:rsidRPr="003F64CF" w:rsidRDefault="003F64CF" w:rsidP="003F64CF">
            <w:pPr>
              <w:jc w:val="right"/>
              <w:rPr>
                <w:i/>
              </w:rPr>
            </w:pPr>
            <w:r w:rsidRPr="003F64CF">
              <w:rPr>
                <w:b/>
                <w:i/>
              </w:rPr>
              <w:fldChar w:fldCharType="begin"/>
            </w:r>
            <w:r w:rsidRPr="003F64CF">
              <w:rPr>
                <w:b/>
                <w:i/>
              </w:rPr>
              <w:instrText xml:space="preserve"> =SUM(c3:c4) </w:instrText>
            </w:r>
            <w:r w:rsidRPr="003F64CF">
              <w:rPr>
                <w:b/>
                <w:i/>
              </w:rPr>
              <w:fldChar w:fldCharType="separate"/>
            </w:r>
            <w:r w:rsidRPr="003F64CF">
              <w:rPr>
                <w:b/>
                <w:i/>
                <w:noProof/>
              </w:rPr>
              <w:t>189</w:t>
            </w:r>
            <w:r w:rsidRPr="003F64CF">
              <w:rPr>
                <w:b/>
                <w:i/>
              </w:rPr>
              <w:fldChar w:fldCharType="end"/>
            </w:r>
          </w:p>
        </w:tc>
        <w:tc>
          <w:tcPr>
            <w:tcW w:w="5634" w:type="dxa"/>
            <w:tcBorders>
              <w:bottom w:val="nil"/>
            </w:tcBorders>
          </w:tcPr>
          <w:p w14:paraId="213CCD4F" w14:textId="36B7E0C9" w:rsidR="003F64CF" w:rsidRPr="000127EF" w:rsidRDefault="003F64CF" w:rsidP="003F64CF">
            <w:pPr>
              <w:rPr>
                <w:rFonts w:cs="Arial"/>
                <w:szCs w:val="22"/>
                <w:lang w:val="en-US"/>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349D0679" w14:textId="2137BF82" w:rsidR="003F64CF" w:rsidRPr="005D3FC5" w:rsidRDefault="0086008A" w:rsidP="003F64CF">
            <w:pPr>
              <w:jc w:val="right"/>
              <w:rPr>
                <w:b/>
                <w:bCs/>
              </w:rPr>
            </w:pPr>
            <w:r w:rsidRPr="005D3FC5">
              <w:rPr>
                <w:b/>
                <w:bCs/>
              </w:rPr>
              <w:t>148</w:t>
            </w:r>
          </w:p>
        </w:tc>
      </w:tr>
      <w:tr w:rsidR="00D764D3" w:rsidRPr="000127EF" w14:paraId="4C21BE91" w14:textId="77777777" w:rsidTr="00D764D3">
        <w:trPr>
          <w:trHeight w:hRule="exact" w:val="142"/>
          <w:jc w:val="center"/>
        </w:trPr>
        <w:tc>
          <w:tcPr>
            <w:tcW w:w="1454" w:type="dxa"/>
            <w:tcBorders>
              <w:top w:val="nil"/>
            </w:tcBorders>
          </w:tcPr>
          <w:p w14:paraId="0BAEEE71" w14:textId="77777777" w:rsidR="00D764D3" w:rsidRPr="000127EF" w:rsidRDefault="00D764D3" w:rsidP="00F82E5E">
            <w:pPr>
              <w:jc w:val="right"/>
              <w:rPr>
                <w:i/>
              </w:rPr>
            </w:pPr>
          </w:p>
        </w:tc>
        <w:tc>
          <w:tcPr>
            <w:tcW w:w="5634" w:type="dxa"/>
            <w:tcBorders>
              <w:top w:val="nil"/>
            </w:tcBorders>
          </w:tcPr>
          <w:p w14:paraId="50FE0BB7" w14:textId="77777777" w:rsidR="00D764D3" w:rsidRPr="000127EF" w:rsidRDefault="00D764D3" w:rsidP="00F82E5E">
            <w:pPr>
              <w:jc w:val="both"/>
            </w:pPr>
          </w:p>
        </w:tc>
        <w:tc>
          <w:tcPr>
            <w:tcW w:w="1534" w:type="dxa"/>
            <w:tcBorders>
              <w:top w:val="nil"/>
            </w:tcBorders>
          </w:tcPr>
          <w:p w14:paraId="3D143AD4" w14:textId="77777777" w:rsidR="00D764D3" w:rsidRPr="0086008A" w:rsidRDefault="00D764D3" w:rsidP="00F82E5E">
            <w:pPr>
              <w:jc w:val="right"/>
            </w:pPr>
          </w:p>
        </w:tc>
      </w:tr>
    </w:tbl>
    <w:p w14:paraId="45989B90" w14:textId="31488747" w:rsidR="000146C8" w:rsidRPr="000127EF" w:rsidRDefault="00B46CD2" w:rsidP="004C3004">
      <w:pPr>
        <w:pStyle w:val="Heading1"/>
        <w:numPr>
          <w:ilvl w:val="0"/>
          <w:numId w:val="8"/>
        </w:numPr>
        <w:ind w:left="426"/>
        <w:rPr>
          <w:sz w:val="22"/>
          <w:szCs w:val="22"/>
        </w:rPr>
      </w:pPr>
      <w:r w:rsidRPr="000127EF">
        <w:rPr>
          <w:sz w:val="22"/>
          <w:szCs w:val="22"/>
        </w:rPr>
        <w:t>Intangible Assets</w:t>
      </w:r>
      <w:r w:rsidRPr="000127EF">
        <w:rPr>
          <w:sz w:val="22"/>
          <w:szCs w:val="22"/>
        </w:rPr>
        <w:tab/>
      </w:r>
    </w:p>
    <w:p w14:paraId="0A94C9D1" w14:textId="77777777" w:rsidR="003B0398" w:rsidRPr="000127EF" w:rsidRDefault="00B46CD2" w:rsidP="00831983">
      <w:pPr>
        <w:spacing w:after="240"/>
      </w:pPr>
      <w:r w:rsidRPr="000127EF">
        <w:t>The authority accounts for its software as intangible asset, to the extent that the software is not an integral part of a partic</w:t>
      </w:r>
      <w:r w:rsidR="003B0398" w:rsidRPr="000127EF">
        <w:t>ular IT system and accounted for as part of the hardware item of Property, Plant and Equipment. The intangible assets are purchased licenses.</w:t>
      </w:r>
    </w:p>
    <w:tbl>
      <w:tblPr>
        <w:tblStyle w:val="TableGrid"/>
        <w:tblW w:w="8713"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69"/>
        <w:gridCol w:w="5695"/>
        <w:gridCol w:w="1549"/>
      </w:tblGrid>
      <w:tr w:rsidR="007075E5" w:rsidRPr="000127EF" w14:paraId="72E2225C" w14:textId="77777777" w:rsidTr="001F0A41">
        <w:trPr>
          <w:trHeight w:val="281"/>
          <w:jc w:val="center"/>
        </w:trPr>
        <w:tc>
          <w:tcPr>
            <w:tcW w:w="1469" w:type="dxa"/>
          </w:tcPr>
          <w:p w14:paraId="3AD0B172" w14:textId="1A8727ED" w:rsidR="007075E5" w:rsidRPr="000127EF" w:rsidRDefault="0002399F" w:rsidP="007A79E7">
            <w:pPr>
              <w:jc w:val="center"/>
              <w:rPr>
                <w:b/>
                <w:i/>
              </w:rPr>
            </w:pPr>
            <w:r>
              <w:rPr>
                <w:b/>
                <w:i/>
              </w:rPr>
              <w:t>2018/19</w:t>
            </w:r>
          </w:p>
        </w:tc>
        <w:tc>
          <w:tcPr>
            <w:tcW w:w="5695" w:type="dxa"/>
            <w:vAlign w:val="center"/>
          </w:tcPr>
          <w:p w14:paraId="733426BF" w14:textId="77777777" w:rsidR="007075E5" w:rsidRPr="000127EF" w:rsidRDefault="007075E5" w:rsidP="007A79E7">
            <w:pPr>
              <w:jc w:val="center"/>
              <w:rPr>
                <w:b/>
              </w:rPr>
            </w:pPr>
            <w:r w:rsidRPr="000127EF">
              <w:rPr>
                <w:b/>
              </w:rPr>
              <w:t>Intangible Assets</w:t>
            </w:r>
          </w:p>
        </w:tc>
        <w:tc>
          <w:tcPr>
            <w:tcW w:w="1549" w:type="dxa"/>
          </w:tcPr>
          <w:p w14:paraId="32BF6067" w14:textId="5857B778" w:rsidR="007075E5" w:rsidRPr="002327AB" w:rsidRDefault="0002399F" w:rsidP="007A79E7">
            <w:pPr>
              <w:jc w:val="center"/>
              <w:rPr>
                <w:b/>
              </w:rPr>
            </w:pPr>
            <w:r w:rsidRPr="002327AB">
              <w:rPr>
                <w:b/>
              </w:rPr>
              <w:t>2019/20</w:t>
            </w:r>
          </w:p>
        </w:tc>
      </w:tr>
      <w:tr w:rsidR="007075E5" w:rsidRPr="000127EF" w14:paraId="5D90F990" w14:textId="77777777" w:rsidTr="001F0A41">
        <w:trPr>
          <w:trHeight w:val="253"/>
          <w:jc w:val="center"/>
        </w:trPr>
        <w:tc>
          <w:tcPr>
            <w:tcW w:w="1469" w:type="dxa"/>
          </w:tcPr>
          <w:p w14:paraId="684D268B" w14:textId="77777777" w:rsidR="007075E5" w:rsidRPr="000127EF" w:rsidRDefault="007075E5" w:rsidP="007A79E7">
            <w:pPr>
              <w:jc w:val="center"/>
              <w:rPr>
                <w:b/>
                <w:i/>
              </w:rPr>
            </w:pPr>
            <w:r w:rsidRPr="000127EF">
              <w:rPr>
                <w:b/>
                <w:i/>
              </w:rPr>
              <w:t>£000</w:t>
            </w:r>
          </w:p>
        </w:tc>
        <w:tc>
          <w:tcPr>
            <w:tcW w:w="5695" w:type="dxa"/>
          </w:tcPr>
          <w:p w14:paraId="72CC9DE6" w14:textId="77777777" w:rsidR="007075E5" w:rsidRPr="000127EF" w:rsidRDefault="007075E5" w:rsidP="007A79E7">
            <w:pPr>
              <w:jc w:val="center"/>
              <w:rPr>
                <w:b/>
              </w:rPr>
            </w:pPr>
          </w:p>
        </w:tc>
        <w:tc>
          <w:tcPr>
            <w:tcW w:w="1549" w:type="dxa"/>
            <w:shd w:val="clear" w:color="auto" w:fill="C5E0B3" w:themeFill="accent6" w:themeFillTint="66"/>
          </w:tcPr>
          <w:p w14:paraId="2ED286FA" w14:textId="77777777" w:rsidR="007075E5" w:rsidRPr="002327AB" w:rsidRDefault="007075E5" w:rsidP="007A79E7">
            <w:pPr>
              <w:jc w:val="center"/>
              <w:rPr>
                <w:b/>
              </w:rPr>
            </w:pPr>
            <w:r w:rsidRPr="002327AB">
              <w:rPr>
                <w:b/>
              </w:rPr>
              <w:t>£000</w:t>
            </w:r>
          </w:p>
        </w:tc>
      </w:tr>
      <w:tr w:rsidR="007075E5" w:rsidRPr="000127EF" w14:paraId="19110095" w14:textId="77777777" w:rsidTr="001F0A41">
        <w:trPr>
          <w:trHeight w:val="253"/>
          <w:jc w:val="center"/>
        </w:trPr>
        <w:tc>
          <w:tcPr>
            <w:tcW w:w="1469" w:type="dxa"/>
          </w:tcPr>
          <w:p w14:paraId="1DC2F3DD" w14:textId="56AC83F0" w:rsidR="007075E5" w:rsidRPr="000127EF" w:rsidRDefault="007075E5" w:rsidP="007A79E7">
            <w:pPr>
              <w:jc w:val="right"/>
              <w:rPr>
                <w:i/>
              </w:rPr>
            </w:pPr>
          </w:p>
        </w:tc>
        <w:tc>
          <w:tcPr>
            <w:tcW w:w="5695" w:type="dxa"/>
            <w:vAlign w:val="center"/>
          </w:tcPr>
          <w:p w14:paraId="5B122400" w14:textId="77777777" w:rsidR="007075E5" w:rsidRPr="000127EF" w:rsidRDefault="007075E5" w:rsidP="007A79E7">
            <w:pPr>
              <w:rPr>
                <w:rFonts w:cs="Arial"/>
                <w:b/>
                <w:szCs w:val="22"/>
                <w:lang w:val="en-US"/>
              </w:rPr>
            </w:pPr>
            <w:r w:rsidRPr="000127EF">
              <w:rPr>
                <w:rFonts w:cs="Arial"/>
                <w:b/>
                <w:szCs w:val="22"/>
                <w:lang w:val="en-US"/>
              </w:rPr>
              <w:t>Balance 1 April</w:t>
            </w:r>
          </w:p>
        </w:tc>
        <w:tc>
          <w:tcPr>
            <w:tcW w:w="1549" w:type="dxa"/>
            <w:shd w:val="clear" w:color="auto" w:fill="C5E0B3" w:themeFill="accent6" w:themeFillTint="66"/>
          </w:tcPr>
          <w:p w14:paraId="61FBEF1C" w14:textId="77777777" w:rsidR="007075E5" w:rsidRPr="002327AB" w:rsidRDefault="007075E5" w:rsidP="007A79E7">
            <w:pPr>
              <w:jc w:val="right"/>
            </w:pPr>
          </w:p>
        </w:tc>
      </w:tr>
      <w:tr w:rsidR="0002399F" w:rsidRPr="000127EF" w14:paraId="242D7A76" w14:textId="77777777" w:rsidTr="001F0A41">
        <w:trPr>
          <w:trHeight w:val="238"/>
          <w:jc w:val="center"/>
        </w:trPr>
        <w:tc>
          <w:tcPr>
            <w:tcW w:w="1469" w:type="dxa"/>
            <w:tcBorders>
              <w:bottom w:val="nil"/>
            </w:tcBorders>
          </w:tcPr>
          <w:p w14:paraId="3C500DD3" w14:textId="417E97BC" w:rsidR="0002399F" w:rsidRPr="0002399F" w:rsidRDefault="0002399F" w:rsidP="0002399F">
            <w:pPr>
              <w:jc w:val="right"/>
              <w:rPr>
                <w:i/>
              </w:rPr>
            </w:pPr>
            <w:r w:rsidRPr="0002399F">
              <w:rPr>
                <w:i/>
              </w:rPr>
              <w:t>683</w:t>
            </w:r>
          </w:p>
        </w:tc>
        <w:tc>
          <w:tcPr>
            <w:tcW w:w="5695" w:type="dxa"/>
            <w:tcBorders>
              <w:bottom w:val="nil"/>
            </w:tcBorders>
          </w:tcPr>
          <w:p w14:paraId="662F2C3F" w14:textId="77777777" w:rsidR="0002399F" w:rsidRPr="000127EF" w:rsidRDefault="0002399F" w:rsidP="0002399F">
            <w:pPr>
              <w:rPr>
                <w:rFonts w:cs="Arial"/>
                <w:szCs w:val="22"/>
                <w:lang w:val="en-US"/>
              </w:rPr>
            </w:pPr>
            <w:r w:rsidRPr="000127EF">
              <w:rPr>
                <w:rFonts w:cs="Arial"/>
                <w:szCs w:val="22"/>
                <w:lang w:val="en-US"/>
              </w:rPr>
              <w:t>Gross Carrying Amounts</w:t>
            </w:r>
          </w:p>
        </w:tc>
        <w:tc>
          <w:tcPr>
            <w:tcW w:w="1549" w:type="dxa"/>
            <w:tcBorders>
              <w:bottom w:val="nil"/>
            </w:tcBorders>
            <w:shd w:val="clear" w:color="auto" w:fill="C5E0B3" w:themeFill="accent6" w:themeFillTint="66"/>
          </w:tcPr>
          <w:p w14:paraId="3AC14980" w14:textId="19AA0D1E" w:rsidR="0002399F" w:rsidRPr="002327AB" w:rsidRDefault="002327AB" w:rsidP="0002399F">
            <w:pPr>
              <w:jc w:val="right"/>
            </w:pPr>
            <w:r w:rsidRPr="002327AB">
              <w:t>755</w:t>
            </w:r>
          </w:p>
        </w:tc>
      </w:tr>
      <w:tr w:rsidR="0002399F" w:rsidRPr="000127EF" w14:paraId="757192AE" w14:textId="77777777" w:rsidTr="001F0A41">
        <w:trPr>
          <w:trHeight w:val="253"/>
          <w:jc w:val="center"/>
        </w:trPr>
        <w:tc>
          <w:tcPr>
            <w:tcW w:w="1469" w:type="dxa"/>
            <w:tcBorders>
              <w:bottom w:val="nil"/>
            </w:tcBorders>
          </w:tcPr>
          <w:p w14:paraId="7FBFB4DD" w14:textId="1C7A5958" w:rsidR="0002399F" w:rsidRPr="0002399F" w:rsidRDefault="0002399F" w:rsidP="0002399F">
            <w:pPr>
              <w:jc w:val="right"/>
              <w:rPr>
                <w:i/>
              </w:rPr>
            </w:pPr>
            <w:r w:rsidRPr="0002399F">
              <w:rPr>
                <w:i/>
              </w:rPr>
              <w:t>(121)</w:t>
            </w:r>
          </w:p>
        </w:tc>
        <w:tc>
          <w:tcPr>
            <w:tcW w:w="5695" w:type="dxa"/>
            <w:tcBorders>
              <w:bottom w:val="nil"/>
            </w:tcBorders>
          </w:tcPr>
          <w:p w14:paraId="788A84BB" w14:textId="77777777" w:rsidR="0002399F" w:rsidRPr="000127EF" w:rsidRDefault="0002399F" w:rsidP="0002399F">
            <w:pPr>
              <w:rPr>
                <w:rFonts w:cs="Arial"/>
                <w:szCs w:val="22"/>
                <w:lang w:val="en-US"/>
              </w:rPr>
            </w:pPr>
            <w:r w:rsidRPr="000127EF">
              <w:rPr>
                <w:rFonts w:cs="Arial"/>
                <w:szCs w:val="22"/>
                <w:lang w:val="en-US"/>
              </w:rPr>
              <w:t>Accumulated Amortisation</w:t>
            </w:r>
          </w:p>
        </w:tc>
        <w:tc>
          <w:tcPr>
            <w:tcW w:w="1549" w:type="dxa"/>
            <w:tcBorders>
              <w:bottom w:val="nil"/>
            </w:tcBorders>
            <w:shd w:val="clear" w:color="auto" w:fill="C5E0B3" w:themeFill="accent6" w:themeFillTint="66"/>
          </w:tcPr>
          <w:p w14:paraId="75130346" w14:textId="33813CF6" w:rsidR="0002399F" w:rsidRPr="002327AB" w:rsidRDefault="002327AB" w:rsidP="0002399F">
            <w:pPr>
              <w:jc w:val="right"/>
            </w:pPr>
            <w:r w:rsidRPr="002327AB">
              <w:t>(259)</w:t>
            </w:r>
          </w:p>
        </w:tc>
      </w:tr>
      <w:tr w:rsidR="0002399F" w:rsidRPr="000127EF" w14:paraId="0F58AF75" w14:textId="77777777" w:rsidTr="001F0A41">
        <w:trPr>
          <w:trHeight w:val="253"/>
          <w:jc w:val="center"/>
        </w:trPr>
        <w:tc>
          <w:tcPr>
            <w:tcW w:w="1469" w:type="dxa"/>
            <w:tcBorders>
              <w:bottom w:val="nil"/>
            </w:tcBorders>
          </w:tcPr>
          <w:p w14:paraId="21151FF7" w14:textId="4C0F32CE" w:rsidR="0002399F" w:rsidRPr="002327AB" w:rsidRDefault="002327AB" w:rsidP="0002399F">
            <w:pPr>
              <w:jc w:val="right"/>
              <w:rPr>
                <w:b/>
                <w:bCs/>
                <w:i/>
              </w:rPr>
            </w:pPr>
            <w:r w:rsidRPr="002327AB">
              <w:rPr>
                <w:b/>
                <w:bCs/>
                <w:i/>
              </w:rPr>
              <w:t>562</w:t>
            </w:r>
          </w:p>
        </w:tc>
        <w:tc>
          <w:tcPr>
            <w:tcW w:w="5695" w:type="dxa"/>
            <w:tcBorders>
              <w:bottom w:val="nil"/>
            </w:tcBorders>
          </w:tcPr>
          <w:p w14:paraId="4277F8DC" w14:textId="77777777" w:rsidR="0002399F" w:rsidRPr="000127EF" w:rsidRDefault="0002399F" w:rsidP="0002399F">
            <w:pPr>
              <w:rPr>
                <w:rFonts w:cs="Arial"/>
                <w:szCs w:val="22"/>
                <w:lang w:val="en-US"/>
              </w:rPr>
            </w:pPr>
            <w:r w:rsidRPr="000127EF">
              <w:rPr>
                <w:rFonts w:cs="Arial"/>
                <w:b/>
                <w:szCs w:val="22"/>
                <w:lang w:val="en-US"/>
              </w:rPr>
              <w:t>Net Carrying Amount at Start of the Year</w:t>
            </w:r>
          </w:p>
        </w:tc>
        <w:tc>
          <w:tcPr>
            <w:tcW w:w="1549" w:type="dxa"/>
            <w:tcBorders>
              <w:bottom w:val="nil"/>
            </w:tcBorders>
            <w:shd w:val="clear" w:color="auto" w:fill="C5E0B3" w:themeFill="accent6" w:themeFillTint="66"/>
          </w:tcPr>
          <w:p w14:paraId="0F92D742" w14:textId="54C4D30D" w:rsidR="0002399F" w:rsidRPr="002327AB" w:rsidRDefault="002327AB" w:rsidP="0002399F">
            <w:pPr>
              <w:jc w:val="right"/>
              <w:rPr>
                <w:b/>
                <w:bCs/>
              </w:rPr>
            </w:pPr>
            <w:r w:rsidRPr="002327AB">
              <w:rPr>
                <w:b/>
                <w:bCs/>
              </w:rPr>
              <w:t>496</w:t>
            </w:r>
          </w:p>
        </w:tc>
      </w:tr>
      <w:tr w:rsidR="0002399F" w:rsidRPr="000127EF" w14:paraId="36E904A4" w14:textId="77777777" w:rsidTr="001F0A41">
        <w:trPr>
          <w:trHeight w:val="253"/>
          <w:jc w:val="center"/>
        </w:trPr>
        <w:tc>
          <w:tcPr>
            <w:tcW w:w="1469" w:type="dxa"/>
            <w:tcBorders>
              <w:bottom w:val="nil"/>
            </w:tcBorders>
          </w:tcPr>
          <w:p w14:paraId="584FE2FC" w14:textId="63ED88B6" w:rsidR="0002399F" w:rsidRPr="0002399F" w:rsidRDefault="0002399F" w:rsidP="0002399F">
            <w:pPr>
              <w:jc w:val="right"/>
              <w:rPr>
                <w:i/>
              </w:rPr>
            </w:pPr>
            <w:r w:rsidRPr="0002399F">
              <w:rPr>
                <w:i/>
              </w:rPr>
              <w:t>14</w:t>
            </w:r>
          </w:p>
        </w:tc>
        <w:tc>
          <w:tcPr>
            <w:tcW w:w="5695" w:type="dxa"/>
            <w:tcBorders>
              <w:bottom w:val="nil"/>
            </w:tcBorders>
          </w:tcPr>
          <w:p w14:paraId="0BC3C254" w14:textId="77777777" w:rsidR="0002399F" w:rsidRPr="000127EF" w:rsidRDefault="0002399F" w:rsidP="0002399F">
            <w:pPr>
              <w:rPr>
                <w:rFonts w:cs="Arial"/>
                <w:szCs w:val="22"/>
                <w:lang w:val="en-US"/>
              </w:rPr>
            </w:pPr>
            <w:r w:rsidRPr="000127EF">
              <w:rPr>
                <w:rFonts w:cs="Arial"/>
                <w:szCs w:val="22"/>
                <w:lang w:val="en-US"/>
              </w:rPr>
              <w:t>Additions</w:t>
            </w:r>
          </w:p>
        </w:tc>
        <w:tc>
          <w:tcPr>
            <w:tcW w:w="1549" w:type="dxa"/>
            <w:tcBorders>
              <w:bottom w:val="nil"/>
            </w:tcBorders>
            <w:shd w:val="clear" w:color="auto" w:fill="C5E0B3" w:themeFill="accent6" w:themeFillTint="66"/>
          </w:tcPr>
          <w:p w14:paraId="7002CFC1" w14:textId="713CFD64" w:rsidR="0002399F" w:rsidRPr="002327AB" w:rsidRDefault="002327AB" w:rsidP="0002399F">
            <w:pPr>
              <w:jc w:val="right"/>
            </w:pPr>
            <w:r w:rsidRPr="002327AB">
              <w:t>41</w:t>
            </w:r>
          </w:p>
        </w:tc>
      </w:tr>
      <w:tr w:rsidR="0002399F" w:rsidRPr="000127EF" w14:paraId="368147AB" w14:textId="77777777" w:rsidTr="001F0A41">
        <w:trPr>
          <w:trHeight w:val="253"/>
          <w:jc w:val="center"/>
        </w:trPr>
        <w:tc>
          <w:tcPr>
            <w:tcW w:w="1469" w:type="dxa"/>
            <w:tcBorders>
              <w:bottom w:val="nil"/>
            </w:tcBorders>
          </w:tcPr>
          <w:p w14:paraId="2463E637" w14:textId="3A9998E8" w:rsidR="0002399F" w:rsidRPr="0002399F" w:rsidRDefault="0002399F" w:rsidP="0002399F">
            <w:pPr>
              <w:jc w:val="right"/>
              <w:rPr>
                <w:i/>
              </w:rPr>
            </w:pPr>
            <w:r w:rsidRPr="0002399F">
              <w:rPr>
                <w:i/>
              </w:rPr>
              <w:t>58</w:t>
            </w:r>
          </w:p>
        </w:tc>
        <w:tc>
          <w:tcPr>
            <w:tcW w:w="5695" w:type="dxa"/>
            <w:tcBorders>
              <w:bottom w:val="nil"/>
            </w:tcBorders>
          </w:tcPr>
          <w:p w14:paraId="27838F45" w14:textId="77777777" w:rsidR="0002399F" w:rsidRPr="000127EF" w:rsidRDefault="0002399F" w:rsidP="0002399F">
            <w:pPr>
              <w:rPr>
                <w:rFonts w:cs="Arial"/>
                <w:szCs w:val="22"/>
                <w:lang w:val="en-US"/>
              </w:rPr>
            </w:pPr>
            <w:r w:rsidRPr="000127EF">
              <w:rPr>
                <w:rFonts w:cs="Arial"/>
                <w:szCs w:val="22"/>
                <w:lang w:val="en-US"/>
              </w:rPr>
              <w:t>Assets Under Construction Completed in Year</w:t>
            </w:r>
          </w:p>
        </w:tc>
        <w:tc>
          <w:tcPr>
            <w:tcW w:w="1549" w:type="dxa"/>
            <w:tcBorders>
              <w:bottom w:val="nil"/>
            </w:tcBorders>
            <w:shd w:val="clear" w:color="auto" w:fill="C5E0B3" w:themeFill="accent6" w:themeFillTint="66"/>
          </w:tcPr>
          <w:p w14:paraId="7D1C01E2" w14:textId="4BD1D0B3" w:rsidR="0002399F" w:rsidRPr="002327AB" w:rsidRDefault="002327AB" w:rsidP="0002399F">
            <w:pPr>
              <w:jc w:val="right"/>
            </w:pPr>
            <w:r w:rsidRPr="002327AB">
              <w:t>0</w:t>
            </w:r>
          </w:p>
        </w:tc>
      </w:tr>
      <w:tr w:rsidR="0002399F" w:rsidRPr="000127EF" w14:paraId="451CEB43" w14:textId="77777777" w:rsidTr="001F0A41">
        <w:trPr>
          <w:trHeight w:val="334"/>
          <w:jc w:val="center"/>
        </w:trPr>
        <w:tc>
          <w:tcPr>
            <w:tcW w:w="1469" w:type="dxa"/>
            <w:tcBorders>
              <w:top w:val="nil"/>
              <w:bottom w:val="single" w:sz="4" w:space="0" w:color="auto"/>
            </w:tcBorders>
          </w:tcPr>
          <w:p w14:paraId="18A73BAC" w14:textId="5B35255B" w:rsidR="0002399F" w:rsidRPr="0002399F" w:rsidRDefault="0002399F" w:rsidP="0002399F">
            <w:pPr>
              <w:tabs>
                <w:tab w:val="center" w:pos="619"/>
                <w:tab w:val="right" w:pos="1238"/>
              </w:tabs>
              <w:jc w:val="right"/>
              <w:rPr>
                <w:i/>
              </w:rPr>
            </w:pPr>
            <w:r w:rsidRPr="0002399F">
              <w:rPr>
                <w:i/>
              </w:rPr>
              <w:t>(138)</w:t>
            </w:r>
          </w:p>
        </w:tc>
        <w:tc>
          <w:tcPr>
            <w:tcW w:w="5695" w:type="dxa"/>
            <w:tcBorders>
              <w:bottom w:val="nil"/>
            </w:tcBorders>
          </w:tcPr>
          <w:p w14:paraId="62A8F313" w14:textId="77777777" w:rsidR="0002399F" w:rsidRPr="000127EF" w:rsidRDefault="0002399F" w:rsidP="0002399F">
            <w:pPr>
              <w:rPr>
                <w:rFonts w:cs="Arial"/>
                <w:szCs w:val="22"/>
                <w:lang w:val="en-US"/>
              </w:rPr>
            </w:pPr>
            <w:r w:rsidRPr="000127EF">
              <w:rPr>
                <w:rFonts w:cs="Arial"/>
                <w:szCs w:val="22"/>
                <w:lang w:val="en-US"/>
              </w:rPr>
              <w:t>Amortisation for the period</w:t>
            </w:r>
          </w:p>
        </w:tc>
        <w:tc>
          <w:tcPr>
            <w:tcW w:w="1549" w:type="dxa"/>
            <w:tcBorders>
              <w:top w:val="nil"/>
              <w:bottom w:val="single" w:sz="4" w:space="0" w:color="auto"/>
            </w:tcBorders>
            <w:shd w:val="clear" w:color="auto" w:fill="C5E0B3" w:themeFill="accent6" w:themeFillTint="66"/>
          </w:tcPr>
          <w:p w14:paraId="06820595" w14:textId="25446329" w:rsidR="0002399F" w:rsidRPr="002327AB" w:rsidRDefault="002327AB" w:rsidP="0002399F">
            <w:pPr>
              <w:jc w:val="right"/>
            </w:pPr>
            <w:r w:rsidRPr="002327AB">
              <w:t>(153)</w:t>
            </w:r>
          </w:p>
        </w:tc>
      </w:tr>
      <w:tr w:rsidR="0002399F" w:rsidRPr="000127EF" w14:paraId="03590897" w14:textId="77777777" w:rsidTr="001F0A41">
        <w:trPr>
          <w:trHeight w:val="238"/>
          <w:jc w:val="center"/>
        </w:trPr>
        <w:tc>
          <w:tcPr>
            <w:tcW w:w="1469" w:type="dxa"/>
            <w:tcBorders>
              <w:top w:val="single" w:sz="4" w:space="0" w:color="auto"/>
              <w:bottom w:val="nil"/>
            </w:tcBorders>
          </w:tcPr>
          <w:p w14:paraId="017A43C8" w14:textId="59E1D874" w:rsidR="0002399F" w:rsidRPr="0002399F" w:rsidRDefault="0002399F" w:rsidP="0002399F">
            <w:pPr>
              <w:jc w:val="right"/>
              <w:rPr>
                <w:b/>
                <w:i/>
              </w:rPr>
            </w:pPr>
            <w:r w:rsidRPr="0002399F">
              <w:rPr>
                <w:b/>
                <w:i/>
              </w:rPr>
              <w:fldChar w:fldCharType="begin"/>
            </w:r>
            <w:r w:rsidRPr="0002399F">
              <w:rPr>
                <w:b/>
                <w:i/>
              </w:rPr>
              <w:instrText xml:space="preserve"> =SUM(c3:c9) </w:instrText>
            </w:r>
            <w:r w:rsidRPr="0002399F">
              <w:rPr>
                <w:b/>
                <w:i/>
              </w:rPr>
              <w:fldChar w:fldCharType="separate"/>
            </w:r>
            <w:r w:rsidRPr="0002399F">
              <w:rPr>
                <w:b/>
                <w:i/>
                <w:noProof/>
              </w:rPr>
              <w:t>496</w:t>
            </w:r>
            <w:r w:rsidRPr="0002399F">
              <w:rPr>
                <w:b/>
                <w:i/>
              </w:rPr>
              <w:fldChar w:fldCharType="end"/>
            </w:r>
          </w:p>
        </w:tc>
        <w:tc>
          <w:tcPr>
            <w:tcW w:w="5695" w:type="dxa"/>
            <w:tcBorders>
              <w:bottom w:val="nil"/>
            </w:tcBorders>
          </w:tcPr>
          <w:p w14:paraId="4A870C59" w14:textId="77777777" w:rsidR="0002399F" w:rsidRPr="000127EF" w:rsidRDefault="0002399F" w:rsidP="0002399F">
            <w:pPr>
              <w:rPr>
                <w:rFonts w:cs="Arial"/>
                <w:b/>
                <w:szCs w:val="22"/>
                <w:lang w:val="en-US"/>
              </w:rPr>
            </w:pPr>
            <w:r w:rsidRPr="000127EF">
              <w:rPr>
                <w:rFonts w:cs="Arial"/>
                <w:b/>
                <w:szCs w:val="22"/>
                <w:lang w:val="en-US"/>
              </w:rPr>
              <w:t>Net Carrying Amount at End of the Year</w:t>
            </w:r>
          </w:p>
        </w:tc>
        <w:tc>
          <w:tcPr>
            <w:tcW w:w="1549" w:type="dxa"/>
            <w:tcBorders>
              <w:top w:val="single" w:sz="4" w:space="0" w:color="auto"/>
              <w:bottom w:val="nil"/>
            </w:tcBorders>
            <w:shd w:val="clear" w:color="auto" w:fill="C5E0B3" w:themeFill="accent6" w:themeFillTint="66"/>
          </w:tcPr>
          <w:p w14:paraId="39F1911E" w14:textId="345AAB3C" w:rsidR="0002399F" w:rsidRPr="002327AB" w:rsidRDefault="002327AB" w:rsidP="0002399F">
            <w:pPr>
              <w:jc w:val="right"/>
              <w:rPr>
                <w:b/>
                <w:bCs/>
              </w:rPr>
            </w:pPr>
            <w:r w:rsidRPr="002327AB">
              <w:rPr>
                <w:b/>
                <w:bCs/>
              </w:rPr>
              <w:t>384</w:t>
            </w:r>
          </w:p>
        </w:tc>
      </w:tr>
      <w:tr w:rsidR="0002399F" w:rsidRPr="000127EF" w14:paraId="77510104" w14:textId="77777777" w:rsidTr="001F0A41">
        <w:trPr>
          <w:trHeight w:val="238"/>
          <w:jc w:val="center"/>
        </w:trPr>
        <w:tc>
          <w:tcPr>
            <w:tcW w:w="1469" w:type="dxa"/>
            <w:tcBorders>
              <w:top w:val="nil"/>
              <w:bottom w:val="nil"/>
            </w:tcBorders>
          </w:tcPr>
          <w:p w14:paraId="09AB306C" w14:textId="6A66C295" w:rsidR="0002399F" w:rsidRPr="0002399F" w:rsidRDefault="0002399F" w:rsidP="0002399F">
            <w:pPr>
              <w:jc w:val="right"/>
              <w:rPr>
                <w:i/>
              </w:rPr>
            </w:pPr>
            <w:r w:rsidRPr="0002399F">
              <w:rPr>
                <w:i/>
              </w:rPr>
              <w:t>755</w:t>
            </w:r>
          </w:p>
        </w:tc>
        <w:tc>
          <w:tcPr>
            <w:tcW w:w="5695" w:type="dxa"/>
            <w:tcBorders>
              <w:top w:val="nil"/>
              <w:bottom w:val="nil"/>
            </w:tcBorders>
          </w:tcPr>
          <w:p w14:paraId="076D4F1E" w14:textId="77777777" w:rsidR="0002399F" w:rsidRPr="000127EF" w:rsidRDefault="0002399F" w:rsidP="0002399F">
            <w:pPr>
              <w:rPr>
                <w:rFonts w:cs="Arial"/>
                <w:szCs w:val="22"/>
                <w:lang w:val="en-US"/>
              </w:rPr>
            </w:pPr>
            <w:r w:rsidRPr="000127EF">
              <w:rPr>
                <w:rFonts w:cs="Arial"/>
                <w:szCs w:val="22"/>
                <w:lang w:val="en-US"/>
              </w:rPr>
              <w:t>Gross Carrying Amounts</w:t>
            </w:r>
          </w:p>
        </w:tc>
        <w:tc>
          <w:tcPr>
            <w:tcW w:w="1549" w:type="dxa"/>
            <w:tcBorders>
              <w:top w:val="nil"/>
              <w:bottom w:val="nil"/>
            </w:tcBorders>
            <w:shd w:val="clear" w:color="auto" w:fill="C5E0B3" w:themeFill="accent6" w:themeFillTint="66"/>
          </w:tcPr>
          <w:p w14:paraId="0780E800" w14:textId="5D85558C" w:rsidR="0002399F" w:rsidRPr="002327AB" w:rsidRDefault="002327AB" w:rsidP="0002399F">
            <w:pPr>
              <w:jc w:val="right"/>
            </w:pPr>
            <w:r w:rsidRPr="002327AB">
              <w:t>796</w:t>
            </w:r>
          </w:p>
        </w:tc>
      </w:tr>
      <w:tr w:rsidR="0002399F" w:rsidRPr="000127EF" w14:paraId="2560D47A" w14:textId="77777777" w:rsidTr="001F0A41">
        <w:trPr>
          <w:trHeight w:val="238"/>
          <w:jc w:val="center"/>
        </w:trPr>
        <w:tc>
          <w:tcPr>
            <w:tcW w:w="1469" w:type="dxa"/>
            <w:tcBorders>
              <w:top w:val="nil"/>
              <w:bottom w:val="nil"/>
            </w:tcBorders>
          </w:tcPr>
          <w:p w14:paraId="79A0FF6B" w14:textId="5B3585B7" w:rsidR="0002399F" w:rsidRPr="0002399F" w:rsidRDefault="0002399F" w:rsidP="0002399F">
            <w:pPr>
              <w:jc w:val="right"/>
              <w:rPr>
                <w:i/>
              </w:rPr>
            </w:pPr>
            <w:r w:rsidRPr="0002399F">
              <w:rPr>
                <w:i/>
              </w:rPr>
              <w:t>(259)</w:t>
            </w:r>
          </w:p>
        </w:tc>
        <w:tc>
          <w:tcPr>
            <w:tcW w:w="5695" w:type="dxa"/>
            <w:tcBorders>
              <w:top w:val="nil"/>
              <w:bottom w:val="nil"/>
            </w:tcBorders>
          </w:tcPr>
          <w:p w14:paraId="3073AD93" w14:textId="77777777" w:rsidR="0002399F" w:rsidRPr="000127EF" w:rsidRDefault="0002399F" w:rsidP="0002399F">
            <w:pPr>
              <w:rPr>
                <w:rFonts w:cs="Arial"/>
                <w:szCs w:val="22"/>
                <w:lang w:val="en-US"/>
              </w:rPr>
            </w:pPr>
            <w:r w:rsidRPr="000127EF">
              <w:rPr>
                <w:rFonts w:cs="Arial"/>
                <w:szCs w:val="22"/>
                <w:lang w:val="en-US"/>
              </w:rPr>
              <w:t>Accumulated Amortisation</w:t>
            </w:r>
          </w:p>
        </w:tc>
        <w:tc>
          <w:tcPr>
            <w:tcW w:w="1549" w:type="dxa"/>
            <w:tcBorders>
              <w:top w:val="nil"/>
              <w:bottom w:val="nil"/>
            </w:tcBorders>
            <w:shd w:val="clear" w:color="auto" w:fill="C5E0B3" w:themeFill="accent6" w:themeFillTint="66"/>
          </w:tcPr>
          <w:p w14:paraId="60D6A410" w14:textId="50E30637" w:rsidR="0002399F" w:rsidRPr="002327AB" w:rsidRDefault="002327AB" w:rsidP="0002399F">
            <w:pPr>
              <w:jc w:val="right"/>
            </w:pPr>
            <w:r w:rsidRPr="002327AB">
              <w:t>(41</w:t>
            </w:r>
            <w:r w:rsidR="00432979">
              <w:t>2</w:t>
            </w:r>
            <w:r w:rsidRPr="002327AB">
              <w:t>)</w:t>
            </w:r>
          </w:p>
        </w:tc>
      </w:tr>
      <w:tr w:rsidR="0002399F" w:rsidRPr="000127EF" w14:paraId="52D28C19" w14:textId="77777777" w:rsidTr="000E65EC">
        <w:trPr>
          <w:trHeight w:val="330"/>
          <w:jc w:val="center"/>
        </w:trPr>
        <w:tc>
          <w:tcPr>
            <w:tcW w:w="1469" w:type="dxa"/>
            <w:tcBorders>
              <w:top w:val="single" w:sz="8" w:space="0" w:color="auto"/>
              <w:bottom w:val="single" w:sz="8" w:space="0" w:color="auto"/>
            </w:tcBorders>
          </w:tcPr>
          <w:p w14:paraId="0EC41DEC" w14:textId="4E12F070" w:rsidR="0002399F" w:rsidRPr="0002399F" w:rsidRDefault="0002399F" w:rsidP="0002399F">
            <w:pPr>
              <w:jc w:val="right"/>
              <w:rPr>
                <w:i/>
              </w:rPr>
            </w:pPr>
            <w:r w:rsidRPr="0002399F">
              <w:rPr>
                <w:b/>
                <w:i/>
              </w:rPr>
              <w:fldChar w:fldCharType="begin"/>
            </w:r>
            <w:r w:rsidRPr="0002399F">
              <w:rPr>
                <w:b/>
                <w:i/>
              </w:rPr>
              <w:instrText xml:space="preserve"> =SUM(c11:c12) </w:instrText>
            </w:r>
            <w:r w:rsidRPr="0002399F">
              <w:rPr>
                <w:b/>
                <w:i/>
              </w:rPr>
              <w:fldChar w:fldCharType="separate"/>
            </w:r>
            <w:r w:rsidRPr="0002399F">
              <w:rPr>
                <w:b/>
                <w:i/>
                <w:noProof/>
              </w:rPr>
              <w:t>496</w:t>
            </w:r>
            <w:r w:rsidRPr="0002399F">
              <w:rPr>
                <w:b/>
                <w:i/>
              </w:rPr>
              <w:fldChar w:fldCharType="end"/>
            </w:r>
          </w:p>
        </w:tc>
        <w:tc>
          <w:tcPr>
            <w:tcW w:w="5695" w:type="dxa"/>
            <w:tcBorders>
              <w:bottom w:val="nil"/>
            </w:tcBorders>
          </w:tcPr>
          <w:p w14:paraId="14BC92CC" w14:textId="77777777" w:rsidR="0002399F" w:rsidRPr="000127EF" w:rsidRDefault="0002399F" w:rsidP="0002399F">
            <w:pPr>
              <w:rPr>
                <w:rFonts w:cs="Arial"/>
                <w:szCs w:val="22"/>
                <w:lang w:val="en-US"/>
              </w:rPr>
            </w:pPr>
            <w:r w:rsidRPr="000127EF">
              <w:rPr>
                <w:rFonts w:cs="Arial"/>
                <w:b/>
                <w:szCs w:val="22"/>
                <w:lang w:val="en-US"/>
              </w:rPr>
              <w:t>Net Carrying Amount at End of the Year</w:t>
            </w:r>
          </w:p>
        </w:tc>
        <w:tc>
          <w:tcPr>
            <w:tcW w:w="1549" w:type="dxa"/>
            <w:tcBorders>
              <w:top w:val="single" w:sz="8" w:space="0" w:color="auto"/>
              <w:bottom w:val="single" w:sz="8" w:space="0" w:color="auto"/>
            </w:tcBorders>
            <w:shd w:val="clear" w:color="auto" w:fill="C5E0B3" w:themeFill="accent6" w:themeFillTint="66"/>
          </w:tcPr>
          <w:p w14:paraId="21584818" w14:textId="4D097840" w:rsidR="0002399F" w:rsidRPr="002327AB" w:rsidRDefault="002327AB" w:rsidP="0002399F">
            <w:pPr>
              <w:jc w:val="right"/>
              <w:rPr>
                <w:b/>
                <w:bCs/>
              </w:rPr>
            </w:pPr>
            <w:r w:rsidRPr="002327AB">
              <w:rPr>
                <w:b/>
                <w:bCs/>
              </w:rPr>
              <w:t>384</w:t>
            </w:r>
          </w:p>
        </w:tc>
      </w:tr>
      <w:tr w:rsidR="00F82E5E" w:rsidRPr="000127EF" w14:paraId="0E5BEA7C" w14:textId="77777777" w:rsidTr="001F0A41">
        <w:trPr>
          <w:trHeight w:hRule="exact" w:val="87"/>
          <w:jc w:val="center"/>
        </w:trPr>
        <w:tc>
          <w:tcPr>
            <w:tcW w:w="1469" w:type="dxa"/>
            <w:tcBorders>
              <w:top w:val="nil"/>
            </w:tcBorders>
          </w:tcPr>
          <w:p w14:paraId="79FB46D6" w14:textId="77777777" w:rsidR="00F82E5E" w:rsidRPr="000127EF" w:rsidRDefault="00F82E5E" w:rsidP="00F82E5E">
            <w:pPr>
              <w:jc w:val="right"/>
              <w:rPr>
                <w:i/>
              </w:rPr>
            </w:pPr>
          </w:p>
        </w:tc>
        <w:tc>
          <w:tcPr>
            <w:tcW w:w="5695" w:type="dxa"/>
            <w:tcBorders>
              <w:top w:val="nil"/>
            </w:tcBorders>
          </w:tcPr>
          <w:p w14:paraId="37D979E0" w14:textId="77777777" w:rsidR="00F82E5E" w:rsidRPr="000127EF" w:rsidRDefault="00F82E5E" w:rsidP="00F82E5E">
            <w:pPr>
              <w:jc w:val="both"/>
            </w:pPr>
          </w:p>
        </w:tc>
        <w:tc>
          <w:tcPr>
            <w:tcW w:w="1549" w:type="dxa"/>
            <w:tcBorders>
              <w:top w:val="nil"/>
            </w:tcBorders>
          </w:tcPr>
          <w:p w14:paraId="2D256336" w14:textId="77777777" w:rsidR="00F82E5E" w:rsidRPr="002327AB" w:rsidRDefault="00F82E5E" w:rsidP="00F82E5E">
            <w:pPr>
              <w:jc w:val="right"/>
            </w:pPr>
          </w:p>
        </w:tc>
      </w:tr>
    </w:tbl>
    <w:p w14:paraId="05653013" w14:textId="77777777" w:rsidR="00BC42C7" w:rsidRPr="000127EF" w:rsidRDefault="00BC42C7" w:rsidP="00CE0021">
      <w:pPr>
        <w:pStyle w:val="Heading1"/>
        <w:numPr>
          <w:ilvl w:val="0"/>
          <w:numId w:val="8"/>
        </w:numPr>
        <w:spacing w:before="240"/>
        <w:ind w:left="425" w:hanging="357"/>
        <w:rPr>
          <w:sz w:val="22"/>
          <w:szCs w:val="22"/>
        </w:rPr>
      </w:pPr>
      <w:r w:rsidRPr="000127EF">
        <w:rPr>
          <w:sz w:val="22"/>
          <w:szCs w:val="22"/>
        </w:rPr>
        <w:lastRenderedPageBreak/>
        <w:t>Creditors</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BC42C7" w:rsidRPr="000127EF" w14:paraId="53A97805" w14:textId="77777777" w:rsidTr="009E51A5">
        <w:trPr>
          <w:trHeight w:val="283"/>
          <w:jc w:val="center"/>
        </w:trPr>
        <w:tc>
          <w:tcPr>
            <w:tcW w:w="1454" w:type="dxa"/>
          </w:tcPr>
          <w:p w14:paraId="15F20A9E" w14:textId="2201875B" w:rsidR="00BC42C7" w:rsidRPr="000127EF" w:rsidRDefault="00E165AE" w:rsidP="00944ACB">
            <w:pPr>
              <w:jc w:val="center"/>
              <w:rPr>
                <w:b/>
                <w:i/>
              </w:rPr>
            </w:pPr>
            <w:r w:rsidRPr="000127EF">
              <w:rPr>
                <w:b/>
                <w:i/>
              </w:rPr>
              <w:t>201</w:t>
            </w:r>
            <w:r w:rsidR="0002399F">
              <w:rPr>
                <w:b/>
                <w:i/>
              </w:rPr>
              <w:t>8/19</w:t>
            </w:r>
          </w:p>
        </w:tc>
        <w:tc>
          <w:tcPr>
            <w:tcW w:w="5634" w:type="dxa"/>
            <w:vAlign w:val="center"/>
          </w:tcPr>
          <w:p w14:paraId="018E0E58" w14:textId="77777777" w:rsidR="00BC42C7" w:rsidRPr="000127EF" w:rsidRDefault="00BC42C7" w:rsidP="009E51A5">
            <w:pPr>
              <w:jc w:val="center"/>
              <w:rPr>
                <w:b/>
              </w:rPr>
            </w:pPr>
            <w:r w:rsidRPr="000127EF">
              <w:rPr>
                <w:b/>
              </w:rPr>
              <w:t>Creditors</w:t>
            </w:r>
          </w:p>
        </w:tc>
        <w:tc>
          <w:tcPr>
            <w:tcW w:w="1534" w:type="dxa"/>
          </w:tcPr>
          <w:p w14:paraId="41C8E943" w14:textId="6A4BCB51" w:rsidR="00BC42C7" w:rsidRPr="00890BBC" w:rsidRDefault="0002399F" w:rsidP="00944ACB">
            <w:pPr>
              <w:jc w:val="center"/>
              <w:rPr>
                <w:b/>
              </w:rPr>
            </w:pPr>
            <w:r w:rsidRPr="00890BBC">
              <w:rPr>
                <w:b/>
              </w:rPr>
              <w:t>2019/20</w:t>
            </w:r>
          </w:p>
        </w:tc>
      </w:tr>
      <w:tr w:rsidR="00BC42C7" w:rsidRPr="000127EF" w14:paraId="3B6A16C7" w14:textId="77777777" w:rsidTr="009E51A5">
        <w:trPr>
          <w:jc w:val="center"/>
        </w:trPr>
        <w:tc>
          <w:tcPr>
            <w:tcW w:w="1454" w:type="dxa"/>
          </w:tcPr>
          <w:p w14:paraId="276E4477" w14:textId="77777777" w:rsidR="00BC42C7" w:rsidRPr="000127EF" w:rsidRDefault="00BC42C7" w:rsidP="009E51A5">
            <w:pPr>
              <w:jc w:val="center"/>
              <w:rPr>
                <w:b/>
                <w:i/>
              </w:rPr>
            </w:pPr>
            <w:r w:rsidRPr="000127EF">
              <w:rPr>
                <w:b/>
                <w:i/>
              </w:rPr>
              <w:t>£000</w:t>
            </w:r>
          </w:p>
        </w:tc>
        <w:tc>
          <w:tcPr>
            <w:tcW w:w="5634" w:type="dxa"/>
          </w:tcPr>
          <w:p w14:paraId="4C454B3E" w14:textId="77777777" w:rsidR="00BC42C7" w:rsidRPr="000127EF" w:rsidRDefault="00BC42C7" w:rsidP="009E51A5">
            <w:pPr>
              <w:jc w:val="center"/>
              <w:rPr>
                <w:b/>
              </w:rPr>
            </w:pPr>
          </w:p>
        </w:tc>
        <w:tc>
          <w:tcPr>
            <w:tcW w:w="1534" w:type="dxa"/>
            <w:shd w:val="clear" w:color="auto" w:fill="C5E0B3" w:themeFill="accent6" w:themeFillTint="66"/>
          </w:tcPr>
          <w:p w14:paraId="19646457" w14:textId="77777777" w:rsidR="00BC42C7" w:rsidRPr="00890BBC" w:rsidRDefault="00BC42C7" w:rsidP="009E51A5">
            <w:pPr>
              <w:jc w:val="center"/>
              <w:rPr>
                <w:b/>
              </w:rPr>
            </w:pPr>
            <w:r w:rsidRPr="00890BBC">
              <w:rPr>
                <w:b/>
              </w:rPr>
              <w:t>£000</w:t>
            </w:r>
          </w:p>
        </w:tc>
      </w:tr>
      <w:tr w:rsidR="0002399F" w:rsidRPr="000127EF" w14:paraId="6BAE83C1" w14:textId="77777777" w:rsidTr="00E165AE">
        <w:trPr>
          <w:jc w:val="center"/>
        </w:trPr>
        <w:tc>
          <w:tcPr>
            <w:tcW w:w="1454" w:type="dxa"/>
          </w:tcPr>
          <w:p w14:paraId="6FF89A78" w14:textId="12F19888" w:rsidR="0002399F" w:rsidRPr="0002399F" w:rsidRDefault="0002399F" w:rsidP="0002399F">
            <w:pPr>
              <w:jc w:val="right"/>
              <w:rPr>
                <w:i/>
              </w:rPr>
            </w:pPr>
            <w:r w:rsidRPr="0002399F">
              <w:rPr>
                <w:i/>
              </w:rPr>
              <w:t>1,871</w:t>
            </w:r>
          </w:p>
        </w:tc>
        <w:tc>
          <w:tcPr>
            <w:tcW w:w="5634" w:type="dxa"/>
            <w:vAlign w:val="center"/>
          </w:tcPr>
          <w:p w14:paraId="2F4AE70E" w14:textId="77777777" w:rsidR="0002399F" w:rsidRPr="000127EF" w:rsidRDefault="0002399F" w:rsidP="0002399F">
            <w:pPr>
              <w:rPr>
                <w:rFonts w:cs="Arial"/>
                <w:szCs w:val="22"/>
                <w:lang w:val="en-US"/>
              </w:rPr>
            </w:pPr>
            <w:r w:rsidRPr="000127EF">
              <w:rPr>
                <w:rFonts w:cs="Arial"/>
                <w:szCs w:val="22"/>
                <w:lang w:val="en-US"/>
              </w:rPr>
              <w:t>Central Government Bodies</w:t>
            </w:r>
          </w:p>
        </w:tc>
        <w:tc>
          <w:tcPr>
            <w:tcW w:w="1534" w:type="dxa"/>
            <w:shd w:val="clear" w:color="auto" w:fill="C5E0B3" w:themeFill="accent6" w:themeFillTint="66"/>
          </w:tcPr>
          <w:p w14:paraId="678EC87E" w14:textId="4D63512F" w:rsidR="0002399F" w:rsidRPr="00890BBC" w:rsidRDefault="00890BBC" w:rsidP="0002399F">
            <w:pPr>
              <w:jc w:val="right"/>
            </w:pPr>
            <w:r w:rsidRPr="00890BBC">
              <w:t>2,717</w:t>
            </w:r>
          </w:p>
        </w:tc>
      </w:tr>
      <w:tr w:rsidR="0002399F" w:rsidRPr="000127EF" w14:paraId="37B72010" w14:textId="77777777" w:rsidTr="00E165AE">
        <w:trPr>
          <w:jc w:val="center"/>
        </w:trPr>
        <w:tc>
          <w:tcPr>
            <w:tcW w:w="1454" w:type="dxa"/>
            <w:tcBorders>
              <w:bottom w:val="nil"/>
            </w:tcBorders>
          </w:tcPr>
          <w:p w14:paraId="2101783A" w14:textId="039D7114" w:rsidR="0002399F" w:rsidRPr="0002399F" w:rsidRDefault="0002399F" w:rsidP="0002399F">
            <w:pPr>
              <w:jc w:val="right"/>
              <w:rPr>
                <w:i/>
              </w:rPr>
            </w:pPr>
            <w:r w:rsidRPr="0002399F">
              <w:rPr>
                <w:i/>
              </w:rPr>
              <w:t>460</w:t>
            </w:r>
          </w:p>
        </w:tc>
        <w:tc>
          <w:tcPr>
            <w:tcW w:w="5634" w:type="dxa"/>
            <w:tcBorders>
              <w:bottom w:val="nil"/>
            </w:tcBorders>
          </w:tcPr>
          <w:p w14:paraId="506E1F50" w14:textId="77777777" w:rsidR="0002399F" w:rsidRPr="000127EF" w:rsidRDefault="0002399F" w:rsidP="0002399F">
            <w:pPr>
              <w:rPr>
                <w:rFonts w:cs="Arial"/>
                <w:szCs w:val="22"/>
                <w:lang w:val="en-US"/>
              </w:rPr>
            </w:pPr>
            <w:r w:rsidRPr="000127EF">
              <w:rPr>
                <w:rFonts w:cs="Arial"/>
                <w:szCs w:val="22"/>
                <w:lang w:val="en-US"/>
              </w:rPr>
              <w:t>Other Local Authorities</w:t>
            </w:r>
          </w:p>
        </w:tc>
        <w:tc>
          <w:tcPr>
            <w:tcW w:w="1534" w:type="dxa"/>
            <w:tcBorders>
              <w:bottom w:val="nil"/>
            </w:tcBorders>
            <w:shd w:val="clear" w:color="auto" w:fill="C5E0B3" w:themeFill="accent6" w:themeFillTint="66"/>
          </w:tcPr>
          <w:p w14:paraId="2BB41C87" w14:textId="587F35BB" w:rsidR="0002399F" w:rsidRPr="00890BBC" w:rsidRDefault="00890BBC" w:rsidP="0002399F">
            <w:pPr>
              <w:jc w:val="right"/>
            </w:pPr>
            <w:r w:rsidRPr="00890BBC">
              <w:t>898</w:t>
            </w:r>
          </w:p>
        </w:tc>
      </w:tr>
      <w:tr w:rsidR="0002399F" w:rsidRPr="000127EF" w14:paraId="3E1AB996" w14:textId="77777777" w:rsidTr="00E165AE">
        <w:trPr>
          <w:jc w:val="center"/>
        </w:trPr>
        <w:tc>
          <w:tcPr>
            <w:tcW w:w="1454" w:type="dxa"/>
            <w:tcBorders>
              <w:bottom w:val="nil"/>
            </w:tcBorders>
          </w:tcPr>
          <w:p w14:paraId="0755E86C" w14:textId="289573B4" w:rsidR="0002399F" w:rsidRPr="0002399F" w:rsidRDefault="0002399F" w:rsidP="0002399F">
            <w:pPr>
              <w:jc w:val="right"/>
              <w:rPr>
                <w:i/>
              </w:rPr>
            </w:pPr>
            <w:r w:rsidRPr="0002399F">
              <w:rPr>
                <w:i/>
              </w:rPr>
              <w:t>133</w:t>
            </w:r>
          </w:p>
        </w:tc>
        <w:tc>
          <w:tcPr>
            <w:tcW w:w="5634" w:type="dxa"/>
            <w:tcBorders>
              <w:bottom w:val="nil"/>
            </w:tcBorders>
          </w:tcPr>
          <w:p w14:paraId="05C22C36" w14:textId="77777777" w:rsidR="0002399F" w:rsidRPr="000127EF" w:rsidRDefault="0002399F" w:rsidP="0002399F">
            <w:pPr>
              <w:rPr>
                <w:rFonts w:cs="Arial"/>
                <w:szCs w:val="22"/>
                <w:lang w:val="en-US"/>
              </w:rPr>
            </w:pPr>
            <w:r w:rsidRPr="000127EF">
              <w:rPr>
                <w:rFonts w:cs="Arial"/>
                <w:szCs w:val="22"/>
                <w:lang w:val="en-US"/>
              </w:rPr>
              <w:t>Schools</w:t>
            </w:r>
          </w:p>
        </w:tc>
        <w:tc>
          <w:tcPr>
            <w:tcW w:w="1534" w:type="dxa"/>
            <w:tcBorders>
              <w:bottom w:val="nil"/>
            </w:tcBorders>
            <w:shd w:val="clear" w:color="auto" w:fill="C5E0B3" w:themeFill="accent6" w:themeFillTint="66"/>
          </w:tcPr>
          <w:p w14:paraId="0526D735" w14:textId="233D2186" w:rsidR="0002399F" w:rsidRPr="00890BBC" w:rsidRDefault="00890BBC" w:rsidP="0002399F">
            <w:pPr>
              <w:jc w:val="right"/>
            </w:pPr>
            <w:r w:rsidRPr="00890BBC">
              <w:t>3</w:t>
            </w:r>
          </w:p>
        </w:tc>
      </w:tr>
      <w:tr w:rsidR="0002399F" w:rsidRPr="000127EF" w14:paraId="54AA171B" w14:textId="77777777" w:rsidTr="00E165AE">
        <w:trPr>
          <w:jc w:val="center"/>
        </w:trPr>
        <w:tc>
          <w:tcPr>
            <w:tcW w:w="1454" w:type="dxa"/>
            <w:tcBorders>
              <w:bottom w:val="nil"/>
            </w:tcBorders>
          </w:tcPr>
          <w:p w14:paraId="224E8536" w14:textId="5EA56311" w:rsidR="0002399F" w:rsidRPr="0002399F" w:rsidRDefault="0002399F" w:rsidP="0002399F">
            <w:pPr>
              <w:jc w:val="right"/>
              <w:rPr>
                <w:i/>
              </w:rPr>
            </w:pPr>
            <w:r w:rsidRPr="0002399F">
              <w:rPr>
                <w:i/>
              </w:rPr>
              <w:t>4,418</w:t>
            </w:r>
          </w:p>
        </w:tc>
        <w:tc>
          <w:tcPr>
            <w:tcW w:w="5634" w:type="dxa"/>
            <w:tcBorders>
              <w:bottom w:val="nil"/>
            </w:tcBorders>
          </w:tcPr>
          <w:p w14:paraId="39593AAA" w14:textId="77777777" w:rsidR="0002399F" w:rsidRPr="000127EF" w:rsidRDefault="0002399F" w:rsidP="0002399F">
            <w:pPr>
              <w:rPr>
                <w:rFonts w:cs="Arial"/>
                <w:szCs w:val="22"/>
                <w:lang w:val="en-US"/>
              </w:rPr>
            </w:pPr>
            <w:r w:rsidRPr="000127EF">
              <w:rPr>
                <w:rFonts w:cs="Arial"/>
                <w:szCs w:val="22"/>
                <w:lang w:val="en-US"/>
              </w:rPr>
              <w:t>Other Entities &amp; Individuals</w:t>
            </w:r>
          </w:p>
        </w:tc>
        <w:tc>
          <w:tcPr>
            <w:tcW w:w="1534" w:type="dxa"/>
            <w:tcBorders>
              <w:bottom w:val="nil"/>
            </w:tcBorders>
            <w:shd w:val="clear" w:color="auto" w:fill="C5E0B3" w:themeFill="accent6" w:themeFillTint="66"/>
          </w:tcPr>
          <w:p w14:paraId="2F2C61A1" w14:textId="78EA294F" w:rsidR="0002399F" w:rsidRPr="00890BBC" w:rsidRDefault="00890BBC" w:rsidP="0002399F">
            <w:pPr>
              <w:jc w:val="right"/>
            </w:pPr>
            <w:r w:rsidRPr="00890BBC">
              <w:t>3,</w:t>
            </w:r>
            <w:r w:rsidR="00BC4E6D">
              <w:t>139</w:t>
            </w:r>
          </w:p>
        </w:tc>
      </w:tr>
      <w:tr w:rsidR="0002399F" w:rsidRPr="000127EF" w14:paraId="0DE4859C" w14:textId="77777777" w:rsidTr="00E165AE">
        <w:trPr>
          <w:jc w:val="center"/>
        </w:trPr>
        <w:tc>
          <w:tcPr>
            <w:tcW w:w="1454" w:type="dxa"/>
            <w:tcBorders>
              <w:top w:val="single" w:sz="8" w:space="0" w:color="auto"/>
              <w:bottom w:val="single" w:sz="8" w:space="0" w:color="auto"/>
            </w:tcBorders>
          </w:tcPr>
          <w:p w14:paraId="1C455ACD" w14:textId="00C6881A" w:rsidR="0002399F" w:rsidRPr="0002399F" w:rsidRDefault="0002399F" w:rsidP="0002399F">
            <w:pPr>
              <w:jc w:val="right"/>
              <w:rPr>
                <w:b/>
                <w:i/>
              </w:rPr>
            </w:pPr>
            <w:r w:rsidRPr="0002399F">
              <w:rPr>
                <w:b/>
                <w:i/>
              </w:rPr>
              <w:fldChar w:fldCharType="begin"/>
            </w:r>
            <w:r w:rsidRPr="0002399F">
              <w:rPr>
                <w:b/>
                <w:i/>
              </w:rPr>
              <w:instrText xml:space="preserve"> =SUM(c3:c6) </w:instrText>
            </w:r>
            <w:r w:rsidRPr="0002399F">
              <w:rPr>
                <w:b/>
                <w:i/>
              </w:rPr>
              <w:fldChar w:fldCharType="separate"/>
            </w:r>
            <w:r w:rsidRPr="0002399F">
              <w:rPr>
                <w:b/>
                <w:i/>
                <w:noProof/>
              </w:rPr>
              <w:t>6,882</w:t>
            </w:r>
            <w:r w:rsidRPr="0002399F">
              <w:rPr>
                <w:b/>
                <w:i/>
              </w:rPr>
              <w:fldChar w:fldCharType="end"/>
            </w:r>
          </w:p>
        </w:tc>
        <w:tc>
          <w:tcPr>
            <w:tcW w:w="5634" w:type="dxa"/>
            <w:tcBorders>
              <w:bottom w:val="nil"/>
            </w:tcBorders>
          </w:tcPr>
          <w:p w14:paraId="2BB924D8" w14:textId="77777777" w:rsidR="0002399F" w:rsidRPr="000127EF" w:rsidRDefault="0002399F" w:rsidP="0002399F">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78C7390C" w14:textId="18480561" w:rsidR="0002399F" w:rsidRPr="00890BBC" w:rsidRDefault="00890BBC" w:rsidP="0002399F">
            <w:pPr>
              <w:jc w:val="right"/>
              <w:rPr>
                <w:b/>
              </w:rPr>
            </w:pPr>
            <w:r w:rsidRPr="00890BBC">
              <w:rPr>
                <w:b/>
              </w:rPr>
              <w:t>6,</w:t>
            </w:r>
            <w:r w:rsidR="00374AE9">
              <w:rPr>
                <w:b/>
              </w:rPr>
              <w:t>757</w:t>
            </w:r>
          </w:p>
        </w:tc>
      </w:tr>
      <w:tr w:rsidR="00F82E5E" w:rsidRPr="000127EF" w14:paraId="4B3CC363" w14:textId="77777777" w:rsidTr="00E85FB2">
        <w:trPr>
          <w:trHeight w:hRule="exact" w:val="107"/>
          <w:jc w:val="center"/>
        </w:trPr>
        <w:tc>
          <w:tcPr>
            <w:tcW w:w="1454" w:type="dxa"/>
            <w:tcBorders>
              <w:top w:val="nil"/>
            </w:tcBorders>
          </w:tcPr>
          <w:p w14:paraId="12E67C14" w14:textId="77777777" w:rsidR="00F82E5E" w:rsidRPr="000127EF" w:rsidRDefault="00F82E5E" w:rsidP="00F82E5E">
            <w:pPr>
              <w:jc w:val="right"/>
              <w:rPr>
                <w:i/>
              </w:rPr>
            </w:pPr>
          </w:p>
        </w:tc>
        <w:tc>
          <w:tcPr>
            <w:tcW w:w="5634" w:type="dxa"/>
            <w:tcBorders>
              <w:top w:val="nil"/>
            </w:tcBorders>
          </w:tcPr>
          <w:p w14:paraId="2F32CCE7" w14:textId="77777777" w:rsidR="00F82E5E" w:rsidRPr="000127EF" w:rsidRDefault="00F82E5E" w:rsidP="00F82E5E">
            <w:pPr>
              <w:jc w:val="both"/>
            </w:pPr>
          </w:p>
        </w:tc>
        <w:tc>
          <w:tcPr>
            <w:tcW w:w="1534" w:type="dxa"/>
            <w:tcBorders>
              <w:top w:val="nil"/>
            </w:tcBorders>
          </w:tcPr>
          <w:p w14:paraId="4AEB9841" w14:textId="77777777" w:rsidR="00F82E5E" w:rsidRPr="00890BBC" w:rsidRDefault="00F82E5E" w:rsidP="00F82E5E">
            <w:pPr>
              <w:jc w:val="right"/>
            </w:pPr>
          </w:p>
        </w:tc>
      </w:tr>
    </w:tbl>
    <w:p w14:paraId="75209BA2" w14:textId="77777777" w:rsidR="00BC42C7" w:rsidRPr="000127EF" w:rsidRDefault="00BC42C7" w:rsidP="00CE0021">
      <w:pPr>
        <w:pStyle w:val="Heading1"/>
        <w:numPr>
          <w:ilvl w:val="0"/>
          <w:numId w:val="8"/>
        </w:numPr>
        <w:spacing w:before="240"/>
        <w:ind w:left="425" w:hanging="357"/>
        <w:rPr>
          <w:sz w:val="22"/>
          <w:szCs w:val="22"/>
        </w:rPr>
      </w:pPr>
      <w:r w:rsidRPr="000127EF">
        <w:rPr>
          <w:sz w:val="22"/>
          <w:szCs w:val="22"/>
        </w:rPr>
        <w:t>Provisions</w:t>
      </w:r>
    </w:p>
    <w:tbl>
      <w:tblPr>
        <w:tblStyle w:val="TableGrid"/>
        <w:tblW w:w="9003" w:type="dxa"/>
        <w:jc w:val="center"/>
        <w:tbl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insideH w:val="none" w:sz="0" w:space="0" w:color="auto"/>
          <w:insideV w:val="none" w:sz="0" w:space="0" w:color="auto"/>
        </w:tblBorders>
        <w:tblLook w:val="04A0" w:firstRow="1" w:lastRow="0" w:firstColumn="1" w:lastColumn="0" w:noHBand="0" w:noVBand="1"/>
      </w:tblPr>
      <w:tblGrid>
        <w:gridCol w:w="2578"/>
        <w:gridCol w:w="1309"/>
        <w:gridCol w:w="1600"/>
        <w:gridCol w:w="2004"/>
        <w:gridCol w:w="1512"/>
      </w:tblGrid>
      <w:tr w:rsidR="00AA25A5" w:rsidRPr="000127EF" w14:paraId="66628D81" w14:textId="77777777" w:rsidTr="002A5F98">
        <w:trPr>
          <w:jc w:val="center"/>
        </w:trPr>
        <w:tc>
          <w:tcPr>
            <w:tcW w:w="2578" w:type="dxa"/>
            <w:vAlign w:val="center"/>
          </w:tcPr>
          <w:p w14:paraId="7EFF7A8D" w14:textId="77777777" w:rsidR="00AA25A5" w:rsidRPr="000127EF" w:rsidRDefault="00AA25A5" w:rsidP="009E51A5">
            <w:pPr>
              <w:rPr>
                <w:b/>
              </w:rPr>
            </w:pPr>
            <w:r w:rsidRPr="000127EF">
              <w:rPr>
                <w:b/>
              </w:rPr>
              <w:t>Provision</w:t>
            </w:r>
          </w:p>
        </w:tc>
        <w:tc>
          <w:tcPr>
            <w:tcW w:w="1309" w:type="dxa"/>
          </w:tcPr>
          <w:p w14:paraId="2A0D7839" w14:textId="77777777" w:rsidR="00AA25A5" w:rsidRPr="000127EF" w:rsidRDefault="009D21DF" w:rsidP="005B7D68">
            <w:pPr>
              <w:jc w:val="center"/>
              <w:rPr>
                <w:b/>
              </w:rPr>
            </w:pPr>
            <w:r w:rsidRPr="000127EF">
              <w:rPr>
                <w:b/>
              </w:rPr>
              <w:t>Balance 1 April</w:t>
            </w:r>
          </w:p>
        </w:tc>
        <w:tc>
          <w:tcPr>
            <w:tcW w:w="1600" w:type="dxa"/>
          </w:tcPr>
          <w:p w14:paraId="61C9E611" w14:textId="77777777" w:rsidR="00AA25A5" w:rsidRPr="000127EF" w:rsidRDefault="009D21DF" w:rsidP="005B7D68">
            <w:pPr>
              <w:jc w:val="center"/>
              <w:rPr>
                <w:b/>
              </w:rPr>
            </w:pPr>
            <w:r w:rsidRPr="000127EF">
              <w:rPr>
                <w:b/>
              </w:rPr>
              <w:t>Addition to Provision</w:t>
            </w:r>
          </w:p>
        </w:tc>
        <w:tc>
          <w:tcPr>
            <w:tcW w:w="2004" w:type="dxa"/>
            <w:vAlign w:val="center"/>
          </w:tcPr>
          <w:p w14:paraId="198BFF55" w14:textId="77777777" w:rsidR="00AA25A5" w:rsidRPr="000127EF" w:rsidRDefault="009D21DF" w:rsidP="005B7D68">
            <w:pPr>
              <w:jc w:val="center"/>
              <w:rPr>
                <w:b/>
              </w:rPr>
            </w:pPr>
            <w:r w:rsidRPr="000127EF">
              <w:rPr>
                <w:b/>
              </w:rPr>
              <w:t>Amount Charged in Year</w:t>
            </w:r>
          </w:p>
        </w:tc>
        <w:tc>
          <w:tcPr>
            <w:tcW w:w="1512" w:type="dxa"/>
            <w:vAlign w:val="center"/>
          </w:tcPr>
          <w:p w14:paraId="2ACF1B99" w14:textId="77777777" w:rsidR="00AA25A5" w:rsidRPr="000127EF" w:rsidRDefault="009D21DF" w:rsidP="005B7D68">
            <w:pPr>
              <w:jc w:val="center"/>
              <w:rPr>
                <w:b/>
              </w:rPr>
            </w:pPr>
            <w:r w:rsidRPr="000127EF">
              <w:rPr>
                <w:b/>
              </w:rPr>
              <w:t>Balance 31 March</w:t>
            </w:r>
          </w:p>
        </w:tc>
      </w:tr>
      <w:tr w:rsidR="00AA25A5" w:rsidRPr="000127EF" w14:paraId="4BBAC6E4" w14:textId="77777777" w:rsidTr="002A5F98">
        <w:trPr>
          <w:jc w:val="center"/>
        </w:trPr>
        <w:tc>
          <w:tcPr>
            <w:tcW w:w="2578" w:type="dxa"/>
            <w:vAlign w:val="center"/>
          </w:tcPr>
          <w:p w14:paraId="6DDB6E4B" w14:textId="77777777" w:rsidR="00AA25A5" w:rsidRPr="000127EF" w:rsidRDefault="00AA25A5" w:rsidP="009E51A5">
            <w:pPr>
              <w:jc w:val="right"/>
            </w:pPr>
          </w:p>
        </w:tc>
        <w:tc>
          <w:tcPr>
            <w:tcW w:w="1309" w:type="dxa"/>
          </w:tcPr>
          <w:p w14:paraId="16232AAF" w14:textId="77777777" w:rsidR="00AA25A5" w:rsidRPr="000127EF" w:rsidRDefault="00AA25A5" w:rsidP="005B7D68">
            <w:pPr>
              <w:jc w:val="center"/>
              <w:rPr>
                <w:b/>
              </w:rPr>
            </w:pPr>
            <w:r w:rsidRPr="000127EF">
              <w:rPr>
                <w:b/>
              </w:rPr>
              <w:t>£000</w:t>
            </w:r>
          </w:p>
        </w:tc>
        <w:tc>
          <w:tcPr>
            <w:tcW w:w="1600" w:type="dxa"/>
          </w:tcPr>
          <w:p w14:paraId="5E2943BB" w14:textId="77777777" w:rsidR="00AA25A5" w:rsidRPr="000127EF" w:rsidRDefault="00AA25A5" w:rsidP="005B7D68">
            <w:pPr>
              <w:jc w:val="center"/>
              <w:rPr>
                <w:b/>
              </w:rPr>
            </w:pPr>
            <w:r w:rsidRPr="000127EF">
              <w:rPr>
                <w:b/>
              </w:rPr>
              <w:t>£000</w:t>
            </w:r>
          </w:p>
        </w:tc>
        <w:tc>
          <w:tcPr>
            <w:tcW w:w="2004" w:type="dxa"/>
            <w:vAlign w:val="center"/>
          </w:tcPr>
          <w:p w14:paraId="701833B3" w14:textId="77777777" w:rsidR="00AA25A5" w:rsidRPr="000127EF" w:rsidRDefault="00AA25A5" w:rsidP="005B7D68">
            <w:pPr>
              <w:jc w:val="center"/>
              <w:rPr>
                <w:b/>
              </w:rPr>
            </w:pPr>
            <w:r w:rsidRPr="000127EF">
              <w:rPr>
                <w:b/>
              </w:rPr>
              <w:t>£000</w:t>
            </w:r>
          </w:p>
        </w:tc>
        <w:tc>
          <w:tcPr>
            <w:tcW w:w="1512" w:type="dxa"/>
            <w:shd w:val="clear" w:color="auto" w:fill="C5E0B3" w:themeFill="accent6" w:themeFillTint="66"/>
            <w:vAlign w:val="center"/>
          </w:tcPr>
          <w:p w14:paraId="6B8440E7" w14:textId="77777777" w:rsidR="00AA25A5" w:rsidRPr="000127EF" w:rsidRDefault="00AA25A5" w:rsidP="005B7D68">
            <w:pPr>
              <w:jc w:val="center"/>
              <w:rPr>
                <w:b/>
              </w:rPr>
            </w:pPr>
            <w:r w:rsidRPr="000127EF">
              <w:rPr>
                <w:b/>
              </w:rPr>
              <w:t>£000</w:t>
            </w:r>
          </w:p>
        </w:tc>
      </w:tr>
      <w:tr w:rsidR="00E165AE" w:rsidRPr="000127EF" w14:paraId="3CEC7C4C" w14:textId="77777777" w:rsidTr="001C0223">
        <w:trPr>
          <w:jc w:val="center"/>
        </w:trPr>
        <w:tc>
          <w:tcPr>
            <w:tcW w:w="2578" w:type="dxa"/>
            <w:vAlign w:val="center"/>
          </w:tcPr>
          <w:p w14:paraId="576D0519" w14:textId="77777777" w:rsidR="00E165AE" w:rsidRPr="000127EF" w:rsidRDefault="00E165AE" w:rsidP="009E51A5">
            <w:r w:rsidRPr="000127EF">
              <w:t>Appeals (NDR)</w:t>
            </w:r>
          </w:p>
        </w:tc>
        <w:tc>
          <w:tcPr>
            <w:tcW w:w="1309" w:type="dxa"/>
            <w:vAlign w:val="center"/>
          </w:tcPr>
          <w:p w14:paraId="0C697BFB" w14:textId="14FE240A" w:rsidR="00E165AE" w:rsidRPr="000127EF" w:rsidRDefault="00C445C6" w:rsidP="00A155F9">
            <w:pPr>
              <w:jc w:val="right"/>
            </w:pPr>
            <w:r>
              <w:t>798</w:t>
            </w:r>
          </w:p>
        </w:tc>
        <w:tc>
          <w:tcPr>
            <w:tcW w:w="1600" w:type="dxa"/>
          </w:tcPr>
          <w:p w14:paraId="45C6153D" w14:textId="04A03FA0" w:rsidR="00E165AE" w:rsidRPr="000127EF" w:rsidRDefault="00C445C6" w:rsidP="001C71D8">
            <w:pPr>
              <w:jc w:val="right"/>
            </w:pPr>
            <w:r>
              <w:t>371</w:t>
            </w:r>
          </w:p>
        </w:tc>
        <w:tc>
          <w:tcPr>
            <w:tcW w:w="2004" w:type="dxa"/>
            <w:vAlign w:val="center"/>
          </w:tcPr>
          <w:p w14:paraId="5B29A2D2" w14:textId="28985E26" w:rsidR="00E165AE" w:rsidRPr="000127EF" w:rsidRDefault="00C445C6" w:rsidP="00C44EF9">
            <w:pPr>
              <w:jc w:val="right"/>
            </w:pPr>
            <w:r>
              <w:t>(57)</w:t>
            </w:r>
          </w:p>
        </w:tc>
        <w:tc>
          <w:tcPr>
            <w:tcW w:w="1512" w:type="dxa"/>
            <w:shd w:val="clear" w:color="auto" w:fill="C5E0B3" w:themeFill="accent6" w:themeFillTint="66"/>
            <w:vAlign w:val="center"/>
          </w:tcPr>
          <w:p w14:paraId="67582E13" w14:textId="76085F77" w:rsidR="00E165AE" w:rsidRPr="000127EF" w:rsidRDefault="00C445C6" w:rsidP="00C44EF9">
            <w:pPr>
              <w:jc w:val="right"/>
            </w:pPr>
            <w:r>
              <w:t>1,112</w:t>
            </w:r>
          </w:p>
        </w:tc>
      </w:tr>
    </w:tbl>
    <w:p w14:paraId="576950F1" w14:textId="77777777" w:rsidR="001400E8" w:rsidRPr="000127EF" w:rsidRDefault="0006526C" w:rsidP="003C2365">
      <w:pPr>
        <w:spacing w:before="120" w:after="120"/>
      </w:pPr>
      <w:r w:rsidRPr="000127EF">
        <w:t>The Provision for Appeals (NDR) provides for appeals against the rateable valuation set by the Valuation Office Agency (VOA) and represents RCC’s share only.</w:t>
      </w:r>
    </w:p>
    <w:p w14:paraId="52077C3B" w14:textId="77777777" w:rsidR="003C2365" w:rsidRPr="000127EF" w:rsidRDefault="003C2365" w:rsidP="00D162D1">
      <w:pPr>
        <w:pStyle w:val="Heading1"/>
        <w:numPr>
          <w:ilvl w:val="0"/>
          <w:numId w:val="8"/>
        </w:numPr>
        <w:ind w:left="426"/>
        <w:rPr>
          <w:sz w:val="22"/>
          <w:szCs w:val="22"/>
        </w:rPr>
      </w:pPr>
      <w:r w:rsidRPr="000127EF">
        <w:rPr>
          <w:sz w:val="22"/>
          <w:szCs w:val="22"/>
        </w:rPr>
        <w:t>Cash Flow Statement – Operating Activities</w:t>
      </w:r>
    </w:p>
    <w:p w14:paraId="0435D734" w14:textId="77777777" w:rsidR="00627352" w:rsidRPr="000127EF" w:rsidRDefault="003C2365" w:rsidP="0003111C">
      <w:pPr>
        <w:spacing w:before="120" w:after="120"/>
      </w:pPr>
      <w:r w:rsidRPr="000127EF">
        <w:t>The cash flow for operating activities includes</w:t>
      </w:r>
      <w:r w:rsidR="0003111C" w:rsidRPr="000127EF">
        <w:t xml:space="preserve"> the following items:</w:t>
      </w:r>
    </w:p>
    <w:tbl>
      <w:tblPr>
        <w:tblStyle w:val="TableGrid"/>
        <w:tblW w:w="0" w:type="auto"/>
        <w:jc w:val="center"/>
        <w:tblBorders>
          <w:top w:val="single" w:sz="18" w:space="0" w:color="C9C9C9" w:themeColor="accent3" w:themeTint="99"/>
          <w:left w:val="single" w:sz="18" w:space="0" w:color="C9C9C9" w:themeColor="accent3" w:themeTint="99"/>
          <w:bottom w:val="single" w:sz="18" w:space="0" w:color="C9C9C9" w:themeColor="accent3" w:themeTint="99"/>
          <w:right w:val="single" w:sz="18" w:space="0" w:color="C9C9C9" w:themeColor="accent3" w:themeTint="99"/>
          <w:insideH w:val="none" w:sz="0" w:space="0" w:color="auto"/>
          <w:insideV w:val="none" w:sz="0" w:space="0" w:color="auto"/>
        </w:tblBorders>
        <w:tblLook w:val="04A0" w:firstRow="1" w:lastRow="0" w:firstColumn="1" w:lastColumn="0" w:noHBand="0" w:noVBand="1"/>
      </w:tblPr>
      <w:tblGrid>
        <w:gridCol w:w="1427"/>
        <w:gridCol w:w="6322"/>
        <w:gridCol w:w="1177"/>
      </w:tblGrid>
      <w:tr w:rsidR="0003111C" w:rsidRPr="000127EF" w14:paraId="007E14AC" w14:textId="77777777" w:rsidTr="00783D99">
        <w:trPr>
          <w:trHeight w:val="274"/>
          <w:jc w:val="center"/>
        </w:trPr>
        <w:tc>
          <w:tcPr>
            <w:tcW w:w="1427" w:type="dxa"/>
            <w:tcBorders>
              <w:top w:val="single" w:sz="18" w:space="0" w:color="A8D08D" w:themeColor="accent6" w:themeTint="99"/>
              <w:left w:val="single" w:sz="18" w:space="0" w:color="A8D08D" w:themeColor="accent6" w:themeTint="99"/>
            </w:tcBorders>
          </w:tcPr>
          <w:p w14:paraId="208D8B5B" w14:textId="2370AE4A" w:rsidR="0003111C" w:rsidRPr="000127EF" w:rsidRDefault="00B070B4" w:rsidP="0003111C">
            <w:pPr>
              <w:jc w:val="center"/>
              <w:rPr>
                <w:rFonts w:cs="Arial"/>
                <w:b/>
                <w:szCs w:val="22"/>
              </w:rPr>
            </w:pPr>
            <w:r>
              <w:rPr>
                <w:rFonts w:cs="Arial"/>
                <w:b/>
                <w:szCs w:val="22"/>
              </w:rPr>
              <w:t>2018/19</w:t>
            </w:r>
          </w:p>
        </w:tc>
        <w:tc>
          <w:tcPr>
            <w:tcW w:w="6322" w:type="dxa"/>
            <w:tcBorders>
              <w:top w:val="single" w:sz="18" w:space="0" w:color="A8D08D" w:themeColor="accent6" w:themeTint="99"/>
            </w:tcBorders>
          </w:tcPr>
          <w:p w14:paraId="7127F500" w14:textId="77777777" w:rsidR="0003111C" w:rsidRPr="000127EF" w:rsidRDefault="0003111C" w:rsidP="00FC4515">
            <w:pPr>
              <w:jc w:val="center"/>
              <w:rPr>
                <w:rFonts w:cs="Arial"/>
                <w:szCs w:val="22"/>
              </w:rPr>
            </w:pPr>
          </w:p>
        </w:tc>
        <w:tc>
          <w:tcPr>
            <w:tcW w:w="1177" w:type="dxa"/>
            <w:tcBorders>
              <w:top w:val="single" w:sz="18" w:space="0" w:color="A8D08D" w:themeColor="accent6" w:themeTint="99"/>
              <w:right w:val="single" w:sz="18" w:space="0" w:color="A8D08D" w:themeColor="accent6" w:themeTint="99"/>
            </w:tcBorders>
            <w:shd w:val="clear" w:color="auto" w:fill="C5E0B3" w:themeFill="accent6" w:themeFillTint="66"/>
          </w:tcPr>
          <w:p w14:paraId="24EF0420" w14:textId="55705FF1" w:rsidR="0003111C" w:rsidRPr="001A193F" w:rsidRDefault="00B070B4" w:rsidP="0003111C">
            <w:pPr>
              <w:jc w:val="center"/>
              <w:rPr>
                <w:rFonts w:cs="Arial"/>
                <w:b/>
                <w:szCs w:val="22"/>
              </w:rPr>
            </w:pPr>
            <w:r w:rsidRPr="001A193F">
              <w:rPr>
                <w:rFonts w:cs="Arial"/>
                <w:b/>
                <w:szCs w:val="22"/>
              </w:rPr>
              <w:t>2019/20</w:t>
            </w:r>
          </w:p>
        </w:tc>
      </w:tr>
      <w:tr w:rsidR="0003111C" w:rsidRPr="000127EF" w14:paraId="2F6DAE31" w14:textId="77777777" w:rsidTr="00783D99">
        <w:trPr>
          <w:jc w:val="center"/>
        </w:trPr>
        <w:tc>
          <w:tcPr>
            <w:tcW w:w="1427" w:type="dxa"/>
            <w:tcBorders>
              <w:left w:val="single" w:sz="18" w:space="0" w:color="A8D08D" w:themeColor="accent6" w:themeTint="99"/>
            </w:tcBorders>
          </w:tcPr>
          <w:p w14:paraId="7FEBC42D" w14:textId="77777777" w:rsidR="0003111C" w:rsidRPr="000127EF" w:rsidRDefault="0003111C" w:rsidP="00FC4515">
            <w:pPr>
              <w:jc w:val="center"/>
              <w:rPr>
                <w:rFonts w:cs="Arial"/>
                <w:b/>
                <w:szCs w:val="22"/>
              </w:rPr>
            </w:pPr>
            <w:r w:rsidRPr="000127EF">
              <w:rPr>
                <w:rFonts w:cs="Arial"/>
                <w:b/>
                <w:szCs w:val="22"/>
              </w:rPr>
              <w:t>£000</w:t>
            </w:r>
          </w:p>
        </w:tc>
        <w:tc>
          <w:tcPr>
            <w:tcW w:w="6322" w:type="dxa"/>
          </w:tcPr>
          <w:p w14:paraId="12D1ED4F" w14:textId="77777777" w:rsidR="0003111C" w:rsidRPr="000127EF" w:rsidRDefault="0003111C" w:rsidP="00FC4515">
            <w:pPr>
              <w:jc w:val="center"/>
              <w:rPr>
                <w:rFonts w:cs="Arial"/>
                <w:szCs w:val="22"/>
              </w:rPr>
            </w:pPr>
          </w:p>
        </w:tc>
        <w:tc>
          <w:tcPr>
            <w:tcW w:w="1177" w:type="dxa"/>
            <w:tcBorders>
              <w:right w:val="single" w:sz="18" w:space="0" w:color="A8D08D" w:themeColor="accent6" w:themeTint="99"/>
            </w:tcBorders>
            <w:shd w:val="clear" w:color="auto" w:fill="C5E0B3" w:themeFill="accent6" w:themeFillTint="66"/>
          </w:tcPr>
          <w:p w14:paraId="1A89B190" w14:textId="77777777" w:rsidR="0003111C" w:rsidRPr="001A193F" w:rsidRDefault="0003111C" w:rsidP="00FC4515">
            <w:pPr>
              <w:jc w:val="center"/>
              <w:rPr>
                <w:rFonts w:cs="Arial"/>
                <w:b/>
                <w:szCs w:val="22"/>
              </w:rPr>
            </w:pPr>
            <w:r w:rsidRPr="001A193F">
              <w:rPr>
                <w:rFonts w:cs="Arial"/>
                <w:b/>
                <w:szCs w:val="22"/>
              </w:rPr>
              <w:t>£000</w:t>
            </w:r>
          </w:p>
        </w:tc>
      </w:tr>
      <w:tr w:rsidR="00B070B4" w:rsidRPr="000127EF" w14:paraId="24E53FC7" w14:textId="77777777" w:rsidTr="00982187">
        <w:trPr>
          <w:trHeight w:val="80"/>
          <w:jc w:val="center"/>
        </w:trPr>
        <w:tc>
          <w:tcPr>
            <w:tcW w:w="1427" w:type="dxa"/>
            <w:tcBorders>
              <w:left w:val="single" w:sz="18" w:space="0" w:color="A8D08D" w:themeColor="accent6" w:themeTint="99"/>
            </w:tcBorders>
          </w:tcPr>
          <w:p w14:paraId="1DC04F37" w14:textId="3940F9CA" w:rsidR="00B070B4" w:rsidRPr="00B070B4" w:rsidRDefault="00B070B4" w:rsidP="00B070B4">
            <w:pPr>
              <w:jc w:val="right"/>
              <w:rPr>
                <w:rFonts w:cs="Arial"/>
                <w:i/>
                <w:szCs w:val="22"/>
              </w:rPr>
            </w:pPr>
            <w:r w:rsidRPr="00B070B4">
              <w:rPr>
                <w:rFonts w:cs="Arial"/>
                <w:i/>
                <w:szCs w:val="22"/>
              </w:rPr>
              <w:t>(312)</w:t>
            </w:r>
          </w:p>
        </w:tc>
        <w:tc>
          <w:tcPr>
            <w:tcW w:w="6322" w:type="dxa"/>
          </w:tcPr>
          <w:p w14:paraId="75ABBA68" w14:textId="77777777" w:rsidR="00B070B4" w:rsidRPr="000127EF" w:rsidRDefault="00B070B4" w:rsidP="00B070B4">
            <w:r w:rsidRPr="000127EF">
              <w:t>Interest Received</w:t>
            </w:r>
          </w:p>
        </w:tc>
        <w:tc>
          <w:tcPr>
            <w:tcW w:w="1177" w:type="dxa"/>
            <w:tcBorders>
              <w:right w:val="single" w:sz="18" w:space="0" w:color="A8D08D" w:themeColor="accent6" w:themeTint="99"/>
            </w:tcBorders>
            <w:shd w:val="clear" w:color="auto" w:fill="C5E0B3" w:themeFill="accent6" w:themeFillTint="66"/>
          </w:tcPr>
          <w:p w14:paraId="581B2848" w14:textId="41D299D2" w:rsidR="00B070B4" w:rsidRPr="001A193F" w:rsidRDefault="001A193F" w:rsidP="00B070B4">
            <w:pPr>
              <w:jc w:val="right"/>
              <w:rPr>
                <w:rFonts w:cs="Arial"/>
                <w:szCs w:val="22"/>
              </w:rPr>
            </w:pPr>
            <w:r w:rsidRPr="001A193F">
              <w:rPr>
                <w:rFonts w:cs="Arial"/>
                <w:szCs w:val="22"/>
              </w:rPr>
              <w:t>(397)</w:t>
            </w:r>
          </w:p>
        </w:tc>
      </w:tr>
      <w:tr w:rsidR="00B070B4" w:rsidRPr="000127EF" w14:paraId="315EEC4C" w14:textId="77777777" w:rsidTr="00FC4515">
        <w:trPr>
          <w:trHeight w:val="253"/>
          <w:jc w:val="center"/>
        </w:trPr>
        <w:tc>
          <w:tcPr>
            <w:tcW w:w="1427" w:type="dxa"/>
            <w:tcBorders>
              <w:left w:val="single" w:sz="18" w:space="0" w:color="A8D08D" w:themeColor="accent6" w:themeTint="99"/>
            </w:tcBorders>
          </w:tcPr>
          <w:p w14:paraId="09CC852C" w14:textId="116ED4B0" w:rsidR="00B070B4" w:rsidRPr="00B070B4" w:rsidRDefault="00B070B4" w:rsidP="00B070B4">
            <w:pPr>
              <w:jc w:val="right"/>
              <w:rPr>
                <w:rFonts w:cs="Arial"/>
                <w:i/>
                <w:szCs w:val="22"/>
              </w:rPr>
            </w:pPr>
            <w:r w:rsidRPr="00B070B4">
              <w:rPr>
                <w:rFonts w:cs="Arial"/>
                <w:i/>
                <w:szCs w:val="22"/>
              </w:rPr>
              <w:t>1,049</w:t>
            </w:r>
          </w:p>
        </w:tc>
        <w:tc>
          <w:tcPr>
            <w:tcW w:w="6322" w:type="dxa"/>
          </w:tcPr>
          <w:p w14:paraId="061D8E3A" w14:textId="77777777" w:rsidR="00B070B4" w:rsidRPr="000127EF" w:rsidRDefault="00B070B4" w:rsidP="00B070B4">
            <w:r w:rsidRPr="000127EF">
              <w:t>Interest Payables</w:t>
            </w:r>
          </w:p>
        </w:tc>
        <w:tc>
          <w:tcPr>
            <w:tcW w:w="1177" w:type="dxa"/>
            <w:tcBorders>
              <w:right w:val="single" w:sz="18" w:space="0" w:color="A8D08D" w:themeColor="accent6" w:themeTint="99"/>
            </w:tcBorders>
            <w:shd w:val="clear" w:color="auto" w:fill="C5E0B3" w:themeFill="accent6" w:themeFillTint="66"/>
          </w:tcPr>
          <w:p w14:paraId="36E6051D" w14:textId="49641E45" w:rsidR="00B070B4" w:rsidRPr="001A193F" w:rsidRDefault="001A193F" w:rsidP="00B070B4">
            <w:pPr>
              <w:jc w:val="right"/>
              <w:rPr>
                <w:rFonts w:cs="Arial"/>
                <w:szCs w:val="22"/>
              </w:rPr>
            </w:pPr>
            <w:r>
              <w:rPr>
                <w:rFonts w:cs="Arial"/>
                <w:szCs w:val="22"/>
              </w:rPr>
              <w:t>1,049</w:t>
            </w:r>
          </w:p>
        </w:tc>
      </w:tr>
      <w:tr w:rsidR="004B3FF4" w:rsidRPr="000127EF" w14:paraId="57FACE06" w14:textId="77777777" w:rsidTr="00783D99">
        <w:trPr>
          <w:jc w:val="center"/>
        </w:trPr>
        <w:tc>
          <w:tcPr>
            <w:tcW w:w="7749" w:type="dxa"/>
            <w:gridSpan w:val="2"/>
            <w:tcBorders>
              <w:left w:val="single" w:sz="18" w:space="0" w:color="A8D08D" w:themeColor="accent6" w:themeTint="99"/>
            </w:tcBorders>
          </w:tcPr>
          <w:p w14:paraId="219BF362" w14:textId="77777777" w:rsidR="004B3FF4" w:rsidRPr="000127EF" w:rsidRDefault="004B3FF4" w:rsidP="004B3FF4">
            <w:pPr>
              <w:rPr>
                <w:rFonts w:cs="Arial"/>
                <w:b/>
                <w:szCs w:val="22"/>
              </w:rPr>
            </w:pPr>
          </w:p>
        </w:tc>
        <w:tc>
          <w:tcPr>
            <w:tcW w:w="1177" w:type="dxa"/>
            <w:tcBorders>
              <w:right w:val="single" w:sz="18" w:space="0" w:color="A8D08D" w:themeColor="accent6" w:themeTint="99"/>
            </w:tcBorders>
            <w:shd w:val="clear" w:color="auto" w:fill="C5E0B3" w:themeFill="accent6" w:themeFillTint="66"/>
          </w:tcPr>
          <w:p w14:paraId="76D4ACEC" w14:textId="77777777" w:rsidR="004B3FF4" w:rsidRPr="001A193F" w:rsidRDefault="004B3FF4" w:rsidP="004B3FF4">
            <w:pPr>
              <w:jc w:val="right"/>
              <w:rPr>
                <w:rFonts w:cs="Arial"/>
                <w:szCs w:val="22"/>
              </w:rPr>
            </w:pPr>
          </w:p>
        </w:tc>
      </w:tr>
      <w:tr w:rsidR="004B3FF4" w:rsidRPr="000127EF" w14:paraId="5CC12D0C" w14:textId="77777777" w:rsidTr="00783D99">
        <w:trPr>
          <w:jc w:val="center"/>
        </w:trPr>
        <w:tc>
          <w:tcPr>
            <w:tcW w:w="7749" w:type="dxa"/>
            <w:gridSpan w:val="2"/>
            <w:tcBorders>
              <w:left w:val="single" w:sz="18" w:space="0" w:color="A8D08D" w:themeColor="accent6" w:themeTint="99"/>
            </w:tcBorders>
          </w:tcPr>
          <w:p w14:paraId="4BBE926C" w14:textId="77777777" w:rsidR="004B3FF4" w:rsidRPr="000127EF" w:rsidRDefault="004B3FF4" w:rsidP="004B3FF4">
            <w:pPr>
              <w:rPr>
                <w:rFonts w:cs="Arial"/>
                <w:b/>
                <w:szCs w:val="22"/>
              </w:rPr>
            </w:pPr>
            <w:r w:rsidRPr="000127EF">
              <w:rPr>
                <w:rFonts w:cs="Arial"/>
                <w:b/>
                <w:szCs w:val="22"/>
              </w:rPr>
              <w:t>Adjust net surplus or deficit on the provision of services for non-cash movements</w:t>
            </w:r>
          </w:p>
        </w:tc>
        <w:tc>
          <w:tcPr>
            <w:tcW w:w="1177" w:type="dxa"/>
            <w:tcBorders>
              <w:right w:val="single" w:sz="18" w:space="0" w:color="A8D08D" w:themeColor="accent6" w:themeTint="99"/>
            </w:tcBorders>
            <w:shd w:val="clear" w:color="auto" w:fill="C5E0B3" w:themeFill="accent6" w:themeFillTint="66"/>
          </w:tcPr>
          <w:p w14:paraId="690415B2" w14:textId="77777777" w:rsidR="004B3FF4" w:rsidRPr="001A193F" w:rsidRDefault="004B3FF4" w:rsidP="004B3FF4">
            <w:pPr>
              <w:jc w:val="right"/>
              <w:rPr>
                <w:rFonts w:cs="Arial"/>
                <w:szCs w:val="22"/>
              </w:rPr>
            </w:pPr>
          </w:p>
        </w:tc>
      </w:tr>
      <w:tr w:rsidR="00B070B4" w:rsidRPr="000127EF" w14:paraId="440B9731" w14:textId="77777777" w:rsidTr="00783D99">
        <w:trPr>
          <w:jc w:val="center"/>
        </w:trPr>
        <w:tc>
          <w:tcPr>
            <w:tcW w:w="1427" w:type="dxa"/>
            <w:tcBorders>
              <w:left w:val="single" w:sz="18" w:space="0" w:color="A8D08D" w:themeColor="accent6" w:themeTint="99"/>
            </w:tcBorders>
          </w:tcPr>
          <w:p w14:paraId="79EA07F6" w14:textId="75772DE4" w:rsidR="00B070B4" w:rsidRPr="00B070B4" w:rsidRDefault="00B070B4" w:rsidP="00B070B4">
            <w:pPr>
              <w:jc w:val="right"/>
              <w:rPr>
                <w:rFonts w:cs="Arial"/>
                <w:i/>
                <w:szCs w:val="22"/>
              </w:rPr>
            </w:pPr>
            <w:r w:rsidRPr="00B070B4">
              <w:rPr>
                <w:rFonts w:cs="Arial"/>
                <w:i/>
                <w:szCs w:val="22"/>
              </w:rPr>
              <w:t>(2,328)</w:t>
            </w:r>
          </w:p>
        </w:tc>
        <w:tc>
          <w:tcPr>
            <w:tcW w:w="6322" w:type="dxa"/>
          </w:tcPr>
          <w:p w14:paraId="22406A12" w14:textId="77777777" w:rsidR="00B070B4" w:rsidRPr="000127EF" w:rsidRDefault="00B070B4" w:rsidP="00B070B4">
            <w:pPr>
              <w:rPr>
                <w:rFonts w:cs="Arial"/>
                <w:szCs w:val="22"/>
              </w:rPr>
            </w:pPr>
            <w:r w:rsidRPr="000127EF">
              <w:rPr>
                <w:rFonts w:cs="Arial"/>
                <w:szCs w:val="22"/>
              </w:rPr>
              <w:t>Depreciation and Impairment of Non-Current Assets</w:t>
            </w:r>
          </w:p>
        </w:tc>
        <w:tc>
          <w:tcPr>
            <w:tcW w:w="1177" w:type="dxa"/>
            <w:tcBorders>
              <w:right w:val="single" w:sz="18" w:space="0" w:color="A8D08D" w:themeColor="accent6" w:themeTint="99"/>
            </w:tcBorders>
            <w:shd w:val="clear" w:color="auto" w:fill="C5E0B3" w:themeFill="accent6" w:themeFillTint="66"/>
          </w:tcPr>
          <w:p w14:paraId="1C31F834" w14:textId="24DBE67A" w:rsidR="00B070B4" w:rsidRPr="001A193F" w:rsidRDefault="001A193F" w:rsidP="00B070B4">
            <w:pPr>
              <w:jc w:val="right"/>
              <w:rPr>
                <w:rFonts w:cs="Arial"/>
                <w:szCs w:val="22"/>
              </w:rPr>
            </w:pPr>
            <w:r w:rsidRPr="001A193F">
              <w:rPr>
                <w:rFonts w:cs="Arial"/>
                <w:szCs w:val="22"/>
              </w:rPr>
              <w:t>(2,379)</w:t>
            </w:r>
          </w:p>
        </w:tc>
      </w:tr>
      <w:tr w:rsidR="00B070B4" w:rsidRPr="000127EF" w14:paraId="6AF3247F" w14:textId="77777777" w:rsidTr="00783D99">
        <w:trPr>
          <w:trHeight w:val="253"/>
          <w:jc w:val="center"/>
        </w:trPr>
        <w:tc>
          <w:tcPr>
            <w:tcW w:w="1427" w:type="dxa"/>
            <w:tcBorders>
              <w:left w:val="single" w:sz="18" w:space="0" w:color="A8D08D" w:themeColor="accent6" w:themeTint="99"/>
            </w:tcBorders>
          </w:tcPr>
          <w:p w14:paraId="0BB40467" w14:textId="455DF8A7" w:rsidR="00B070B4" w:rsidRPr="00B070B4" w:rsidRDefault="00B070B4" w:rsidP="00B070B4">
            <w:pPr>
              <w:jc w:val="right"/>
              <w:rPr>
                <w:rFonts w:cs="Arial"/>
                <w:i/>
                <w:szCs w:val="22"/>
              </w:rPr>
            </w:pPr>
            <w:r w:rsidRPr="00B070B4">
              <w:rPr>
                <w:rFonts w:cs="Arial"/>
                <w:i/>
                <w:szCs w:val="22"/>
              </w:rPr>
              <w:t>569</w:t>
            </w:r>
          </w:p>
        </w:tc>
        <w:tc>
          <w:tcPr>
            <w:tcW w:w="6322" w:type="dxa"/>
          </w:tcPr>
          <w:p w14:paraId="14198F7B" w14:textId="77777777" w:rsidR="00B070B4" w:rsidRPr="000127EF" w:rsidRDefault="00B070B4" w:rsidP="00B070B4">
            <w:pPr>
              <w:rPr>
                <w:rFonts w:cs="Arial"/>
                <w:szCs w:val="22"/>
              </w:rPr>
            </w:pPr>
            <w:r w:rsidRPr="000127EF">
              <w:rPr>
                <w:rFonts w:cs="Arial"/>
                <w:color w:val="000000"/>
                <w:szCs w:val="22"/>
              </w:rPr>
              <w:t>Revaluation Losses on Property, Plant and Equipment</w:t>
            </w:r>
          </w:p>
        </w:tc>
        <w:tc>
          <w:tcPr>
            <w:tcW w:w="1177" w:type="dxa"/>
            <w:tcBorders>
              <w:right w:val="single" w:sz="18" w:space="0" w:color="A8D08D" w:themeColor="accent6" w:themeTint="99"/>
            </w:tcBorders>
            <w:shd w:val="clear" w:color="auto" w:fill="C5E0B3" w:themeFill="accent6" w:themeFillTint="66"/>
          </w:tcPr>
          <w:p w14:paraId="33A20DAB" w14:textId="23259497" w:rsidR="00B070B4" w:rsidRPr="001A193F" w:rsidRDefault="001A193F" w:rsidP="00B070B4">
            <w:pPr>
              <w:jc w:val="right"/>
              <w:rPr>
                <w:rFonts w:cs="Arial"/>
                <w:szCs w:val="22"/>
              </w:rPr>
            </w:pPr>
            <w:r w:rsidRPr="001A193F">
              <w:rPr>
                <w:rFonts w:cs="Arial"/>
                <w:szCs w:val="22"/>
              </w:rPr>
              <w:t>2</w:t>
            </w:r>
          </w:p>
        </w:tc>
      </w:tr>
      <w:tr w:rsidR="00B070B4" w:rsidRPr="000127EF" w14:paraId="2325EF36" w14:textId="77777777" w:rsidTr="00783D99">
        <w:trPr>
          <w:jc w:val="center"/>
        </w:trPr>
        <w:tc>
          <w:tcPr>
            <w:tcW w:w="1427" w:type="dxa"/>
            <w:tcBorders>
              <w:left w:val="single" w:sz="18" w:space="0" w:color="A8D08D" w:themeColor="accent6" w:themeTint="99"/>
            </w:tcBorders>
          </w:tcPr>
          <w:p w14:paraId="0CCC1201" w14:textId="76FF5984" w:rsidR="00B070B4" w:rsidRPr="00B070B4" w:rsidRDefault="00B070B4" w:rsidP="00B070B4">
            <w:pPr>
              <w:jc w:val="right"/>
              <w:rPr>
                <w:rFonts w:cs="Arial"/>
                <w:i/>
                <w:szCs w:val="22"/>
              </w:rPr>
            </w:pPr>
            <w:r w:rsidRPr="00B070B4">
              <w:rPr>
                <w:rFonts w:cs="Arial"/>
                <w:i/>
                <w:szCs w:val="22"/>
              </w:rPr>
              <w:t>(3,051)</w:t>
            </w:r>
          </w:p>
        </w:tc>
        <w:tc>
          <w:tcPr>
            <w:tcW w:w="6322" w:type="dxa"/>
          </w:tcPr>
          <w:p w14:paraId="0BDB5934" w14:textId="77777777" w:rsidR="00B070B4" w:rsidRPr="000127EF" w:rsidRDefault="00B070B4" w:rsidP="00B070B4">
            <w:pPr>
              <w:rPr>
                <w:rFonts w:cs="Arial"/>
                <w:szCs w:val="22"/>
              </w:rPr>
            </w:pPr>
            <w:r w:rsidRPr="000127EF">
              <w:rPr>
                <w:rFonts w:cs="Arial"/>
                <w:szCs w:val="22"/>
              </w:rPr>
              <w:t>Movement in Pension Liability</w:t>
            </w:r>
          </w:p>
        </w:tc>
        <w:tc>
          <w:tcPr>
            <w:tcW w:w="1177" w:type="dxa"/>
            <w:tcBorders>
              <w:right w:val="single" w:sz="18" w:space="0" w:color="A8D08D" w:themeColor="accent6" w:themeTint="99"/>
            </w:tcBorders>
            <w:shd w:val="clear" w:color="auto" w:fill="C5E0B3" w:themeFill="accent6" w:themeFillTint="66"/>
          </w:tcPr>
          <w:p w14:paraId="78F9D323" w14:textId="26A24968" w:rsidR="00B070B4" w:rsidRPr="001A193F" w:rsidRDefault="001A193F" w:rsidP="00B070B4">
            <w:pPr>
              <w:jc w:val="right"/>
              <w:rPr>
                <w:rFonts w:cs="Arial"/>
                <w:szCs w:val="22"/>
              </w:rPr>
            </w:pPr>
            <w:r w:rsidRPr="001A193F">
              <w:rPr>
                <w:rFonts w:cs="Arial"/>
                <w:szCs w:val="22"/>
              </w:rPr>
              <w:t>(3,094)</w:t>
            </w:r>
          </w:p>
        </w:tc>
      </w:tr>
      <w:tr w:rsidR="00B070B4" w:rsidRPr="000127EF" w14:paraId="05DB3E21" w14:textId="77777777" w:rsidTr="00783D99">
        <w:trPr>
          <w:jc w:val="center"/>
        </w:trPr>
        <w:tc>
          <w:tcPr>
            <w:tcW w:w="1427" w:type="dxa"/>
            <w:tcBorders>
              <w:left w:val="single" w:sz="18" w:space="0" w:color="A8D08D" w:themeColor="accent6" w:themeTint="99"/>
            </w:tcBorders>
          </w:tcPr>
          <w:p w14:paraId="0156AA16" w14:textId="2B31380F" w:rsidR="00B070B4" w:rsidRPr="00B070B4" w:rsidRDefault="00B070B4" w:rsidP="00B070B4">
            <w:pPr>
              <w:jc w:val="right"/>
              <w:rPr>
                <w:rFonts w:cs="Arial"/>
                <w:i/>
                <w:szCs w:val="22"/>
              </w:rPr>
            </w:pPr>
            <w:r w:rsidRPr="00B070B4">
              <w:rPr>
                <w:rFonts w:cs="Arial"/>
                <w:i/>
                <w:szCs w:val="22"/>
              </w:rPr>
              <w:t>(5,156)</w:t>
            </w:r>
          </w:p>
        </w:tc>
        <w:tc>
          <w:tcPr>
            <w:tcW w:w="6322" w:type="dxa"/>
          </w:tcPr>
          <w:p w14:paraId="74C7BBB2" w14:textId="77777777" w:rsidR="00B070B4" w:rsidRPr="000127EF" w:rsidRDefault="00B070B4" w:rsidP="00B070B4">
            <w:pPr>
              <w:rPr>
                <w:rFonts w:cs="Arial"/>
                <w:szCs w:val="22"/>
              </w:rPr>
            </w:pPr>
            <w:r w:rsidRPr="000127EF">
              <w:rPr>
                <w:rFonts w:cs="Arial"/>
                <w:color w:val="000000"/>
                <w:szCs w:val="22"/>
              </w:rPr>
              <w:t>Gains or Losses on Disposal of Non-Current Assets</w:t>
            </w:r>
          </w:p>
        </w:tc>
        <w:tc>
          <w:tcPr>
            <w:tcW w:w="1177" w:type="dxa"/>
            <w:tcBorders>
              <w:right w:val="single" w:sz="18" w:space="0" w:color="A8D08D" w:themeColor="accent6" w:themeTint="99"/>
            </w:tcBorders>
            <w:shd w:val="clear" w:color="auto" w:fill="C5E0B3" w:themeFill="accent6" w:themeFillTint="66"/>
          </w:tcPr>
          <w:p w14:paraId="2D78943A" w14:textId="6FDC6AB0" w:rsidR="00B070B4" w:rsidRPr="001A193F" w:rsidRDefault="001A193F" w:rsidP="00B070B4">
            <w:pPr>
              <w:jc w:val="right"/>
              <w:rPr>
                <w:rFonts w:cs="Arial"/>
                <w:szCs w:val="22"/>
              </w:rPr>
            </w:pPr>
            <w:r>
              <w:rPr>
                <w:rFonts w:cs="Arial"/>
                <w:szCs w:val="22"/>
              </w:rPr>
              <w:t>(390)</w:t>
            </w:r>
          </w:p>
        </w:tc>
      </w:tr>
      <w:tr w:rsidR="00B070B4" w:rsidRPr="000127EF" w14:paraId="02030745" w14:textId="77777777" w:rsidTr="00783D99">
        <w:trPr>
          <w:jc w:val="center"/>
        </w:trPr>
        <w:tc>
          <w:tcPr>
            <w:tcW w:w="1427" w:type="dxa"/>
            <w:tcBorders>
              <w:left w:val="single" w:sz="18" w:space="0" w:color="A8D08D" w:themeColor="accent6" w:themeTint="99"/>
            </w:tcBorders>
          </w:tcPr>
          <w:p w14:paraId="46EB2F49" w14:textId="33C2E704" w:rsidR="00B070B4" w:rsidRPr="00B070B4" w:rsidRDefault="00B070B4" w:rsidP="00B070B4">
            <w:pPr>
              <w:jc w:val="right"/>
              <w:rPr>
                <w:rFonts w:cs="Arial"/>
                <w:i/>
                <w:szCs w:val="22"/>
              </w:rPr>
            </w:pPr>
            <w:r w:rsidRPr="00B070B4">
              <w:rPr>
                <w:rFonts w:cs="Arial"/>
                <w:i/>
                <w:szCs w:val="22"/>
              </w:rPr>
              <w:t>(279)</w:t>
            </w:r>
          </w:p>
        </w:tc>
        <w:tc>
          <w:tcPr>
            <w:tcW w:w="6322" w:type="dxa"/>
          </w:tcPr>
          <w:p w14:paraId="4781DF4E" w14:textId="77777777" w:rsidR="00B070B4" w:rsidRPr="000127EF" w:rsidRDefault="00B070B4" w:rsidP="00B070B4">
            <w:pPr>
              <w:rPr>
                <w:rFonts w:cs="Arial"/>
                <w:szCs w:val="22"/>
              </w:rPr>
            </w:pPr>
            <w:r w:rsidRPr="000127EF">
              <w:rPr>
                <w:rFonts w:cs="Arial"/>
                <w:szCs w:val="22"/>
              </w:rPr>
              <w:t>Increase / (Decrease) in Provisions</w:t>
            </w:r>
          </w:p>
        </w:tc>
        <w:tc>
          <w:tcPr>
            <w:tcW w:w="1177" w:type="dxa"/>
            <w:tcBorders>
              <w:right w:val="single" w:sz="18" w:space="0" w:color="A8D08D" w:themeColor="accent6" w:themeTint="99"/>
            </w:tcBorders>
            <w:shd w:val="clear" w:color="auto" w:fill="C5E0B3" w:themeFill="accent6" w:themeFillTint="66"/>
          </w:tcPr>
          <w:p w14:paraId="5C60A0BB" w14:textId="7BE3F418" w:rsidR="00B070B4" w:rsidRPr="001A193F" w:rsidRDefault="001A193F" w:rsidP="00B070B4">
            <w:pPr>
              <w:jc w:val="right"/>
              <w:rPr>
                <w:rFonts w:cs="Arial"/>
                <w:szCs w:val="22"/>
              </w:rPr>
            </w:pPr>
            <w:r>
              <w:rPr>
                <w:rFonts w:cs="Arial"/>
                <w:szCs w:val="22"/>
              </w:rPr>
              <w:t>(315)</w:t>
            </w:r>
          </w:p>
        </w:tc>
      </w:tr>
      <w:tr w:rsidR="00B070B4" w:rsidRPr="000127EF" w14:paraId="64C519E6" w14:textId="77777777" w:rsidTr="00783D99">
        <w:trPr>
          <w:jc w:val="center"/>
        </w:trPr>
        <w:tc>
          <w:tcPr>
            <w:tcW w:w="1427" w:type="dxa"/>
            <w:tcBorders>
              <w:left w:val="single" w:sz="18" w:space="0" w:color="A8D08D" w:themeColor="accent6" w:themeTint="99"/>
            </w:tcBorders>
          </w:tcPr>
          <w:p w14:paraId="12EF4664" w14:textId="4CB0F6AC" w:rsidR="00B070B4" w:rsidRPr="00B070B4" w:rsidRDefault="00B070B4" w:rsidP="00B070B4">
            <w:pPr>
              <w:jc w:val="right"/>
              <w:rPr>
                <w:rFonts w:cs="Arial"/>
                <w:i/>
                <w:szCs w:val="22"/>
              </w:rPr>
            </w:pPr>
            <w:r w:rsidRPr="00B070B4">
              <w:rPr>
                <w:rFonts w:cs="Arial"/>
                <w:i/>
                <w:szCs w:val="22"/>
              </w:rPr>
              <w:t>(630)</w:t>
            </w:r>
          </w:p>
        </w:tc>
        <w:tc>
          <w:tcPr>
            <w:tcW w:w="6322" w:type="dxa"/>
          </w:tcPr>
          <w:p w14:paraId="006C205B" w14:textId="77777777" w:rsidR="00B070B4" w:rsidRPr="000127EF" w:rsidRDefault="00B070B4" w:rsidP="00B070B4">
            <w:pPr>
              <w:rPr>
                <w:rFonts w:cs="Arial"/>
                <w:szCs w:val="22"/>
              </w:rPr>
            </w:pPr>
            <w:r w:rsidRPr="000127EF">
              <w:rPr>
                <w:rFonts w:cs="Arial"/>
                <w:szCs w:val="22"/>
              </w:rPr>
              <w:t>Increase / (Decrease) in Creditors</w:t>
            </w:r>
          </w:p>
        </w:tc>
        <w:tc>
          <w:tcPr>
            <w:tcW w:w="1177" w:type="dxa"/>
            <w:tcBorders>
              <w:right w:val="single" w:sz="18" w:space="0" w:color="A8D08D" w:themeColor="accent6" w:themeTint="99"/>
            </w:tcBorders>
            <w:shd w:val="clear" w:color="auto" w:fill="C5E0B3" w:themeFill="accent6" w:themeFillTint="66"/>
          </w:tcPr>
          <w:p w14:paraId="4F21F51C" w14:textId="62F7743C" w:rsidR="00B070B4" w:rsidRPr="001A193F" w:rsidRDefault="00374AE9" w:rsidP="00B070B4">
            <w:pPr>
              <w:jc w:val="right"/>
              <w:rPr>
                <w:rFonts w:cs="Arial"/>
                <w:szCs w:val="22"/>
              </w:rPr>
            </w:pPr>
            <w:r>
              <w:rPr>
                <w:rFonts w:cs="Arial"/>
                <w:szCs w:val="22"/>
              </w:rPr>
              <w:t>125</w:t>
            </w:r>
          </w:p>
        </w:tc>
      </w:tr>
      <w:tr w:rsidR="00B070B4" w:rsidRPr="000127EF" w14:paraId="04028562" w14:textId="77777777" w:rsidTr="00783D99">
        <w:trPr>
          <w:jc w:val="center"/>
        </w:trPr>
        <w:tc>
          <w:tcPr>
            <w:tcW w:w="1427" w:type="dxa"/>
            <w:tcBorders>
              <w:left w:val="single" w:sz="18" w:space="0" w:color="A8D08D" w:themeColor="accent6" w:themeTint="99"/>
            </w:tcBorders>
          </w:tcPr>
          <w:p w14:paraId="787F72FB" w14:textId="1A95E625" w:rsidR="00B070B4" w:rsidRPr="00B070B4" w:rsidRDefault="00B070B4" w:rsidP="00B070B4">
            <w:pPr>
              <w:jc w:val="right"/>
              <w:rPr>
                <w:rFonts w:cs="Arial"/>
                <w:i/>
                <w:szCs w:val="22"/>
              </w:rPr>
            </w:pPr>
            <w:r w:rsidRPr="00B070B4">
              <w:rPr>
                <w:rFonts w:cs="Arial"/>
                <w:i/>
                <w:szCs w:val="22"/>
              </w:rPr>
              <w:t>459</w:t>
            </w:r>
          </w:p>
        </w:tc>
        <w:tc>
          <w:tcPr>
            <w:tcW w:w="6322" w:type="dxa"/>
          </w:tcPr>
          <w:p w14:paraId="4C6AECA3" w14:textId="77777777" w:rsidR="00B070B4" w:rsidRPr="000127EF" w:rsidRDefault="00B070B4" w:rsidP="00B070B4">
            <w:pPr>
              <w:rPr>
                <w:rFonts w:cs="Arial"/>
                <w:szCs w:val="22"/>
              </w:rPr>
            </w:pPr>
            <w:r w:rsidRPr="000127EF">
              <w:rPr>
                <w:rFonts w:cs="Arial"/>
                <w:szCs w:val="22"/>
              </w:rPr>
              <w:t>Increase / (Decrease) in Debtors</w:t>
            </w:r>
          </w:p>
        </w:tc>
        <w:tc>
          <w:tcPr>
            <w:tcW w:w="1177" w:type="dxa"/>
            <w:tcBorders>
              <w:right w:val="single" w:sz="18" w:space="0" w:color="A8D08D" w:themeColor="accent6" w:themeTint="99"/>
            </w:tcBorders>
            <w:shd w:val="clear" w:color="auto" w:fill="C5E0B3" w:themeFill="accent6" w:themeFillTint="66"/>
          </w:tcPr>
          <w:p w14:paraId="3D0500F5" w14:textId="117EC9C3" w:rsidR="00B070B4" w:rsidRPr="001A193F" w:rsidRDefault="001A193F" w:rsidP="00B070B4">
            <w:pPr>
              <w:jc w:val="right"/>
              <w:rPr>
                <w:rFonts w:cs="Arial"/>
                <w:szCs w:val="22"/>
              </w:rPr>
            </w:pPr>
            <w:r>
              <w:rPr>
                <w:rFonts w:cs="Arial"/>
                <w:szCs w:val="22"/>
              </w:rPr>
              <w:t>(1,</w:t>
            </w:r>
            <w:r w:rsidR="00374AE9">
              <w:rPr>
                <w:rFonts w:cs="Arial"/>
                <w:szCs w:val="22"/>
              </w:rPr>
              <w:t>856</w:t>
            </w:r>
            <w:r>
              <w:rPr>
                <w:rFonts w:cs="Arial"/>
                <w:szCs w:val="22"/>
              </w:rPr>
              <w:t>)</w:t>
            </w:r>
          </w:p>
        </w:tc>
      </w:tr>
      <w:tr w:rsidR="00B070B4" w:rsidRPr="000127EF" w14:paraId="3F92BF96" w14:textId="77777777" w:rsidTr="00783D99">
        <w:trPr>
          <w:jc w:val="center"/>
        </w:trPr>
        <w:tc>
          <w:tcPr>
            <w:tcW w:w="1427" w:type="dxa"/>
            <w:tcBorders>
              <w:left w:val="single" w:sz="18" w:space="0" w:color="A8D08D" w:themeColor="accent6" w:themeTint="99"/>
            </w:tcBorders>
          </w:tcPr>
          <w:p w14:paraId="6FC3B3ED" w14:textId="4DEB1DDB" w:rsidR="00B070B4" w:rsidRPr="00B070B4" w:rsidRDefault="00B070B4" w:rsidP="00B070B4">
            <w:pPr>
              <w:jc w:val="right"/>
              <w:rPr>
                <w:rFonts w:cs="Arial"/>
                <w:i/>
                <w:szCs w:val="22"/>
              </w:rPr>
            </w:pPr>
            <w:r w:rsidRPr="00B070B4">
              <w:rPr>
                <w:rFonts w:cs="Arial"/>
                <w:i/>
                <w:szCs w:val="22"/>
              </w:rPr>
              <w:t>(21)</w:t>
            </w:r>
          </w:p>
        </w:tc>
        <w:tc>
          <w:tcPr>
            <w:tcW w:w="6322" w:type="dxa"/>
          </w:tcPr>
          <w:p w14:paraId="41DA7532" w14:textId="77777777" w:rsidR="00B070B4" w:rsidRPr="000127EF" w:rsidRDefault="00B070B4" w:rsidP="00B070B4">
            <w:pPr>
              <w:rPr>
                <w:rFonts w:cs="Arial"/>
                <w:szCs w:val="22"/>
              </w:rPr>
            </w:pPr>
            <w:r w:rsidRPr="000127EF">
              <w:rPr>
                <w:rFonts w:cs="Arial"/>
                <w:szCs w:val="22"/>
              </w:rPr>
              <w:t>Increase / (Decrease) in Long Term Debtors</w:t>
            </w:r>
          </w:p>
        </w:tc>
        <w:tc>
          <w:tcPr>
            <w:tcW w:w="1177" w:type="dxa"/>
            <w:tcBorders>
              <w:right w:val="single" w:sz="18" w:space="0" w:color="A8D08D" w:themeColor="accent6" w:themeTint="99"/>
            </w:tcBorders>
            <w:shd w:val="clear" w:color="auto" w:fill="C5E0B3" w:themeFill="accent6" w:themeFillTint="66"/>
          </w:tcPr>
          <w:p w14:paraId="74CEE0CB" w14:textId="36C5BE57" w:rsidR="00B070B4" w:rsidRPr="001A193F" w:rsidRDefault="001A193F" w:rsidP="00B070B4">
            <w:pPr>
              <w:jc w:val="right"/>
              <w:rPr>
                <w:rFonts w:cs="Arial"/>
                <w:szCs w:val="22"/>
              </w:rPr>
            </w:pPr>
            <w:r>
              <w:rPr>
                <w:rFonts w:cs="Arial"/>
                <w:szCs w:val="22"/>
              </w:rPr>
              <w:t>(39)</w:t>
            </w:r>
          </w:p>
        </w:tc>
      </w:tr>
      <w:tr w:rsidR="00B070B4" w:rsidRPr="000127EF" w14:paraId="180F256D" w14:textId="77777777" w:rsidTr="00783D99">
        <w:trPr>
          <w:jc w:val="center"/>
        </w:trPr>
        <w:tc>
          <w:tcPr>
            <w:tcW w:w="1427" w:type="dxa"/>
            <w:tcBorders>
              <w:left w:val="single" w:sz="18" w:space="0" w:color="A8D08D" w:themeColor="accent6" w:themeTint="99"/>
            </w:tcBorders>
          </w:tcPr>
          <w:p w14:paraId="7BCCB06F" w14:textId="299EC1A1" w:rsidR="00B070B4" w:rsidRPr="00B070B4" w:rsidRDefault="00B070B4" w:rsidP="00B070B4">
            <w:pPr>
              <w:jc w:val="right"/>
              <w:rPr>
                <w:rFonts w:cs="Arial"/>
                <w:i/>
                <w:szCs w:val="22"/>
              </w:rPr>
            </w:pPr>
            <w:r w:rsidRPr="00B070B4">
              <w:rPr>
                <w:rFonts w:cs="Arial"/>
                <w:i/>
                <w:szCs w:val="22"/>
              </w:rPr>
              <w:t>30</w:t>
            </w:r>
          </w:p>
        </w:tc>
        <w:tc>
          <w:tcPr>
            <w:tcW w:w="6322" w:type="dxa"/>
          </w:tcPr>
          <w:p w14:paraId="76999572" w14:textId="77777777" w:rsidR="00B070B4" w:rsidRPr="000127EF" w:rsidRDefault="00B070B4" w:rsidP="00B070B4">
            <w:pPr>
              <w:rPr>
                <w:rFonts w:cs="Arial"/>
                <w:szCs w:val="22"/>
              </w:rPr>
            </w:pPr>
            <w:r w:rsidRPr="000127EF">
              <w:rPr>
                <w:rFonts w:cs="Arial"/>
                <w:szCs w:val="22"/>
              </w:rPr>
              <w:t>Increase / (Decrease) in Inventories</w:t>
            </w:r>
          </w:p>
        </w:tc>
        <w:tc>
          <w:tcPr>
            <w:tcW w:w="1177" w:type="dxa"/>
            <w:tcBorders>
              <w:right w:val="single" w:sz="18" w:space="0" w:color="A8D08D" w:themeColor="accent6" w:themeTint="99"/>
            </w:tcBorders>
            <w:shd w:val="clear" w:color="auto" w:fill="C5E0B3" w:themeFill="accent6" w:themeFillTint="66"/>
          </w:tcPr>
          <w:p w14:paraId="7D0731D1" w14:textId="5B23E4DF" w:rsidR="00B070B4" w:rsidRPr="001A193F" w:rsidRDefault="001A193F" w:rsidP="00B070B4">
            <w:pPr>
              <w:jc w:val="right"/>
              <w:rPr>
                <w:rFonts w:cs="Arial"/>
                <w:szCs w:val="22"/>
              </w:rPr>
            </w:pPr>
            <w:r>
              <w:rPr>
                <w:rFonts w:cs="Arial"/>
                <w:szCs w:val="22"/>
              </w:rPr>
              <w:t>-</w:t>
            </w:r>
          </w:p>
        </w:tc>
      </w:tr>
      <w:tr w:rsidR="00B070B4" w:rsidRPr="000127EF" w14:paraId="73761B7C" w14:textId="77777777" w:rsidTr="00783D99">
        <w:trPr>
          <w:jc w:val="center"/>
        </w:trPr>
        <w:tc>
          <w:tcPr>
            <w:tcW w:w="1427" w:type="dxa"/>
            <w:tcBorders>
              <w:left w:val="single" w:sz="18" w:space="0" w:color="A8D08D" w:themeColor="accent6" w:themeTint="99"/>
              <w:bottom w:val="single" w:sz="6" w:space="0" w:color="auto"/>
            </w:tcBorders>
          </w:tcPr>
          <w:p w14:paraId="0FD7ADF0" w14:textId="54BB6F37" w:rsidR="00B070B4" w:rsidRPr="00B070B4" w:rsidRDefault="00B070B4" w:rsidP="00B070B4">
            <w:pPr>
              <w:jc w:val="right"/>
              <w:rPr>
                <w:rFonts w:cs="Arial"/>
                <w:i/>
                <w:szCs w:val="22"/>
              </w:rPr>
            </w:pPr>
            <w:r w:rsidRPr="00B070B4">
              <w:rPr>
                <w:rFonts w:cs="Arial"/>
                <w:i/>
                <w:szCs w:val="22"/>
              </w:rPr>
              <w:t>67</w:t>
            </w:r>
          </w:p>
        </w:tc>
        <w:tc>
          <w:tcPr>
            <w:tcW w:w="6322" w:type="dxa"/>
          </w:tcPr>
          <w:p w14:paraId="60389C3D" w14:textId="1344DA93" w:rsidR="00B070B4" w:rsidRPr="000127EF" w:rsidRDefault="00B070B4" w:rsidP="00B070B4">
            <w:pPr>
              <w:rPr>
                <w:rFonts w:cs="Arial"/>
                <w:szCs w:val="22"/>
              </w:rPr>
            </w:pPr>
            <w:r w:rsidRPr="000127EF">
              <w:rPr>
                <w:rFonts w:cs="Arial"/>
                <w:szCs w:val="22"/>
              </w:rPr>
              <w:t>Other</w:t>
            </w:r>
          </w:p>
        </w:tc>
        <w:tc>
          <w:tcPr>
            <w:tcW w:w="1177" w:type="dxa"/>
            <w:tcBorders>
              <w:bottom w:val="single" w:sz="6" w:space="0" w:color="auto"/>
              <w:right w:val="single" w:sz="18" w:space="0" w:color="A8D08D" w:themeColor="accent6" w:themeTint="99"/>
            </w:tcBorders>
            <w:shd w:val="clear" w:color="auto" w:fill="C5E0B3" w:themeFill="accent6" w:themeFillTint="66"/>
          </w:tcPr>
          <w:p w14:paraId="76CEB802" w14:textId="0B1033FA" w:rsidR="00B070B4" w:rsidRPr="001A193F" w:rsidRDefault="001A193F" w:rsidP="00B070B4">
            <w:pPr>
              <w:jc w:val="right"/>
              <w:rPr>
                <w:rFonts w:cs="Arial"/>
                <w:szCs w:val="22"/>
              </w:rPr>
            </w:pPr>
            <w:r>
              <w:rPr>
                <w:rFonts w:cs="Arial"/>
                <w:szCs w:val="22"/>
              </w:rPr>
              <w:t>4</w:t>
            </w:r>
          </w:p>
        </w:tc>
      </w:tr>
      <w:tr w:rsidR="00B070B4" w:rsidRPr="000127EF" w14:paraId="7FCCF099" w14:textId="77777777" w:rsidTr="00783D99">
        <w:trPr>
          <w:jc w:val="center"/>
        </w:trPr>
        <w:tc>
          <w:tcPr>
            <w:tcW w:w="1427" w:type="dxa"/>
            <w:tcBorders>
              <w:top w:val="single" w:sz="6" w:space="0" w:color="auto"/>
              <w:left w:val="single" w:sz="18" w:space="0" w:color="A8D08D" w:themeColor="accent6" w:themeTint="99"/>
              <w:bottom w:val="single" w:sz="6" w:space="0" w:color="auto"/>
            </w:tcBorders>
          </w:tcPr>
          <w:p w14:paraId="15096081" w14:textId="4C3D2D62" w:rsidR="00B070B4" w:rsidRPr="00B070B4" w:rsidRDefault="00B070B4" w:rsidP="00B070B4">
            <w:pPr>
              <w:jc w:val="right"/>
              <w:rPr>
                <w:rFonts w:cs="Arial"/>
                <w:b/>
                <w:i/>
                <w:szCs w:val="22"/>
              </w:rPr>
            </w:pPr>
            <w:r w:rsidRPr="00B070B4">
              <w:rPr>
                <w:rFonts w:cs="Arial"/>
                <w:b/>
                <w:i/>
                <w:szCs w:val="22"/>
              </w:rPr>
              <w:fldChar w:fldCharType="begin"/>
            </w:r>
            <w:r w:rsidRPr="00B070B4">
              <w:rPr>
                <w:rFonts w:cs="Arial"/>
                <w:b/>
                <w:i/>
                <w:szCs w:val="22"/>
              </w:rPr>
              <w:instrText xml:space="preserve"> =SUM(c5:c16) </w:instrText>
            </w:r>
            <w:r w:rsidRPr="00B070B4">
              <w:rPr>
                <w:rFonts w:cs="Arial"/>
                <w:b/>
                <w:i/>
                <w:szCs w:val="22"/>
              </w:rPr>
              <w:fldChar w:fldCharType="separate"/>
            </w:r>
            <w:r w:rsidRPr="00B070B4">
              <w:rPr>
                <w:rFonts w:cs="Arial"/>
                <w:b/>
                <w:i/>
                <w:noProof/>
                <w:szCs w:val="22"/>
              </w:rPr>
              <w:t>(10,340)</w:t>
            </w:r>
            <w:r w:rsidRPr="00B070B4">
              <w:rPr>
                <w:rFonts w:cs="Arial"/>
                <w:b/>
                <w:i/>
                <w:szCs w:val="22"/>
              </w:rPr>
              <w:fldChar w:fldCharType="end"/>
            </w:r>
          </w:p>
        </w:tc>
        <w:tc>
          <w:tcPr>
            <w:tcW w:w="6322" w:type="dxa"/>
          </w:tcPr>
          <w:p w14:paraId="23C80377" w14:textId="77777777" w:rsidR="00B070B4" w:rsidRPr="000127EF" w:rsidRDefault="00B070B4" w:rsidP="00B070B4">
            <w:pPr>
              <w:rPr>
                <w:rFonts w:cs="Arial"/>
                <w:b/>
                <w:szCs w:val="22"/>
              </w:rPr>
            </w:pPr>
            <w:r w:rsidRPr="000127EF">
              <w:rPr>
                <w:rFonts w:cs="Arial"/>
                <w:b/>
                <w:szCs w:val="22"/>
              </w:rPr>
              <w:t>Total Non-Cash Movements</w:t>
            </w:r>
          </w:p>
        </w:tc>
        <w:tc>
          <w:tcPr>
            <w:tcW w:w="1177" w:type="dxa"/>
            <w:tcBorders>
              <w:top w:val="single" w:sz="6" w:space="0" w:color="auto"/>
              <w:bottom w:val="single" w:sz="6" w:space="0" w:color="auto"/>
              <w:right w:val="single" w:sz="18" w:space="0" w:color="A8D08D" w:themeColor="accent6" w:themeTint="99"/>
            </w:tcBorders>
            <w:shd w:val="clear" w:color="auto" w:fill="C5E0B3" w:themeFill="accent6" w:themeFillTint="66"/>
          </w:tcPr>
          <w:p w14:paraId="4B39B476" w14:textId="2147221F" w:rsidR="00B070B4" w:rsidRPr="001A193F" w:rsidRDefault="001A193F" w:rsidP="00B070B4">
            <w:pPr>
              <w:jc w:val="right"/>
              <w:rPr>
                <w:rFonts w:cs="Arial"/>
                <w:b/>
                <w:szCs w:val="22"/>
              </w:rPr>
            </w:pPr>
            <w:r>
              <w:rPr>
                <w:rFonts w:cs="Arial"/>
                <w:b/>
                <w:szCs w:val="22"/>
              </w:rPr>
              <w:t>(7,942)</w:t>
            </w:r>
          </w:p>
        </w:tc>
      </w:tr>
      <w:tr w:rsidR="004B3FF4" w:rsidRPr="000127EF" w14:paraId="2ED04D7F" w14:textId="77777777" w:rsidTr="00FC4515">
        <w:trPr>
          <w:jc w:val="center"/>
        </w:trPr>
        <w:tc>
          <w:tcPr>
            <w:tcW w:w="7749" w:type="dxa"/>
            <w:gridSpan w:val="2"/>
            <w:tcBorders>
              <w:left w:val="single" w:sz="18" w:space="0" w:color="A8D08D" w:themeColor="accent6" w:themeTint="99"/>
            </w:tcBorders>
          </w:tcPr>
          <w:p w14:paraId="743726B3" w14:textId="77777777" w:rsidR="004B3FF4" w:rsidRPr="000127EF" w:rsidRDefault="004B3FF4" w:rsidP="004B3FF4">
            <w:pPr>
              <w:rPr>
                <w:rFonts w:cs="Arial"/>
                <w:b/>
                <w:color w:val="000000"/>
                <w:szCs w:val="22"/>
              </w:rPr>
            </w:pPr>
            <w:r w:rsidRPr="000127EF">
              <w:rPr>
                <w:rFonts w:cs="Arial"/>
                <w:b/>
                <w:szCs w:val="22"/>
              </w:rPr>
              <w:t>Adjustments for items included in the net surplus or deficit on the provision of services that are investing and financing activities</w:t>
            </w:r>
          </w:p>
        </w:tc>
        <w:tc>
          <w:tcPr>
            <w:tcW w:w="1177" w:type="dxa"/>
            <w:tcBorders>
              <w:right w:val="single" w:sz="18" w:space="0" w:color="A8D08D" w:themeColor="accent6" w:themeTint="99"/>
            </w:tcBorders>
            <w:shd w:val="clear" w:color="auto" w:fill="C5E0B3" w:themeFill="accent6" w:themeFillTint="66"/>
          </w:tcPr>
          <w:p w14:paraId="02D48A75" w14:textId="77777777" w:rsidR="004B3FF4" w:rsidRPr="009A3034" w:rsidRDefault="004B3FF4" w:rsidP="004B3FF4">
            <w:pPr>
              <w:jc w:val="right"/>
              <w:rPr>
                <w:rFonts w:cs="Arial"/>
                <w:szCs w:val="22"/>
                <w:highlight w:val="yellow"/>
              </w:rPr>
            </w:pPr>
          </w:p>
        </w:tc>
      </w:tr>
      <w:tr w:rsidR="00B070B4" w:rsidRPr="000127EF" w14:paraId="7F58ECDE" w14:textId="77777777" w:rsidTr="00783D99">
        <w:trPr>
          <w:jc w:val="center"/>
        </w:trPr>
        <w:tc>
          <w:tcPr>
            <w:tcW w:w="1427" w:type="dxa"/>
            <w:tcBorders>
              <w:left w:val="single" w:sz="18" w:space="0" w:color="A8D08D" w:themeColor="accent6" w:themeTint="99"/>
            </w:tcBorders>
          </w:tcPr>
          <w:p w14:paraId="0839D450" w14:textId="7FA2C7F0" w:rsidR="00B070B4" w:rsidRPr="00B070B4" w:rsidRDefault="00B070B4" w:rsidP="00B070B4">
            <w:pPr>
              <w:jc w:val="right"/>
              <w:rPr>
                <w:rFonts w:cs="Arial"/>
                <w:i/>
                <w:szCs w:val="22"/>
              </w:rPr>
            </w:pPr>
            <w:r w:rsidRPr="00B070B4">
              <w:rPr>
                <w:rFonts w:cs="Arial"/>
                <w:i/>
                <w:szCs w:val="22"/>
              </w:rPr>
              <w:t>5,905</w:t>
            </w:r>
          </w:p>
        </w:tc>
        <w:tc>
          <w:tcPr>
            <w:tcW w:w="6322" w:type="dxa"/>
          </w:tcPr>
          <w:p w14:paraId="2D92BD02" w14:textId="77777777" w:rsidR="00B070B4" w:rsidRPr="000127EF" w:rsidRDefault="00B070B4" w:rsidP="00B070B4">
            <w:pPr>
              <w:rPr>
                <w:rFonts w:cs="Arial"/>
                <w:szCs w:val="22"/>
              </w:rPr>
            </w:pPr>
            <w:r w:rsidRPr="000127EF">
              <w:rPr>
                <w:rFonts w:cs="Arial"/>
                <w:color w:val="000000"/>
                <w:szCs w:val="22"/>
              </w:rPr>
              <w:t>Capital Grants credited to the CIES</w:t>
            </w:r>
          </w:p>
        </w:tc>
        <w:tc>
          <w:tcPr>
            <w:tcW w:w="1177" w:type="dxa"/>
            <w:tcBorders>
              <w:right w:val="single" w:sz="18" w:space="0" w:color="A8D08D" w:themeColor="accent6" w:themeTint="99"/>
            </w:tcBorders>
            <w:shd w:val="clear" w:color="auto" w:fill="C5E0B3" w:themeFill="accent6" w:themeFillTint="66"/>
          </w:tcPr>
          <w:p w14:paraId="7169B530" w14:textId="04A09CDD" w:rsidR="00B070B4" w:rsidRPr="001A193F" w:rsidRDefault="001A193F" w:rsidP="00B070B4">
            <w:pPr>
              <w:jc w:val="right"/>
              <w:rPr>
                <w:rFonts w:cs="Arial"/>
                <w:szCs w:val="22"/>
              </w:rPr>
            </w:pPr>
            <w:r w:rsidRPr="001A193F">
              <w:rPr>
                <w:rFonts w:cs="Arial"/>
                <w:szCs w:val="22"/>
              </w:rPr>
              <w:t>4,636</w:t>
            </w:r>
          </w:p>
        </w:tc>
      </w:tr>
      <w:tr w:rsidR="00B070B4" w:rsidRPr="000127EF" w14:paraId="5E90A578" w14:textId="77777777" w:rsidTr="00783D99">
        <w:trPr>
          <w:jc w:val="center"/>
        </w:trPr>
        <w:tc>
          <w:tcPr>
            <w:tcW w:w="1427" w:type="dxa"/>
            <w:tcBorders>
              <w:left w:val="single" w:sz="18" w:space="0" w:color="A8D08D" w:themeColor="accent6" w:themeTint="99"/>
            </w:tcBorders>
          </w:tcPr>
          <w:p w14:paraId="1183F95C" w14:textId="1D430856" w:rsidR="00B070B4" w:rsidRPr="00B070B4" w:rsidRDefault="00B070B4" w:rsidP="00B070B4">
            <w:pPr>
              <w:jc w:val="right"/>
              <w:rPr>
                <w:rFonts w:cs="Arial"/>
                <w:i/>
                <w:szCs w:val="22"/>
              </w:rPr>
            </w:pPr>
            <w:r w:rsidRPr="00B070B4">
              <w:rPr>
                <w:rFonts w:cs="Arial"/>
                <w:i/>
                <w:szCs w:val="22"/>
              </w:rPr>
              <w:t>119</w:t>
            </w:r>
          </w:p>
        </w:tc>
        <w:tc>
          <w:tcPr>
            <w:tcW w:w="6322" w:type="dxa"/>
          </w:tcPr>
          <w:p w14:paraId="0F0209E1" w14:textId="77777777" w:rsidR="00B070B4" w:rsidRPr="000127EF" w:rsidRDefault="00B070B4" w:rsidP="00B070B4">
            <w:pPr>
              <w:rPr>
                <w:rFonts w:cs="Arial"/>
                <w:szCs w:val="22"/>
              </w:rPr>
            </w:pPr>
            <w:r w:rsidRPr="000127EF">
              <w:rPr>
                <w:rFonts w:cs="Arial"/>
                <w:szCs w:val="22"/>
              </w:rPr>
              <w:t>Proceed from Disposal of Property, Plant and Equipment</w:t>
            </w:r>
          </w:p>
        </w:tc>
        <w:tc>
          <w:tcPr>
            <w:tcW w:w="1177" w:type="dxa"/>
            <w:tcBorders>
              <w:right w:val="single" w:sz="18" w:space="0" w:color="A8D08D" w:themeColor="accent6" w:themeTint="99"/>
            </w:tcBorders>
            <w:shd w:val="clear" w:color="auto" w:fill="C5E0B3" w:themeFill="accent6" w:themeFillTint="66"/>
          </w:tcPr>
          <w:p w14:paraId="5C41ACD7" w14:textId="1B2AC1A8" w:rsidR="00B070B4" w:rsidRPr="001A193F" w:rsidRDefault="001A193F" w:rsidP="00B070B4">
            <w:pPr>
              <w:jc w:val="right"/>
              <w:rPr>
                <w:rFonts w:cs="Arial"/>
                <w:szCs w:val="22"/>
              </w:rPr>
            </w:pPr>
            <w:r w:rsidRPr="001A193F">
              <w:rPr>
                <w:rFonts w:cs="Arial"/>
                <w:szCs w:val="22"/>
              </w:rPr>
              <w:t>147</w:t>
            </w:r>
          </w:p>
        </w:tc>
      </w:tr>
      <w:tr w:rsidR="00B070B4" w:rsidRPr="000127EF" w14:paraId="05FF9902" w14:textId="77777777" w:rsidTr="002137B5">
        <w:trPr>
          <w:jc w:val="center"/>
        </w:trPr>
        <w:tc>
          <w:tcPr>
            <w:tcW w:w="1427" w:type="dxa"/>
            <w:tcBorders>
              <w:left w:val="single" w:sz="18" w:space="0" w:color="A8D08D" w:themeColor="accent6" w:themeTint="99"/>
              <w:bottom w:val="nil"/>
            </w:tcBorders>
          </w:tcPr>
          <w:p w14:paraId="6E28E5FA" w14:textId="3077710A" w:rsidR="00B070B4" w:rsidRPr="00B070B4" w:rsidRDefault="00B070B4" w:rsidP="00B070B4">
            <w:pPr>
              <w:jc w:val="right"/>
              <w:rPr>
                <w:rFonts w:cs="Arial"/>
                <w:i/>
                <w:szCs w:val="22"/>
              </w:rPr>
            </w:pPr>
            <w:r w:rsidRPr="00B070B4">
              <w:rPr>
                <w:rFonts w:cs="Arial"/>
                <w:i/>
                <w:szCs w:val="22"/>
              </w:rPr>
              <w:t>(1,193)</w:t>
            </w:r>
          </w:p>
        </w:tc>
        <w:tc>
          <w:tcPr>
            <w:tcW w:w="6322" w:type="dxa"/>
          </w:tcPr>
          <w:p w14:paraId="320B8B8D" w14:textId="77777777" w:rsidR="00B070B4" w:rsidRPr="000127EF" w:rsidRDefault="00B070B4" w:rsidP="00B070B4">
            <w:pPr>
              <w:rPr>
                <w:rFonts w:cs="Arial"/>
                <w:szCs w:val="22"/>
              </w:rPr>
            </w:pPr>
            <w:r w:rsidRPr="000127EF">
              <w:rPr>
                <w:rFonts w:cs="Arial"/>
                <w:szCs w:val="22"/>
              </w:rPr>
              <w:t>Revenue Expenditure Funded from Capital in Statute</w:t>
            </w:r>
          </w:p>
        </w:tc>
        <w:tc>
          <w:tcPr>
            <w:tcW w:w="1177" w:type="dxa"/>
            <w:tcBorders>
              <w:bottom w:val="nil"/>
              <w:right w:val="single" w:sz="18" w:space="0" w:color="A8D08D" w:themeColor="accent6" w:themeTint="99"/>
            </w:tcBorders>
            <w:shd w:val="clear" w:color="auto" w:fill="C5E0B3" w:themeFill="accent6" w:themeFillTint="66"/>
          </w:tcPr>
          <w:p w14:paraId="7FF57111" w14:textId="7BDDC061" w:rsidR="00B070B4" w:rsidRPr="001A193F" w:rsidRDefault="001A193F" w:rsidP="00B070B4">
            <w:pPr>
              <w:jc w:val="right"/>
              <w:rPr>
                <w:rFonts w:cs="Arial"/>
                <w:szCs w:val="22"/>
              </w:rPr>
            </w:pPr>
            <w:r w:rsidRPr="001A193F">
              <w:rPr>
                <w:rFonts w:cs="Arial"/>
                <w:szCs w:val="22"/>
              </w:rPr>
              <w:t>(767)</w:t>
            </w:r>
          </w:p>
        </w:tc>
      </w:tr>
      <w:tr w:rsidR="00B070B4" w:rsidRPr="000127EF" w14:paraId="36CAF987" w14:textId="77777777" w:rsidTr="002137B5">
        <w:trPr>
          <w:jc w:val="center"/>
        </w:trPr>
        <w:tc>
          <w:tcPr>
            <w:tcW w:w="1427" w:type="dxa"/>
            <w:tcBorders>
              <w:top w:val="nil"/>
              <w:left w:val="single" w:sz="18" w:space="0" w:color="A8D08D" w:themeColor="accent6" w:themeTint="99"/>
              <w:bottom w:val="nil"/>
            </w:tcBorders>
          </w:tcPr>
          <w:p w14:paraId="399D90B5" w14:textId="1AC02D24" w:rsidR="00B070B4" w:rsidRPr="00B070B4" w:rsidRDefault="00B070B4" w:rsidP="00B070B4">
            <w:pPr>
              <w:jc w:val="right"/>
              <w:rPr>
                <w:rFonts w:cs="Arial"/>
                <w:i/>
                <w:szCs w:val="22"/>
              </w:rPr>
            </w:pPr>
            <w:r w:rsidRPr="00B070B4">
              <w:rPr>
                <w:rFonts w:cs="Arial"/>
                <w:i/>
                <w:szCs w:val="22"/>
              </w:rPr>
              <w:t>0</w:t>
            </w:r>
          </w:p>
        </w:tc>
        <w:tc>
          <w:tcPr>
            <w:tcW w:w="6322" w:type="dxa"/>
          </w:tcPr>
          <w:p w14:paraId="6CC54552" w14:textId="77777777" w:rsidR="00B070B4" w:rsidRPr="000127EF" w:rsidRDefault="00B070B4" w:rsidP="00B070B4">
            <w:pPr>
              <w:rPr>
                <w:rFonts w:cs="Arial"/>
                <w:szCs w:val="22"/>
              </w:rPr>
            </w:pPr>
            <w:r w:rsidRPr="000127EF">
              <w:rPr>
                <w:rFonts w:cs="Arial"/>
                <w:szCs w:val="22"/>
              </w:rPr>
              <w:t xml:space="preserve">Proceeds from the Sale of Short Term Investments </w:t>
            </w:r>
          </w:p>
        </w:tc>
        <w:tc>
          <w:tcPr>
            <w:tcW w:w="1177" w:type="dxa"/>
            <w:tcBorders>
              <w:top w:val="nil"/>
              <w:bottom w:val="nil"/>
              <w:right w:val="single" w:sz="18" w:space="0" w:color="A8D08D" w:themeColor="accent6" w:themeTint="99"/>
            </w:tcBorders>
            <w:shd w:val="clear" w:color="auto" w:fill="C5E0B3" w:themeFill="accent6" w:themeFillTint="66"/>
          </w:tcPr>
          <w:p w14:paraId="67014543" w14:textId="25FB3830" w:rsidR="00B070B4" w:rsidRPr="001A193F" w:rsidRDefault="001A193F" w:rsidP="00B070B4">
            <w:pPr>
              <w:jc w:val="right"/>
              <w:rPr>
                <w:rFonts w:cs="Arial"/>
                <w:szCs w:val="22"/>
              </w:rPr>
            </w:pPr>
            <w:r w:rsidRPr="001A193F">
              <w:rPr>
                <w:rFonts w:cs="Arial"/>
                <w:szCs w:val="22"/>
              </w:rPr>
              <w:t>(44)</w:t>
            </w:r>
          </w:p>
        </w:tc>
      </w:tr>
      <w:tr w:rsidR="00B070B4" w:rsidRPr="000127EF" w14:paraId="0087AAD3" w14:textId="77777777" w:rsidTr="002137B5">
        <w:trPr>
          <w:jc w:val="center"/>
        </w:trPr>
        <w:tc>
          <w:tcPr>
            <w:tcW w:w="1427" w:type="dxa"/>
            <w:tcBorders>
              <w:top w:val="nil"/>
              <w:left w:val="single" w:sz="18" w:space="0" w:color="A8D08D" w:themeColor="accent6" w:themeTint="99"/>
              <w:bottom w:val="single" w:sz="6" w:space="0" w:color="auto"/>
            </w:tcBorders>
          </w:tcPr>
          <w:p w14:paraId="477384D1" w14:textId="188BC1CA" w:rsidR="00B070B4" w:rsidRPr="00B070B4" w:rsidRDefault="00B070B4" w:rsidP="00B070B4">
            <w:pPr>
              <w:jc w:val="right"/>
              <w:rPr>
                <w:rFonts w:cs="Arial"/>
                <w:i/>
                <w:szCs w:val="22"/>
              </w:rPr>
            </w:pPr>
            <w:r w:rsidRPr="00B070B4">
              <w:rPr>
                <w:rFonts w:cs="Arial"/>
                <w:i/>
                <w:szCs w:val="22"/>
              </w:rPr>
              <w:t>432</w:t>
            </w:r>
          </w:p>
        </w:tc>
        <w:tc>
          <w:tcPr>
            <w:tcW w:w="6322" w:type="dxa"/>
          </w:tcPr>
          <w:p w14:paraId="35BB1414" w14:textId="65AA0D0E" w:rsidR="00B070B4" w:rsidRPr="000127EF" w:rsidRDefault="00B070B4" w:rsidP="00B070B4">
            <w:pPr>
              <w:rPr>
                <w:rFonts w:cs="Arial"/>
                <w:szCs w:val="22"/>
              </w:rPr>
            </w:pPr>
            <w:r w:rsidRPr="000127EF">
              <w:rPr>
                <w:rFonts w:cs="Arial"/>
                <w:szCs w:val="22"/>
              </w:rPr>
              <w:t>Other</w:t>
            </w:r>
          </w:p>
        </w:tc>
        <w:tc>
          <w:tcPr>
            <w:tcW w:w="1177" w:type="dxa"/>
            <w:tcBorders>
              <w:top w:val="nil"/>
              <w:bottom w:val="single" w:sz="6" w:space="0" w:color="auto"/>
              <w:right w:val="single" w:sz="18" w:space="0" w:color="A8D08D" w:themeColor="accent6" w:themeTint="99"/>
            </w:tcBorders>
            <w:shd w:val="clear" w:color="auto" w:fill="C5E0B3" w:themeFill="accent6" w:themeFillTint="66"/>
          </w:tcPr>
          <w:p w14:paraId="64FE080C" w14:textId="69AD491D" w:rsidR="00B070B4" w:rsidRPr="009A3034" w:rsidRDefault="00B070B4" w:rsidP="00B070B4">
            <w:pPr>
              <w:jc w:val="right"/>
              <w:rPr>
                <w:rFonts w:cs="Arial"/>
                <w:szCs w:val="22"/>
                <w:highlight w:val="yellow"/>
              </w:rPr>
            </w:pPr>
          </w:p>
        </w:tc>
      </w:tr>
      <w:tr w:rsidR="00B070B4" w:rsidRPr="000127EF" w14:paraId="11DCC6A9" w14:textId="77777777" w:rsidTr="00783D99">
        <w:trPr>
          <w:jc w:val="center"/>
        </w:trPr>
        <w:tc>
          <w:tcPr>
            <w:tcW w:w="1427" w:type="dxa"/>
            <w:tcBorders>
              <w:top w:val="single" w:sz="6" w:space="0" w:color="auto"/>
              <w:left w:val="single" w:sz="18" w:space="0" w:color="A8D08D" w:themeColor="accent6" w:themeTint="99"/>
              <w:bottom w:val="single" w:sz="6" w:space="0" w:color="auto"/>
            </w:tcBorders>
          </w:tcPr>
          <w:p w14:paraId="23D36FE2" w14:textId="50D0BC8E" w:rsidR="00B070B4" w:rsidRPr="00B070B4" w:rsidRDefault="00B070B4" w:rsidP="00B070B4">
            <w:pPr>
              <w:jc w:val="right"/>
              <w:rPr>
                <w:rFonts w:cs="Arial"/>
                <w:b/>
                <w:i/>
                <w:szCs w:val="22"/>
              </w:rPr>
            </w:pPr>
            <w:r w:rsidRPr="00B070B4">
              <w:rPr>
                <w:rFonts w:cs="Arial"/>
                <w:b/>
                <w:i/>
                <w:szCs w:val="22"/>
              </w:rPr>
              <w:fldChar w:fldCharType="begin"/>
            </w:r>
            <w:r w:rsidRPr="00B070B4">
              <w:rPr>
                <w:rFonts w:cs="Arial"/>
                <w:b/>
                <w:i/>
                <w:szCs w:val="22"/>
              </w:rPr>
              <w:instrText xml:space="preserve"> =SUM(c19:c23) </w:instrText>
            </w:r>
            <w:r w:rsidRPr="00B070B4">
              <w:rPr>
                <w:rFonts w:cs="Arial"/>
                <w:b/>
                <w:i/>
                <w:szCs w:val="22"/>
              </w:rPr>
              <w:fldChar w:fldCharType="separate"/>
            </w:r>
            <w:r w:rsidRPr="00B070B4">
              <w:rPr>
                <w:rFonts w:cs="Arial"/>
                <w:b/>
                <w:i/>
                <w:noProof/>
                <w:szCs w:val="22"/>
              </w:rPr>
              <w:t>5,263</w:t>
            </w:r>
            <w:r w:rsidRPr="00B070B4">
              <w:rPr>
                <w:rFonts w:cs="Arial"/>
                <w:b/>
                <w:i/>
                <w:szCs w:val="22"/>
              </w:rPr>
              <w:fldChar w:fldCharType="end"/>
            </w:r>
          </w:p>
        </w:tc>
        <w:tc>
          <w:tcPr>
            <w:tcW w:w="6322" w:type="dxa"/>
          </w:tcPr>
          <w:p w14:paraId="017801A7" w14:textId="77777777" w:rsidR="00B070B4" w:rsidRPr="000127EF" w:rsidRDefault="00B070B4" w:rsidP="00B070B4">
            <w:pPr>
              <w:rPr>
                <w:rFonts w:cs="Arial"/>
                <w:b/>
                <w:szCs w:val="22"/>
              </w:rPr>
            </w:pPr>
            <w:r w:rsidRPr="000127EF">
              <w:rPr>
                <w:rFonts w:cs="Arial"/>
                <w:b/>
                <w:szCs w:val="22"/>
              </w:rPr>
              <w:t>Total Investing or Financing Activities</w:t>
            </w:r>
          </w:p>
        </w:tc>
        <w:tc>
          <w:tcPr>
            <w:tcW w:w="1177" w:type="dxa"/>
            <w:tcBorders>
              <w:top w:val="single" w:sz="6" w:space="0" w:color="auto"/>
              <w:bottom w:val="single" w:sz="6" w:space="0" w:color="auto"/>
              <w:right w:val="single" w:sz="18" w:space="0" w:color="A8D08D" w:themeColor="accent6" w:themeTint="99"/>
            </w:tcBorders>
            <w:shd w:val="clear" w:color="auto" w:fill="C5E0B3" w:themeFill="accent6" w:themeFillTint="66"/>
          </w:tcPr>
          <w:p w14:paraId="73E42142" w14:textId="26892299" w:rsidR="00B070B4" w:rsidRPr="009A3034" w:rsidRDefault="001A193F" w:rsidP="00B070B4">
            <w:pPr>
              <w:jc w:val="right"/>
              <w:rPr>
                <w:rFonts w:cs="Arial"/>
                <w:b/>
                <w:szCs w:val="22"/>
                <w:highlight w:val="yellow"/>
              </w:rPr>
            </w:pPr>
            <w:r w:rsidRPr="001A193F">
              <w:rPr>
                <w:rFonts w:cs="Arial"/>
                <w:b/>
                <w:szCs w:val="22"/>
              </w:rPr>
              <w:t>3,972</w:t>
            </w:r>
          </w:p>
        </w:tc>
      </w:tr>
      <w:tr w:rsidR="004B3FF4" w:rsidRPr="00A974E3" w14:paraId="75CC660E" w14:textId="77777777" w:rsidTr="00783D99">
        <w:trPr>
          <w:trHeight w:val="70"/>
          <w:jc w:val="center"/>
        </w:trPr>
        <w:tc>
          <w:tcPr>
            <w:tcW w:w="1427" w:type="dxa"/>
            <w:tcBorders>
              <w:top w:val="single" w:sz="6" w:space="0" w:color="auto"/>
              <w:left w:val="single" w:sz="18" w:space="0" w:color="A8D08D" w:themeColor="accent6" w:themeTint="99"/>
              <w:bottom w:val="single" w:sz="18" w:space="0" w:color="A8D08D" w:themeColor="accent6" w:themeTint="99"/>
            </w:tcBorders>
          </w:tcPr>
          <w:p w14:paraId="5DBDECC7" w14:textId="77777777" w:rsidR="004B3FF4" w:rsidRPr="00A974E3" w:rsidRDefault="004B3FF4" w:rsidP="004B3FF4">
            <w:pPr>
              <w:jc w:val="right"/>
              <w:rPr>
                <w:rFonts w:cs="Arial"/>
                <w:b/>
                <w:sz w:val="14"/>
                <w:szCs w:val="14"/>
              </w:rPr>
            </w:pPr>
          </w:p>
        </w:tc>
        <w:tc>
          <w:tcPr>
            <w:tcW w:w="6322" w:type="dxa"/>
            <w:tcBorders>
              <w:bottom w:val="single" w:sz="18" w:space="0" w:color="A8D08D" w:themeColor="accent6" w:themeTint="99"/>
            </w:tcBorders>
          </w:tcPr>
          <w:p w14:paraId="5A316EA6" w14:textId="77777777" w:rsidR="004B3FF4" w:rsidRPr="00A974E3" w:rsidRDefault="004B3FF4" w:rsidP="004B3FF4">
            <w:pPr>
              <w:rPr>
                <w:rFonts w:cs="Arial"/>
                <w:b/>
                <w:sz w:val="14"/>
                <w:szCs w:val="14"/>
              </w:rPr>
            </w:pPr>
          </w:p>
        </w:tc>
        <w:tc>
          <w:tcPr>
            <w:tcW w:w="1177" w:type="dxa"/>
            <w:tcBorders>
              <w:top w:val="single" w:sz="6" w:space="0" w:color="auto"/>
              <w:bottom w:val="single" w:sz="18" w:space="0" w:color="A8D08D" w:themeColor="accent6" w:themeTint="99"/>
              <w:right w:val="single" w:sz="18" w:space="0" w:color="A8D08D" w:themeColor="accent6" w:themeTint="99"/>
            </w:tcBorders>
            <w:shd w:val="clear" w:color="auto" w:fill="auto"/>
          </w:tcPr>
          <w:p w14:paraId="356EC6C6" w14:textId="77777777" w:rsidR="004B3FF4" w:rsidRPr="00A974E3" w:rsidRDefault="004B3FF4" w:rsidP="004B3FF4">
            <w:pPr>
              <w:jc w:val="right"/>
              <w:rPr>
                <w:rFonts w:cs="Arial"/>
                <w:b/>
                <w:sz w:val="14"/>
                <w:szCs w:val="14"/>
              </w:rPr>
            </w:pPr>
          </w:p>
        </w:tc>
      </w:tr>
    </w:tbl>
    <w:p w14:paraId="16822D9B" w14:textId="77777777" w:rsidR="00050103" w:rsidRDefault="00050103" w:rsidP="00050103">
      <w:pPr>
        <w:pStyle w:val="Heading1"/>
        <w:rPr>
          <w:sz w:val="22"/>
          <w:szCs w:val="22"/>
        </w:rPr>
      </w:pPr>
    </w:p>
    <w:p w14:paraId="3D7415E8" w14:textId="5DAD7913" w:rsidR="003C2365" w:rsidRPr="000127EF" w:rsidRDefault="003C2365" w:rsidP="00D162D1">
      <w:pPr>
        <w:pStyle w:val="Heading1"/>
        <w:numPr>
          <w:ilvl w:val="0"/>
          <w:numId w:val="8"/>
        </w:numPr>
        <w:ind w:left="426"/>
        <w:rPr>
          <w:sz w:val="22"/>
          <w:szCs w:val="22"/>
        </w:rPr>
      </w:pPr>
      <w:r w:rsidRPr="000127EF">
        <w:rPr>
          <w:sz w:val="22"/>
          <w:szCs w:val="22"/>
        </w:rPr>
        <w:t>Cash Flow Statement – Investing Activities</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A360E5" w:rsidRPr="000127EF" w14:paraId="07C04AB6" w14:textId="77777777" w:rsidTr="009E51A5">
        <w:trPr>
          <w:trHeight w:val="283"/>
          <w:jc w:val="center"/>
        </w:trPr>
        <w:tc>
          <w:tcPr>
            <w:tcW w:w="1454" w:type="dxa"/>
          </w:tcPr>
          <w:p w14:paraId="297931A3" w14:textId="3AEB0329" w:rsidR="00A360E5" w:rsidRPr="000127EF" w:rsidRDefault="00B070B4" w:rsidP="005B7D68">
            <w:pPr>
              <w:jc w:val="center"/>
              <w:rPr>
                <w:b/>
                <w:i/>
              </w:rPr>
            </w:pPr>
            <w:r>
              <w:rPr>
                <w:b/>
                <w:i/>
              </w:rPr>
              <w:t>2018/19</w:t>
            </w:r>
          </w:p>
        </w:tc>
        <w:tc>
          <w:tcPr>
            <w:tcW w:w="5634" w:type="dxa"/>
            <w:vAlign w:val="center"/>
          </w:tcPr>
          <w:p w14:paraId="2971F137" w14:textId="77777777" w:rsidR="00A360E5" w:rsidRPr="000127EF" w:rsidRDefault="00A360E5" w:rsidP="009E51A5">
            <w:pPr>
              <w:jc w:val="center"/>
              <w:rPr>
                <w:b/>
              </w:rPr>
            </w:pPr>
            <w:r w:rsidRPr="000127EF">
              <w:rPr>
                <w:b/>
              </w:rPr>
              <w:t>Investing Activities</w:t>
            </w:r>
          </w:p>
        </w:tc>
        <w:tc>
          <w:tcPr>
            <w:tcW w:w="1534" w:type="dxa"/>
          </w:tcPr>
          <w:p w14:paraId="133F8AE6" w14:textId="4029E561" w:rsidR="00A360E5" w:rsidRPr="003743EF" w:rsidRDefault="00B070B4" w:rsidP="009E51A5">
            <w:pPr>
              <w:jc w:val="center"/>
              <w:rPr>
                <w:b/>
              </w:rPr>
            </w:pPr>
            <w:r w:rsidRPr="003743EF">
              <w:rPr>
                <w:b/>
              </w:rPr>
              <w:t>2019/20</w:t>
            </w:r>
          </w:p>
        </w:tc>
      </w:tr>
      <w:tr w:rsidR="00A360E5" w:rsidRPr="000127EF" w14:paraId="6ADD1587" w14:textId="77777777" w:rsidTr="009E51A5">
        <w:trPr>
          <w:jc w:val="center"/>
        </w:trPr>
        <w:tc>
          <w:tcPr>
            <w:tcW w:w="1454" w:type="dxa"/>
          </w:tcPr>
          <w:p w14:paraId="76FEE196" w14:textId="77777777" w:rsidR="00A360E5" w:rsidRPr="000127EF" w:rsidRDefault="00A360E5" w:rsidP="005B7D68">
            <w:pPr>
              <w:jc w:val="center"/>
              <w:rPr>
                <w:b/>
                <w:i/>
              </w:rPr>
            </w:pPr>
            <w:r w:rsidRPr="000127EF">
              <w:rPr>
                <w:b/>
                <w:i/>
              </w:rPr>
              <w:t>£000</w:t>
            </w:r>
          </w:p>
        </w:tc>
        <w:tc>
          <w:tcPr>
            <w:tcW w:w="5634" w:type="dxa"/>
          </w:tcPr>
          <w:p w14:paraId="2B211D8C" w14:textId="77777777" w:rsidR="00A360E5" w:rsidRPr="000127EF" w:rsidRDefault="00A360E5" w:rsidP="009E51A5">
            <w:pPr>
              <w:jc w:val="center"/>
              <w:rPr>
                <w:b/>
              </w:rPr>
            </w:pPr>
          </w:p>
        </w:tc>
        <w:tc>
          <w:tcPr>
            <w:tcW w:w="1534" w:type="dxa"/>
            <w:shd w:val="clear" w:color="auto" w:fill="C5E0B3" w:themeFill="accent6" w:themeFillTint="66"/>
          </w:tcPr>
          <w:p w14:paraId="3077469F" w14:textId="77777777" w:rsidR="00A360E5" w:rsidRPr="003743EF" w:rsidRDefault="00A360E5" w:rsidP="009E51A5">
            <w:pPr>
              <w:jc w:val="center"/>
              <w:rPr>
                <w:b/>
              </w:rPr>
            </w:pPr>
            <w:r w:rsidRPr="003743EF">
              <w:rPr>
                <w:b/>
              </w:rPr>
              <w:t>£000</w:t>
            </w:r>
          </w:p>
        </w:tc>
      </w:tr>
      <w:tr w:rsidR="00B070B4" w:rsidRPr="000127EF" w14:paraId="5A95126D" w14:textId="77777777" w:rsidTr="003C2365">
        <w:trPr>
          <w:jc w:val="center"/>
        </w:trPr>
        <w:tc>
          <w:tcPr>
            <w:tcW w:w="1454" w:type="dxa"/>
            <w:vAlign w:val="center"/>
          </w:tcPr>
          <w:p w14:paraId="3E8FDF18" w14:textId="5F3BE1CD" w:rsidR="00B070B4" w:rsidRPr="00B070B4" w:rsidRDefault="00B070B4" w:rsidP="00B070B4">
            <w:pPr>
              <w:jc w:val="right"/>
              <w:rPr>
                <w:i/>
              </w:rPr>
            </w:pPr>
            <w:r w:rsidRPr="00B070B4">
              <w:rPr>
                <w:i/>
              </w:rPr>
              <w:t>4,479</w:t>
            </w:r>
          </w:p>
        </w:tc>
        <w:tc>
          <w:tcPr>
            <w:tcW w:w="5634" w:type="dxa"/>
            <w:vAlign w:val="center"/>
          </w:tcPr>
          <w:p w14:paraId="306E69B8" w14:textId="77777777" w:rsidR="00B070B4" w:rsidRPr="000127EF" w:rsidRDefault="00B070B4" w:rsidP="00B070B4">
            <w:pPr>
              <w:rPr>
                <w:rFonts w:cs="Arial"/>
                <w:szCs w:val="22"/>
                <w:lang w:val="en-US"/>
              </w:rPr>
            </w:pPr>
            <w:r w:rsidRPr="000127EF">
              <w:rPr>
                <w:rFonts w:cs="Arial"/>
                <w:szCs w:val="22"/>
                <w:lang w:val="en-US"/>
              </w:rPr>
              <w:t>Purchase of property, plant and equipment, investment property and intangible assets</w:t>
            </w:r>
          </w:p>
        </w:tc>
        <w:tc>
          <w:tcPr>
            <w:tcW w:w="1534" w:type="dxa"/>
            <w:shd w:val="clear" w:color="auto" w:fill="C5E0B3" w:themeFill="accent6" w:themeFillTint="66"/>
            <w:vAlign w:val="center"/>
          </w:tcPr>
          <w:p w14:paraId="16DA950F" w14:textId="78C28F48" w:rsidR="00B070B4" w:rsidRPr="003743EF" w:rsidRDefault="001A193F" w:rsidP="00B070B4">
            <w:pPr>
              <w:jc w:val="right"/>
            </w:pPr>
            <w:r w:rsidRPr="003743EF">
              <w:t>4,066</w:t>
            </w:r>
          </w:p>
        </w:tc>
      </w:tr>
      <w:tr w:rsidR="00B070B4" w:rsidRPr="000127EF" w14:paraId="369D1ACF" w14:textId="77777777" w:rsidTr="003C2365">
        <w:trPr>
          <w:jc w:val="center"/>
        </w:trPr>
        <w:tc>
          <w:tcPr>
            <w:tcW w:w="1454" w:type="dxa"/>
            <w:tcBorders>
              <w:bottom w:val="nil"/>
            </w:tcBorders>
            <w:vAlign w:val="center"/>
          </w:tcPr>
          <w:p w14:paraId="23F0BF5C" w14:textId="4FBE936F" w:rsidR="00B070B4" w:rsidRPr="00B070B4" w:rsidRDefault="00B070B4" w:rsidP="00B070B4">
            <w:pPr>
              <w:jc w:val="right"/>
              <w:rPr>
                <w:i/>
              </w:rPr>
            </w:pPr>
            <w:r w:rsidRPr="00B070B4">
              <w:rPr>
                <w:i/>
              </w:rPr>
              <w:t>30,000</w:t>
            </w:r>
          </w:p>
        </w:tc>
        <w:tc>
          <w:tcPr>
            <w:tcW w:w="5634" w:type="dxa"/>
            <w:tcBorders>
              <w:bottom w:val="nil"/>
            </w:tcBorders>
          </w:tcPr>
          <w:p w14:paraId="65E9E524" w14:textId="77777777" w:rsidR="00B070B4" w:rsidRPr="000127EF" w:rsidRDefault="00B070B4" w:rsidP="00B070B4">
            <w:pPr>
              <w:rPr>
                <w:rFonts w:cs="Arial"/>
                <w:szCs w:val="22"/>
                <w:lang w:val="en-US"/>
              </w:rPr>
            </w:pPr>
            <w:r w:rsidRPr="000127EF">
              <w:rPr>
                <w:rFonts w:cs="Arial"/>
                <w:szCs w:val="22"/>
                <w:lang w:val="en-US"/>
              </w:rPr>
              <w:t>Purchase of short-term and long-term investments</w:t>
            </w:r>
          </w:p>
        </w:tc>
        <w:tc>
          <w:tcPr>
            <w:tcW w:w="1534" w:type="dxa"/>
            <w:tcBorders>
              <w:bottom w:val="nil"/>
            </w:tcBorders>
            <w:shd w:val="clear" w:color="auto" w:fill="C5E0B3" w:themeFill="accent6" w:themeFillTint="66"/>
            <w:vAlign w:val="center"/>
          </w:tcPr>
          <w:p w14:paraId="5908832C" w14:textId="54219FDA" w:rsidR="00B070B4" w:rsidRPr="003743EF" w:rsidRDefault="001A193F" w:rsidP="00B070B4">
            <w:pPr>
              <w:jc w:val="right"/>
            </w:pPr>
            <w:r w:rsidRPr="003743EF">
              <w:t>33,000</w:t>
            </w:r>
          </w:p>
        </w:tc>
      </w:tr>
      <w:tr w:rsidR="00B070B4" w:rsidRPr="000127EF" w14:paraId="67BF5084" w14:textId="77777777" w:rsidTr="003C2365">
        <w:trPr>
          <w:jc w:val="center"/>
        </w:trPr>
        <w:tc>
          <w:tcPr>
            <w:tcW w:w="1454" w:type="dxa"/>
            <w:tcBorders>
              <w:bottom w:val="nil"/>
            </w:tcBorders>
            <w:vAlign w:val="center"/>
          </w:tcPr>
          <w:p w14:paraId="441A3949" w14:textId="546770C1" w:rsidR="00B070B4" w:rsidRPr="00B070B4" w:rsidRDefault="00B070B4" w:rsidP="00B070B4">
            <w:pPr>
              <w:jc w:val="right"/>
              <w:rPr>
                <w:i/>
              </w:rPr>
            </w:pPr>
            <w:r w:rsidRPr="00B070B4">
              <w:rPr>
                <w:i/>
              </w:rPr>
              <w:t>(166)</w:t>
            </w:r>
          </w:p>
        </w:tc>
        <w:tc>
          <w:tcPr>
            <w:tcW w:w="5634" w:type="dxa"/>
            <w:tcBorders>
              <w:bottom w:val="nil"/>
            </w:tcBorders>
          </w:tcPr>
          <w:p w14:paraId="3D14874D" w14:textId="77777777" w:rsidR="00B070B4" w:rsidRPr="000127EF" w:rsidRDefault="00B070B4" w:rsidP="00B070B4">
            <w:pPr>
              <w:rPr>
                <w:rFonts w:cs="Arial"/>
                <w:szCs w:val="22"/>
                <w:lang w:val="en-US"/>
              </w:rPr>
            </w:pPr>
            <w:r w:rsidRPr="000127EF">
              <w:rPr>
                <w:rFonts w:cs="Arial"/>
                <w:szCs w:val="22"/>
                <w:lang w:val="en-US"/>
              </w:rPr>
              <w:t>Proceeds from the sale of property, plant and equipment, investment property and intangible assets</w:t>
            </w:r>
          </w:p>
        </w:tc>
        <w:tc>
          <w:tcPr>
            <w:tcW w:w="1534" w:type="dxa"/>
            <w:tcBorders>
              <w:bottom w:val="nil"/>
            </w:tcBorders>
            <w:shd w:val="clear" w:color="auto" w:fill="C5E0B3" w:themeFill="accent6" w:themeFillTint="66"/>
            <w:vAlign w:val="center"/>
          </w:tcPr>
          <w:p w14:paraId="57977062" w14:textId="435A4FDC" w:rsidR="00B070B4" w:rsidRPr="003743EF" w:rsidRDefault="001A193F" w:rsidP="00B070B4">
            <w:pPr>
              <w:jc w:val="right"/>
            </w:pPr>
            <w:r w:rsidRPr="003743EF">
              <w:t>(147)</w:t>
            </w:r>
          </w:p>
        </w:tc>
      </w:tr>
      <w:tr w:rsidR="00B070B4" w:rsidRPr="000127EF" w14:paraId="3BB1C89A" w14:textId="77777777" w:rsidTr="003C2365">
        <w:trPr>
          <w:jc w:val="center"/>
        </w:trPr>
        <w:tc>
          <w:tcPr>
            <w:tcW w:w="1454" w:type="dxa"/>
            <w:tcBorders>
              <w:bottom w:val="nil"/>
            </w:tcBorders>
            <w:vAlign w:val="center"/>
          </w:tcPr>
          <w:p w14:paraId="3180CDE4" w14:textId="5E2FB292" w:rsidR="00B070B4" w:rsidRPr="00B070B4" w:rsidRDefault="00B070B4" w:rsidP="00B070B4">
            <w:pPr>
              <w:jc w:val="right"/>
              <w:rPr>
                <w:i/>
              </w:rPr>
            </w:pPr>
            <w:r w:rsidRPr="00B070B4">
              <w:rPr>
                <w:i/>
              </w:rPr>
              <w:t>(22,000)</w:t>
            </w:r>
          </w:p>
        </w:tc>
        <w:tc>
          <w:tcPr>
            <w:tcW w:w="5634" w:type="dxa"/>
            <w:tcBorders>
              <w:bottom w:val="nil"/>
            </w:tcBorders>
          </w:tcPr>
          <w:p w14:paraId="356779EC" w14:textId="77777777" w:rsidR="00B070B4" w:rsidRPr="000127EF" w:rsidRDefault="00B070B4" w:rsidP="00B070B4">
            <w:pPr>
              <w:rPr>
                <w:rFonts w:cs="Arial"/>
                <w:szCs w:val="22"/>
                <w:lang w:val="en-US"/>
              </w:rPr>
            </w:pPr>
            <w:r w:rsidRPr="000127EF">
              <w:rPr>
                <w:rFonts w:cs="Arial"/>
                <w:szCs w:val="22"/>
                <w:lang w:val="en-US"/>
              </w:rPr>
              <w:t>Proceeds from short-term and long-term investments</w:t>
            </w:r>
          </w:p>
        </w:tc>
        <w:tc>
          <w:tcPr>
            <w:tcW w:w="1534" w:type="dxa"/>
            <w:tcBorders>
              <w:bottom w:val="nil"/>
            </w:tcBorders>
            <w:shd w:val="clear" w:color="auto" w:fill="C5E0B3" w:themeFill="accent6" w:themeFillTint="66"/>
            <w:vAlign w:val="center"/>
          </w:tcPr>
          <w:p w14:paraId="5DBD2142" w14:textId="346BD367" w:rsidR="00B070B4" w:rsidRPr="003743EF" w:rsidRDefault="001A193F" w:rsidP="00B070B4">
            <w:pPr>
              <w:jc w:val="right"/>
            </w:pPr>
            <w:r w:rsidRPr="003743EF">
              <w:t>(30,000)</w:t>
            </w:r>
          </w:p>
        </w:tc>
      </w:tr>
      <w:tr w:rsidR="00B070B4" w:rsidRPr="000127EF" w14:paraId="7CD2B638" w14:textId="77777777" w:rsidTr="003C2365">
        <w:trPr>
          <w:jc w:val="center"/>
        </w:trPr>
        <w:tc>
          <w:tcPr>
            <w:tcW w:w="1454" w:type="dxa"/>
            <w:tcBorders>
              <w:bottom w:val="nil"/>
            </w:tcBorders>
            <w:vAlign w:val="center"/>
          </w:tcPr>
          <w:p w14:paraId="2E699DCE" w14:textId="1A163171" w:rsidR="00B070B4" w:rsidRPr="00B070B4" w:rsidRDefault="00B070B4" w:rsidP="00B070B4">
            <w:pPr>
              <w:jc w:val="right"/>
              <w:rPr>
                <w:i/>
              </w:rPr>
            </w:pPr>
            <w:r w:rsidRPr="00B070B4">
              <w:rPr>
                <w:i/>
              </w:rPr>
              <w:t>(5,905)</w:t>
            </w:r>
          </w:p>
        </w:tc>
        <w:tc>
          <w:tcPr>
            <w:tcW w:w="5634" w:type="dxa"/>
            <w:tcBorders>
              <w:bottom w:val="nil"/>
            </w:tcBorders>
          </w:tcPr>
          <w:p w14:paraId="24D7A3DB" w14:textId="77777777" w:rsidR="00B070B4" w:rsidRPr="000127EF" w:rsidRDefault="00B070B4" w:rsidP="00B070B4">
            <w:pPr>
              <w:rPr>
                <w:rFonts w:cs="Arial"/>
                <w:szCs w:val="22"/>
                <w:lang w:val="en-US"/>
              </w:rPr>
            </w:pPr>
            <w:r w:rsidRPr="000127EF">
              <w:rPr>
                <w:rFonts w:cs="Arial"/>
                <w:szCs w:val="22"/>
                <w:lang w:val="en-US"/>
              </w:rPr>
              <w:t>Capital Grants Received</w:t>
            </w:r>
          </w:p>
        </w:tc>
        <w:tc>
          <w:tcPr>
            <w:tcW w:w="1534" w:type="dxa"/>
            <w:tcBorders>
              <w:bottom w:val="nil"/>
            </w:tcBorders>
            <w:shd w:val="clear" w:color="auto" w:fill="C5E0B3" w:themeFill="accent6" w:themeFillTint="66"/>
            <w:vAlign w:val="center"/>
          </w:tcPr>
          <w:p w14:paraId="7FB5CEFD" w14:textId="3D245105" w:rsidR="00B070B4" w:rsidRPr="003743EF" w:rsidRDefault="001A193F" w:rsidP="00B070B4">
            <w:pPr>
              <w:jc w:val="right"/>
            </w:pPr>
            <w:r w:rsidRPr="003743EF">
              <w:t>(4,636)</w:t>
            </w:r>
          </w:p>
        </w:tc>
      </w:tr>
      <w:tr w:rsidR="00B070B4" w:rsidRPr="000127EF" w14:paraId="24727EE9" w14:textId="77777777" w:rsidTr="003C2365">
        <w:trPr>
          <w:jc w:val="center"/>
        </w:trPr>
        <w:tc>
          <w:tcPr>
            <w:tcW w:w="1454" w:type="dxa"/>
            <w:tcBorders>
              <w:top w:val="single" w:sz="8" w:space="0" w:color="auto"/>
              <w:bottom w:val="single" w:sz="8" w:space="0" w:color="auto"/>
            </w:tcBorders>
            <w:vAlign w:val="center"/>
          </w:tcPr>
          <w:p w14:paraId="3AA57B5B" w14:textId="4A3680EF" w:rsidR="00B070B4" w:rsidRPr="00B070B4" w:rsidRDefault="00B070B4" w:rsidP="00B070B4">
            <w:pPr>
              <w:jc w:val="right"/>
              <w:rPr>
                <w:b/>
                <w:i/>
              </w:rPr>
            </w:pPr>
            <w:r w:rsidRPr="00B070B4">
              <w:rPr>
                <w:rFonts w:cs="Arial"/>
                <w:b/>
                <w:i/>
                <w:szCs w:val="22"/>
              </w:rPr>
              <w:fldChar w:fldCharType="begin"/>
            </w:r>
            <w:r w:rsidRPr="00B070B4">
              <w:rPr>
                <w:rFonts w:cs="Arial"/>
                <w:b/>
                <w:i/>
                <w:szCs w:val="22"/>
              </w:rPr>
              <w:instrText xml:space="preserve"> =SUM(c3:c7) </w:instrText>
            </w:r>
            <w:r w:rsidRPr="00B070B4">
              <w:rPr>
                <w:rFonts w:cs="Arial"/>
                <w:b/>
                <w:i/>
                <w:szCs w:val="22"/>
              </w:rPr>
              <w:fldChar w:fldCharType="separate"/>
            </w:r>
            <w:r w:rsidRPr="00B070B4">
              <w:rPr>
                <w:rFonts w:cs="Arial"/>
                <w:b/>
                <w:i/>
                <w:noProof/>
                <w:szCs w:val="22"/>
              </w:rPr>
              <w:t>6,408</w:t>
            </w:r>
            <w:r w:rsidRPr="00B070B4">
              <w:rPr>
                <w:rFonts w:cs="Arial"/>
                <w:b/>
                <w:i/>
                <w:szCs w:val="22"/>
              </w:rPr>
              <w:fldChar w:fldCharType="end"/>
            </w:r>
          </w:p>
        </w:tc>
        <w:tc>
          <w:tcPr>
            <w:tcW w:w="5634" w:type="dxa"/>
            <w:tcBorders>
              <w:bottom w:val="nil"/>
            </w:tcBorders>
          </w:tcPr>
          <w:p w14:paraId="797A1305" w14:textId="77777777" w:rsidR="00B070B4" w:rsidRPr="000127EF" w:rsidRDefault="00B070B4" w:rsidP="00B070B4">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vAlign w:val="center"/>
          </w:tcPr>
          <w:p w14:paraId="5B389329" w14:textId="3B16A1B3" w:rsidR="00B070B4" w:rsidRPr="003743EF" w:rsidRDefault="003743EF" w:rsidP="00B070B4">
            <w:pPr>
              <w:jc w:val="right"/>
              <w:rPr>
                <w:b/>
              </w:rPr>
            </w:pPr>
            <w:r w:rsidRPr="003743EF">
              <w:rPr>
                <w:b/>
              </w:rPr>
              <w:t>2,283</w:t>
            </w:r>
          </w:p>
        </w:tc>
      </w:tr>
      <w:tr w:rsidR="004B3FF4" w:rsidRPr="000127EF" w14:paraId="5142AD2A" w14:textId="77777777" w:rsidTr="009E51A5">
        <w:trPr>
          <w:trHeight w:hRule="exact" w:val="142"/>
          <w:jc w:val="center"/>
        </w:trPr>
        <w:tc>
          <w:tcPr>
            <w:tcW w:w="1454" w:type="dxa"/>
            <w:tcBorders>
              <w:top w:val="nil"/>
            </w:tcBorders>
          </w:tcPr>
          <w:p w14:paraId="577B8384" w14:textId="77777777" w:rsidR="004B3FF4" w:rsidRPr="000127EF" w:rsidRDefault="004B3FF4" w:rsidP="004B3FF4">
            <w:pPr>
              <w:jc w:val="right"/>
              <w:rPr>
                <w:i/>
              </w:rPr>
            </w:pPr>
          </w:p>
        </w:tc>
        <w:tc>
          <w:tcPr>
            <w:tcW w:w="5634" w:type="dxa"/>
            <w:tcBorders>
              <w:top w:val="nil"/>
            </w:tcBorders>
          </w:tcPr>
          <w:p w14:paraId="387134BF" w14:textId="77777777" w:rsidR="004B3FF4" w:rsidRPr="000127EF" w:rsidRDefault="004B3FF4" w:rsidP="004B3FF4">
            <w:pPr>
              <w:jc w:val="both"/>
            </w:pPr>
          </w:p>
        </w:tc>
        <w:tc>
          <w:tcPr>
            <w:tcW w:w="1534" w:type="dxa"/>
            <w:tcBorders>
              <w:top w:val="nil"/>
            </w:tcBorders>
          </w:tcPr>
          <w:p w14:paraId="6A015C66" w14:textId="77777777" w:rsidR="004B3FF4" w:rsidRPr="000127EF" w:rsidRDefault="004B3FF4" w:rsidP="004B3FF4">
            <w:pPr>
              <w:jc w:val="right"/>
            </w:pPr>
          </w:p>
        </w:tc>
      </w:tr>
    </w:tbl>
    <w:p w14:paraId="05FA049F" w14:textId="77777777" w:rsidR="004305DC" w:rsidRPr="000127EF" w:rsidRDefault="004305DC" w:rsidP="00D162D1">
      <w:pPr>
        <w:pStyle w:val="Heading1"/>
        <w:numPr>
          <w:ilvl w:val="0"/>
          <w:numId w:val="8"/>
        </w:numPr>
        <w:ind w:left="426"/>
        <w:rPr>
          <w:sz w:val="22"/>
          <w:szCs w:val="22"/>
        </w:rPr>
      </w:pPr>
      <w:r w:rsidRPr="000127EF">
        <w:rPr>
          <w:sz w:val="22"/>
          <w:szCs w:val="22"/>
        </w:rPr>
        <w:t>Cash Flow Statement – Financing Activities</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A360E5" w:rsidRPr="000127EF" w14:paraId="7EF20135" w14:textId="77777777" w:rsidTr="009E51A5">
        <w:trPr>
          <w:trHeight w:val="283"/>
          <w:jc w:val="center"/>
        </w:trPr>
        <w:tc>
          <w:tcPr>
            <w:tcW w:w="1454" w:type="dxa"/>
          </w:tcPr>
          <w:p w14:paraId="638FEB80" w14:textId="38C7717F" w:rsidR="00A360E5" w:rsidRPr="000127EF" w:rsidRDefault="00B070B4" w:rsidP="005B7D68">
            <w:pPr>
              <w:jc w:val="center"/>
              <w:rPr>
                <w:b/>
                <w:i/>
              </w:rPr>
            </w:pPr>
            <w:r>
              <w:rPr>
                <w:b/>
                <w:i/>
              </w:rPr>
              <w:t>2018/19</w:t>
            </w:r>
          </w:p>
        </w:tc>
        <w:tc>
          <w:tcPr>
            <w:tcW w:w="5634" w:type="dxa"/>
            <w:vAlign w:val="center"/>
          </w:tcPr>
          <w:p w14:paraId="234A7FFE" w14:textId="77777777" w:rsidR="00A360E5" w:rsidRPr="000127EF" w:rsidRDefault="00A360E5" w:rsidP="009E51A5">
            <w:pPr>
              <w:jc w:val="center"/>
              <w:rPr>
                <w:b/>
              </w:rPr>
            </w:pPr>
            <w:r w:rsidRPr="000127EF">
              <w:rPr>
                <w:b/>
              </w:rPr>
              <w:t>Financing Activities</w:t>
            </w:r>
          </w:p>
        </w:tc>
        <w:tc>
          <w:tcPr>
            <w:tcW w:w="1534" w:type="dxa"/>
          </w:tcPr>
          <w:p w14:paraId="7C1CFBBA" w14:textId="51F58CB8" w:rsidR="00A360E5" w:rsidRPr="003743EF" w:rsidRDefault="00B070B4" w:rsidP="009E51A5">
            <w:pPr>
              <w:jc w:val="center"/>
              <w:rPr>
                <w:b/>
              </w:rPr>
            </w:pPr>
            <w:r w:rsidRPr="003743EF">
              <w:rPr>
                <w:b/>
              </w:rPr>
              <w:t>2019/20</w:t>
            </w:r>
          </w:p>
        </w:tc>
      </w:tr>
      <w:tr w:rsidR="00A360E5" w:rsidRPr="000127EF" w14:paraId="38CACCDB" w14:textId="77777777" w:rsidTr="009E51A5">
        <w:trPr>
          <w:jc w:val="center"/>
        </w:trPr>
        <w:tc>
          <w:tcPr>
            <w:tcW w:w="1454" w:type="dxa"/>
          </w:tcPr>
          <w:p w14:paraId="25254B29" w14:textId="77777777" w:rsidR="00A360E5" w:rsidRPr="000127EF" w:rsidRDefault="00A360E5" w:rsidP="005B7D68">
            <w:pPr>
              <w:jc w:val="center"/>
              <w:rPr>
                <w:b/>
                <w:i/>
              </w:rPr>
            </w:pPr>
            <w:r w:rsidRPr="000127EF">
              <w:rPr>
                <w:b/>
                <w:i/>
              </w:rPr>
              <w:t>£000</w:t>
            </w:r>
          </w:p>
        </w:tc>
        <w:tc>
          <w:tcPr>
            <w:tcW w:w="5634" w:type="dxa"/>
          </w:tcPr>
          <w:p w14:paraId="22C135F1" w14:textId="77777777" w:rsidR="00A360E5" w:rsidRPr="000127EF" w:rsidRDefault="00A360E5" w:rsidP="009E51A5">
            <w:pPr>
              <w:jc w:val="center"/>
              <w:rPr>
                <w:b/>
              </w:rPr>
            </w:pPr>
          </w:p>
        </w:tc>
        <w:tc>
          <w:tcPr>
            <w:tcW w:w="1534" w:type="dxa"/>
            <w:shd w:val="clear" w:color="auto" w:fill="C5E0B3" w:themeFill="accent6" w:themeFillTint="66"/>
          </w:tcPr>
          <w:p w14:paraId="693F346B" w14:textId="77777777" w:rsidR="00A360E5" w:rsidRPr="003743EF" w:rsidRDefault="00A360E5" w:rsidP="009E51A5">
            <w:pPr>
              <w:jc w:val="center"/>
              <w:rPr>
                <w:b/>
              </w:rPr>
            </w:pPr>
            <w:r w:rsidRPr="003743EF">
              <w:rPr>
                <w:b/>
              </w:rPr>
              <w:t>£000</w:t>
            </w:r>
          </w:p>
        </w:tc>
      </w:tr>
      <w:tr w:rsidR="00B070B4" w:rsidRPr="000127EF" w14:paraId="7518BF8A" w14:textId="77777777" w:rsidTr="005B7D68">
        <w:trPr>
          <w:jc w:val="center"/>
        </w:trPr>
        <w:tc>
          <w:tcPr>
            <w:tcW w:w="1454" w:type="dxa"/>
          </w:tcPr>
          <w:p w14:paraId="5721BB2F" w14:textId="0DEBA204" w:rsidR="00B070B4" w:rsidRPr="00B070B4" w:rsidRDefault="00B070B4" w:rsidP="00B070B4">
            <w:pPr>
              <w:jc w:val="right"/>
              <w:rPr>
                <w:i/>
              </w:rPr>
            </w:pPr>
            <w:r w:rsidRPr="00B070B4">
              <w:rPr>
                <w:i/>
              </w:rPr>
              <w:t>84</w:t>
            </w:r>
          </w:p>
        </w:tc>
        <w:tc>
          <w:tcPr>
            <w:tcW w:w="5634" w:type="dxa"/>
            <w:vAlign w:val="center"/>
          </w:tcPr>
          <w:p w14:paraId="4416DACF" w14:textId="23FBE01B" w:rsidR="00B070B4" w:rsidRPr="000127EF" w:rsidRDefault="00B070B4" w:rsidP="00B070B4">
            <w:pPr>
              <w:rPr>
                <w:rFonts w:cs="Arial"/>
                <w:szCs w:val="22"/>
                <w:lang w:val="en-US"/>
              </w:rPr>
            </w:pPr>
            <w:r w:rsidRPr="000127EF">
              <w:rPr>
                <w:rFonts w:cs="Arial"/>
                <w:szCs w:val="22"/>
                <w:lang w:val="en-US"/>
              </w:rPr>
              <w:t>Receipt / Repayment of short and long-term borrowing</w:t>
            </w:r>
          </w:p>
        </w:tc>
        <w:tc>
          <w:tcPr>
            <w:tcW w:w="1534" w:type="dxa"/>
            <w:shd w:val="clear" w:color="auto" w:fill="C5E0B3" w:themeFill="accent6" w:themeFillTint="66"/>
          </w:tcPr>
          <w:p w14:paraId="3BD4FDC8" w14:textId="13AA27DE" w:rsidR="00B070B4" w:rsidRPr="003743EF" w:rsidRDefault="003743EF" w:rsidP="00B070B4">
            <w:pPr>
              <w:jc w:val="right"/>
            </w:pPr>
            <w:r w:rsidRPr="003743EF">
              <w:t>84</w:t>
            </w:r>
          </w:p>
        </w:tc>
      </w:tr>
      <w:tr w:rsidR="00B070B4" w:rsidRPr="000127EF" w14:paraId="2A42E84F" w14:textId="77777777" w:rsidTr="00E165AE">
        <w:trPr>
          <w:jc w:val="center"/>
        </w:trPr>
        <w:tc>
          <w:tcPr>
            <w:tcW w:w="1454" w:type="dxa"/>
            <w:tcBorders>
              <w:bottom w:val="nil"/>
            </w:tcBorders>
          </w:tcPr>
          <w:p w14:paraId="517901D3" w14:textId="2A4E281F" w:rsidR="00B070B4" w:rsidRPr="00B070B4" w:rsidRDefault="00B070B4" w:rsidP="00B070B4">
            <w:pPr>
              <w:jc w:val="right"/>
              <w:rPr>
                <w:i/>
              </w:rPr>
            </w:pPr>
            <w:r w:rsidRPr="00B070B4">
              <w:rPr>
                <w:i/>
              </w:rPr>
              <w:t>(432)</w:t>
            </w:r>
          </w:p>
        </w:tc>
        <w:tc>
          <w:tcPr>
            <w:tcW w:w="5634" w:type="dxa"/>
            <w:tcBorders>
              <w:bottom w:val="nil"/>
            </w:tcBorders>
          </w:tcPr>
          <w:p w14:paraId="2A47DCB0" w14:textId="77777777" w:rsidR="00B070B4" w:rsidRPr="000127EF" w:rsidRDefault="00B070B4" w:rsidP="00B070B4">
            <w:pPr>
              <w:rPr>
                <w:rFonts w:cs="Arial"/>
                <w:szCs w:val="22"/>
                <w:lang w:val="en-US"/>
              </w:rPr>
            </w:pPr>
            <w:r w:rsidRPr="000127EF">
              <w:rPr>
                <w:rFonts w:cs="Arial"/>
                <w:szCs w:val="22"/>
                <w:lang w:val="en-US"/>
              </w:rPr>
              <w:t>Other payments for financing activities</w:t>
            </w:r>
          </w:p>
        </w:tc>
        <w:tc>
          <w:tcPr>
            <w:tcW w:w="1534" w:type="dxa"/>
            <w:tcBorders>
              <w:bottom w:val="nil"/>
            </w:tcBorders>
            <w:shd w:val="clear" w:color="auto" w:fill="C5E0B3" w:themeFill="accent6" w:themeFillTint="66"/>
          </w:tcPr>
          <w:p w14:paraId="21EA0808" w14:textId="436163F0" w:rsidR="00B070B4" w:rsidRPr="003743EF" w:rsidRDefault="003743EF" w:rsidP="00B070B4">
            <w:pPr>
              <w:jc w:val="right"/>
            </w:pPr>
            <w:r>
              <w:t>82</w:t>
            </w:r>
          </w:p>
        </w:tc>
      </w:tr>
      <w:tr w:rsidR="00B070B4" w:rsidRPr="000127EF" w14:paraId="248B5061" w14:textId="77777777" w:rsidTr="00E165AE">
        <w:trPr>
          <w:jc w:val="center"/>
        </w:trPr>
        <w:tc>
          <w:tcPr>
            <w:tcW w:w="1454" w:type="dxa"/>
            <w:tcBorders>
              <w:top w:val="single" w:sz="8" w:space="0" w:color="auto"/>
              <w:bottom w:val="single" w:sz="8" w:space="0" w:color="auto"/>
            </w:tcBorders>
          </w:tcPr>
          <w:p w14:paraId="63D6EA86" w14:textId="4998FFBC" w:rsidR="00B070B4" w:rsidRPr="00B070B4" w:rsidRDefault="00B070B4" w:rsidP="00B070B4">
            <w:pPr>
              <w:jc w:val="right"/>
              <w:rPr>
                <w:b/>
                <w:i/>
              </w:rPr>
            </w:pPr>
            <w:r w:rsidRPr="00B070B4">
              <w:rPr>
                <w:rFonts w:cs="Arial"/>
                <w:b/>
                <w:i/>
                <w:szCs w:val="22"/>
              </w:rPr>
              <w:fldChar w:fldCharType="begin"/>
            </w:r>
            <w:r w:rsidRPr="00B070B4">
              <w:rPr>
                <w:rFonts w:cs="Arial"/>
                <w:b/>
                <w:i/>
                <w:szCs w:val="22"/>
              </w:rPr>
              <w:instrText xml:space="preserve"> =SUM(c3:c4) </w:instrText>
            </w:r>
            <w:r w:rsidRPr="00B070B4">
              <w:rPr>
                <w:rFonts w:cs="Arial"/>
                <w:b/>
                <w:i/>
                <w:szCs w:val="22"/>
              </w:rPr>
              <w:fldChar w:fldCharType="separate"/>
            </w:r>
            <w:r w:rsidRPr="00B070B4">
              <w:rPr>
                <w:rFonts w:cs="Arial"/>
                <w:b/>
                <w:i/>
                <w:noProof/>
                <w:szCs w:val="22"/>
              </w:rPr>
              <w:t>(348)</w:t>
            </w:r>
            <w:r w:rsidRPr="00B070B4">
              <w:rPr>
                <w:rFonts w:cs="Arial"/>
                <w:b/>
                <w:i/>
                <w:szCs w:val="22"/>
              </w:rPr>
              <w:fldChar w:fldCharType="end"/>
            </w:r>
          </w:p>
        </w:tc>
        <w:tc>
          <w:tcPr>
            <w:tcW w:w="5634" w:type="dxa"/>
            <w:tcBorders>
              <w:bottom w:val="nil"/>
            </w:tcBorders>
          </w:tcPr>
          <w:p w14:paraId="46F00FFD" w14:textId="77777777" w:rsidR="00B070B4" w:rsidRPr="000127EF" w:rsidRDefault="00B070B4" w:rsidP="00B070B4">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02A239AD" w14:textId="52F511AB" w:rsidR="00B070B4" w:rsidRPr="003743EF" w:rsidRDefault="003743EF" w:rsidP="00B070B4">
            <w:pPr>
              <w:jc w:val="right"/>
              <w:rPr>
                <w:b/>
              </w:rPr>
            </w:pPr>
            <w:r w:rsidRPr="003743EF">
              <w:rPr>
                <w:b/>
              </w:rPr>
              <w:t>1</w:t>
            </w:r>
            <w:r>
              <w:rPr>
                <w:b/>
              </w:rPr>
              <w:t>66</w:t>
            </w:r>
          </w:p>
        </w:tc>
      </w:tr>
      <w:tr w:rsidR="00750FF2" w:rsidRPr="000127EF" w14:paraId="2A42D28B" w14:textId="77777777" w:rsidTr="009E51A5">
        <w:trPr>
          <w:trHeight w:hRule="exact" w:val="142"/>
          <w:jc w:val="center"/>
        </w:trPr>
        <w:tc>
          <w:tcPr>
            <w:tcW w:w="1454" w:type="dxa"/>
            <w:tcBorders>
              <w:top w:val="nil"/>
            </w:tcBorders>
          </w:tcPr>
          <w:p w14:paraId="0F976B5E" w14:textId="77777777" w:rsidR="00750FF2" w:rsidRPr="000127EF" w:rsidRDefault="00750FF2" w:rsidP="00750FF2">
            <w:pPr>
              <w:jc w:val="right"/>
              <w:rPr>
                <w:i/>
              </w:rPr>
            </w:pPr>
          </w:p>
        </w:tc>
        <w:tc>
          <w:tcPr>
            <w:tcW w:w="5634" w:type="dxa"/>
            <w:tcBorders>
              <w:top w:val="nil"/>
            </w:tcBorders>
          </w:tcPr>
          <w:p w14:paraId="3EFE9C43" w14:textId="77777777" w:rsidR="00750FF2" w:rsidRPr="000127EF" w:rsidRDefault="00750FF2" w:rsidP="00750FF2">
            <w:pPr>
              <w:jc w:val="both"/>
            </w:pPr>
          </w:p>
        </w:tc>
        <w:tc>
          <w:tcPr>
            <w:tcW w:w="1534" w:type="dxa"/>
            <w:tcBorders>
              <w:top w:val="nil"/>
            </w:tcBorders>
          </w:tcPr>
          <w:p w14:paraId="48BD8923" w14:textId="77777777" w:rsidR="00750FF2" w:rsidRPr="000127EF" w:rsidRDefault="00750FF2" w:rsidP="00750FF2">
            <w:pPr>
              <w:jc w:val="right"/>
            </w:pPr>
          </w:p>
        </w:tc>
      </w:tr>
    </w:tbl>
    <w:p w14:paraId="6093D544" w14:textId="77777777" w:rsidR="005F433B" w:rsidRPr="000127EF" w:rsidRDefault="005F433B" w:rsidP="00D162D1">
      <w:pPr>
        <w:pStyle w:val="Heading1"/>
        <w:numPr>
          <w:ilvl w:val="0"/>
          <w:numId w:val="8"/>
        </w:numPr>
        <w:ind w:left="426"/>
        <w:rPr>
          <w:sz w:val="22"/>
          <w:szCs w:val="22"/>
        </w:rPr>
      </w:pPr>
      <w:r w:rsidRPr="000127EF">
        <w:rPr>
          <w:sz w:val="22"/>
          <w:szCs w:val="22"/>
        </w:rPr>
        <w:t xml:space="preserve">Cash Flow Statement – </w:t>
      </w:r>
      <w:r w:rsidR="00062CEF" w:rsidRPr="000127EF">
        <w:rPr>
          <w:sz w:val="22"/>
          <w:szCs w:val="22"/>
        </w:rPr>
        <w:t xml:space="preserve">Cash &amp; Cash Equivalents </w:t>
      </w:r>
    </w:p>
    <w:p w14:paraId="22698971" w14:textId="77777777" w:rsidR="00062CEF" w:rsidRPr="000127EF" w:rsidRDefault="00062CEF" w:rsidP="00062CEF">
      <w:pPr>
        <w:spacing w:before="120" w:after="120"/>
      </w:pPr>
      <w:r w:rsidRPr="000127EF">
        <w:t>The balance of cash and cash equivalents is made up of the following elements:</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062CEF" w:rsidRPr="000127EF" w14:paraId="3639B469" w14:textId="77777777" w:rsidTr="009E51A5">
        <w:trPr>
          <w:trHeight w:val="283"/>
          <w:jc w:val="center"/>
        </w:trPr>
        <w:tc>
          <w:tcPr>
            <w:tcW w:w="1454" w:type="dxa"/>
          </w:tcPr>
          <w:p w14:paraId="45CA7191" w14:textId="1673A3C8" w:rsidR="00062CEF" w:rsidRPr="000127EF" w:rsidRDefault="00E165AE" w:rsidP="00270409">
            <w:pPr>
              <w:jc w:val="center"/>
              <w:rPr>
                <w:b/>
                <w:i/>
              </w:rPr>
            </w:pPr>
            <w:r w:rsidRPr="000127EF">
              <w:rPr>
                <w:b/>
                <w:i/>
              </w:rPr>
              <w:t>201</w:t>
            </w:r>
            <w:r w:rsidR="00D96A38">
              <w:rPr>
                <w:b/>
                <w:i/>
              </w:rPr>
              <w:t>8/19</w:t>
            </w:r>
          </w:p>
        </w:tc>
        <w:tc>
          <w:tcPr>
            <w:tcW w:w="5634" w:type="dxa"/>
            <w:vAlign w:val="center"/>
          </w:tcPr>
          <w:p w14:paraId="0273A664" w14:textId="77777777" w:rsidR="00062CEF" w:rsidRPr="000127EF" w:rsidRDefault="00062CEF" w:rsidP="009E51A5">
            <w:pPr>
              <w:jc w:val="center"/>
              <w:rPr>
                <w:b/>
              </w:rPr>
            </w:pPr>
            <w:r w:rsidRPr="000127EF">
              <w:rPr>
                <w:b/>
              </w:rPr>
              <w:t>Cash &amp; Cash Equivalents</w:t>
            </w:r>
          </w:p>
        </w:tc>
        <w:tc>
          <w:tcPr>
            <w:tcW w:w="1534" w:type="dxa"/>
          </w:tcPr>
          <w:p w14:paraId="29C2EE38" w14:textId="6FDFB71F" w:rsidR="00062CEF" w:rsidRPr="00417E30" w:rsidRDefault="00D96A38" w:rsidP="00270409">
            <w:pPr>
              <w:jc w:val="center"/>
              <w:rPr>
                <w:b/>
              </w:rPr>
            </w:pPr>
            <w:r w:rsidRPr="00417E30">
              <w:rPr>
                <w:b/>
              </w:rPr>
              <w:t>2019/20</w:t>
            </w:r>
          </w:p>
        </w:tc>
      </w:tr>
      <w:tr w:rsidR="00062CEF" w:rsidRPr="000127EF" w14:paraId="2AB6066D" w14:textId="77777777" w:rsidTr="009E51A5">
        <w:trPr>
          <w:jc w:val="center"/>
        </w:trPr>
        <w:tc>
          <w:tcPr>
            <w:tcW w:w="1454" w:type="dxa"/>
          </w:tcPr>
          <w:p w14:paraId="5ECAF75C" w14:textId="77777777" w:rsidR="00062CEF" w:rsidRPr="000127EF" w:rsidRDefault="00062CEF" w:rsidP="009E51A5">
            <w:pPr>
              <w:jc w:val="center"/>
              <w:rPr>
                <w:b/>
                <w:i/>
              </w:rPr>
            </w:pPr>
            <w:r w:rsidRPr="000127EF">
              <w:rPr>
                <w:b/>
                <w:i/>
              </w:rPr>
              <w:t>£000</w:t>
            </w:r>
          </w:p>
        </w:tc>
        <w:tc>
          <w:tcPr>
            <w:tcW w:w="5634" w:type="dxa"/>
          </w:tcPr>
          <w:p w14:paraId="2B806EBF" w14:textId="77777777" w:rsidR="00062CEF" w:rsidRPr="000127EF" w:rsidRDefault="00062CEF" w:rsidP="009E51A5">
            <w:pPr>
              <w:jc w:val="center"/>
              <w:rPr>
                <w:b/>
              </w:rPr>
            </w:pPr>
          </w:p>
        </w:tc>
        <w:tc>
          <w:tcPr>
            <w:tcW w:w="1534" w:type="dxa"/>
            <w:shd w:val="clear" w:color="auto" w:fill="C5E0B3" w:themeFill="accent6" w:themeFillTint="66"/>
          </w:tcPr>
          <w:p w14:paraId="7925658F" w14:textId="77777777" w:rsidR="00062CEF" w:rsidRPr="00417E30" w:rsidRDefault="00062CEF" w:rsidP="009E51A5">
            <w:pPr>
              <w:jc w:val="center"/>
              <w:rPr>
                <w:b/>
              </w:rPr>
            </w:pPr>
            <w:r w:rsidRPr="00417E30">
              <w:rPr>
                <w:b/>
              </w:rPr>
              <w:t>£000</w:t>
            </w:r>
          </w:p>
        </w:tc>
      </w:tr>
      <w:tr w:rsidR="00D96A38" w:rsidRPr="000127EF" w14:paraId="5DE31EF8" w14:textId="77777777" w:rsidTr="00E165AE">
        <w:trPr>
          <w:jc w:val="center"/>
        </w:trPr>
        <w:tc>
          <w:tcPr>
            <w:tcW w:w="1454" w:type="dxa"/>
          </w:tcPr>
          <w:p w14:paraId="24215798" w14:textId="5BE03DB2" w:rsidR="00D96A38" w:rsidRPr="00D96A38" w:rsidRDefault="00D96A38" w:rsidP="00D96A38">
            <w:pPr>
              <w:jc w:val="right"/>
              <w:rPr>
                <w:i/>
              </w:rPr>
            </w:pPr>
            <w:r w:rsidRPr="00D96A38">
              <w:rPr>
                <w:i/>
              </w:rPr>
              <w:t>2</w:t>
            </w:r>
          </w:p>
        </w:tc>
        <w:tc>
          <w:tcPr>
            <w:tcW w:w="5634" w:type="dxa"/>
            <w:vAlign w:val="center"/>
          </w:tcPr>
          <w:p w14:paraId="2E2A2D73" w14:textId="77777777" w:rsidR="00D96A38" w:rsidRPr="000127EF" w:rsidRDefault="00D96A38" w:rsidP="00D96A38">
            <w:pPr>
              <w:rPr>
                <w:rFonts w:cs="Arial"/>
                <w:szCs w:val="22"/>
                <w:lang w:val="en-US"/>
              </w:rPr>
            </w:pPr>
            <w:r w:rsidRPr="000127EF">
              <w:rPr>
                <w:rFonts w:cs="Arial"/>
                <w:szCs w:val="22"/>
                <w:lang w:val="en-US"/>
              </w:rPr>
              <w:t>Cash held by the authority</w:t>
            </w:r>
          </w:p>
        </w:tc>
        <w:tc>
          <w:tcPr>
            <w:tcW w:w="1534" w:type="dxa"/>
            <w:shd w:val="clear" w:color="auto" w:fill="C5E0B3" w:themeFill="accent6" w:themeFillTint="66"/>
          </w:tcPr>
          <w:p w14:paraId="231E5657" w14:textId="43003D84" w:rsidR="00D96A38" w:rsidRPr="00417E30" w:rsidRDefault="00417E30" w:rsidP="00D96A38">
            <w:pPr>
              <w:jc w:val="right"/>
            </w:pPr>
            <w:r w:rsidRPr="00417E30">
              <w:t>2</w:t>
            </w:r>
          </w:p>
        </w:tc>
      </w:tr>
      <w:tr w:rsidR="00D96A38" w:rsidRPr="000127EF" w14:paraId="65BBB797" w14:textId="77777777" w:rsidTr="00E165AE">
        <w:trPr>
          <w:jc w:val="center"/>
        </w:trPr>
        <w:tc>
          <w:tcPr>
            <w:tcW w:w="1454" w:type="dxa"/>
            <w:tcBorders>
              <w:bottom w:val="nil"/>
            </w:tcBorders>
          </w:tcPr>
          <w:p w14:paraId="6D28085A" w14:textId="0CFF50EE" w:rsidR="00D96A38" w:rsidRPr="00D96A38" w:rsidRDefault="00D96A38" w:rsidP="00D96A38">
            <w:pPr>
              <w:jc w:val="right"/>
              <w:rPr>
                <w:i/>
              </w:rPr>
            </w:pPr>
            <w:r w:rsidRPr="00D96A38">
              <w:rPr>
                <w:i/>
              </w:rPr>
              <w:t>4,608</w:t>
            </w:r>
          </w:p>
        </w:tc>
        <w:tc>
          <w:tcPr>
            <w:tcW w:w="5634" w:type="dxa"/>
            <w:tcBorders>
              <w:bottom w:val="nil"/>
            </w:tcBorders>
          </w:tcPr>
          <w:p w14:paraId="33D552FE" w14:textId="77777777" w:rsidR="00D96A38" w:rsidRPr="000127EF" w:rsidRDefault="00D96A38" w:rsidP="00D96A38">
            <w:pPr>
              <w:rPr>
                <w:rFonts w:cs="Arial"/>
                <w:szCs w:val="22"/>
                <w:lang w:val="en-US"/>
              </w:rPr>
            </w:pPr>
            <w:r w:rsidRPr="000127EF">
              <w:rPr>
                <w:rFonts w:cs="Arial"/>
                <w:szCs w:val="22"/>
                <w:lang w:val="en-US"/>
              </w:rPr>
              <w:t>Bank current accounts in credit</w:t>
            </w:r>
          </w:p>
        </w:tc>
        <w:tc>
          <w:tcPr>
            <w:tcW w:w="1534" w:type="dxa"/>
            <w:tcBorders>
              <w:bottom w:val="nil"/>
            </w:tcBorders>
            <w:shd w:val="clear" w:color="auto" w:fill="C5E0B3" w:themeFill="accent6" w:themeFillTint="66"/>
          </w:tcPr>
          <w:p w14:paraId="19DD9C23" w14:textId="4237ADAC" w:rsidR="00D96A38" w:rsidRPr="00417E30" w:rsidRDefault="00417E30" w:rsidP="00D96A38">
            <w:pPr>
              <w:jc w:val="right"/>
            </w:pPr>
            <w:r w:rsidRPr="00417E30">
              <w:t>5,34</w:t>
            </w:r>
            <w:r w:rsidR="00772B4D">
              <w:t>3</w:t>
            </w:r>
          </w:p>
        </w:tc>
      </w:tr>
      <w:tr w:rsidR="00D96A38" w:rsidRPr="000127EF" w14:paraId="68C35DCA" w14:textId="77777777" w:rsidTr="00E165AE">
        <w:trPr>
          <w:jc w:val="center"/>
        </w:trPr>
        <w:tc>
          <w:tcPr>
            <w:tcW w:w="1454" w:type="dxa"/>
            <w:tcBorders>
              <w:bottom w:val="nil"/>
            </w:tcBorders>
          </w:tcPr>
          <w:p w14:paraId="6D7F03A1" w14:textId="0D91D0CB" w:rsidR="00D96A38" w:rsidRPr="00D96A38" w:rsidRDefault="00D96A38" w:rsidP="00D96A38">
            <w:pPr>
              <w:jc w:val="right"/>
              <w:rPr>
                <w:i/>
              </w:rPr>
            </w:pPr>
            <w:r w:rsidRPr="00D96A38">
              <w:rPr>
                <w:i/>
              </w:rPr>
              <w:t>-</w:t>
            </w:r>
          </w:p>
        </w:tc>
        <w:tc>
          <w:tcPr>
            <w:tcW w:w="5634" w:type="dxa"/>
            <w:tcBorders>
              <w:bottom w:val="nil"/>
            </w:tcBorders>
          </w:tcPr>
          <w:p w14:paraId="3CBB2748" w14:textId="77777777" w:rsidR="00D96A38" w:rsidRPr="000127EF" w:rsidRDefault="00D96A38" w:rsidP="00D96A38">
            <w:pPr>
              <w:rPr>
                <w:rFonts w:cs="Arial"/>
                <w:szCs w:val="22"/>
                <w:lang w:val="en-US"/>
              </w:rPr>
            </w:pPr>
            <w:r w:rsidRPr="000127EF">
              <w:rPr>
                <w:rFonts w:cs="Arial"/>
                <w:szCs w:val="22"/>
                <w:lang w:val="en-US"/>
              </w:rPr>
              <w:t>Short term deposits</w:t>
            </w:r>
          </w:p>
        </w:tc>
        <w:tc>
          <w:tcPr>
            <w:tcW w:w="1534" w:type="dxa"/>
            <w:tcBorders>
              <w:bottom w:val="nil"/>
            </w:tcBorders>
            <w:shd w:val="clear" w:color="auto" w:fill="C5E0B3" w:themeFill="accent6" w:themeFillTint="66"/>
          </w:tcPr>
          <w:p w14:paraId="72DECF4B" w14:textId="2DE91264" w:rsidR="00D96A38" w:rsidRPr="00417E30" w:rsidRDefault="00417E30" w:rsidP="00D96A38">
            <w:pPr>
              <w:jc w:val="right"/>
            </w:pPr>
            <w:r w:rsidRPr="00417E30">
              <w:t>0</w:t>
            </w:r>
          </w:p>
        </w:tc>
      </w:tr>
      <w:tr w:rsidR="00D96A38" w:rsidRPr="000127EF" w14:paraId="6E28871C" w14:textId="77777777" w:rsidTr="00E165AE">
        <w:trPr>
          <w:jc w:val="center"/>
        </w:trPr>
        <w:tc>
          <w:tcPr>
            <w:tcW w:w="1454" w:type="dxa"/>
            <w:tcBorders>
              <w:bottom w:val="nil"/>
            </w:tcBorders>
          </w:tcPr>
          <w:p w14:paraId="29F1FDCE" w14:textId="5D4C3C0D" w:rsidR="00D96A38" w:rsidRPr="00D96A38" w:rsidRDefault="00D96A38" w:rsidP="00D96A38">
            <w:pPr>
              <w:jc w:val="right"/>
              <w:rPr>
                <w:i/>
              </w:rPr>
            </w:pPr>
            <w:r w:rsidRPr="00D96A38">
              <w:rPr>
                <w:i/>
              </w:rPr>
              <w:t>(961)</w:t>
            </w:r>
          </w:p>
        </w:tc>
        <w:tc>
          <w:tcPr>
            <w:tcW w:w="5634" w:type="dxa"/>
            <w:tcBorders>
              <w:bottom w:val="nil"/>
            </w:tcBorders>
          </w:tcPr>
          <w:p w14:paraId="43A27F22" w14:textId="77777777" w:rsidR="00D96A38" w:rsidRPr="000127EF" w:rsidRDefault="00D96A38" w:rsidP="00D96A38">
            <w:pPr>
              <w:rPr>
                <w:rFonts w:cs="Arial"/>
                <w:szCs w:val="22"/>
                <w:lang w:val="en-US"/>
              </w:rPr>
            </w:pPr>
            <w:r w:rsidRPr="000127EF">
              <w:rPr>
                <w:rFonts w:cs="Arial"/>
                <w:szCs w:val="22"/>
                <w:lang w:val="en-US"/>
              </w:rPr>
              <w:t>Bank current accounts overdrawn</w:t>
            </w:r>
          </w:p>
        </w:tc>
        <w:tc>
          <w:tcPr>
            <w:tcW w:w="1534" w:type="dxa"/>
            <w:tcBorders>
              <w:bottom w:val="nil"/>
            </w:tcBorders>
            <w:shd w:val="clear" w:color="auto" w:fill="C5E0B3" w:themeFill="accent6" w:themeFillTint="66"/>
          </w:tcPr>
          <w:p w14:paraId="4BF41723" w14:textId="0730CB14" w:rsidR="00D96A38" w:rsidRPr="00417E30" w:rsidRDefault="00417E30" w:rsidP="00D96A38">
            <w:pPr>
              <w:jc w:val="right"/>
            </w:pPr>
            <w:r w:rsidRPr="00417E30">
              <w:t>(32)</w:t>
            </w:r>
          </w:p>
        </w:tc>
      </w:tr>
      <w:tr w:rsidR="00D96A38" w:rsidRPr="000127EF" w14:paraId="0EDAC4D4" w14:textId="77777777" w:rsidTr="00E165AE">
        <w:trPr>
          <w:jc w:val="center"/>
        </w:trPr>
        <w:tc>
          <w:tcPr>
            <w:tcW w:w="1454" w:type="dxa"/>
            <w:tcBorders>
              <w:top w:val="single" w:sz="8" w:space="0" w:color="auto"/>
              <w:bottom w:val="single" w:sz="8" w:space="0" w:color="auto"/>
            </w:tcBorders>
          </w:tcPr>
          <w:p w14:paraId="23D41E81" w14:textId="71E87BD7" w:rsidR="00D96A38" w:rsidRPr="00D96A38" w:rsidRDefault="00D96A38" w:rsidP="00D96A38">
            <w:pPr>
              <w:jc w:val="right"/>
              <w:rPr>
                <w:b/>
                <w:i/>
              </w:rPr>
            </w:pPr>
            <w:r w:rsidRPr="00D96A38">
              <w:rPr>
                <w:rFonts w:cs="Arial"/>
                <w:b/>
                <w:i/>
                <w:szCs w:val="22"/>
              </w:rPr>
              <w:fldChar w:fldCharType="begin"/>
            </w:r>
            <w:r w:rsidRPr="00D96A38">
              <w:rPr>
                <w:rFonts w:cs="Arial"/>
                <w:b/>
                <w:i/>
                <w:szCs w:val="22"/>
              </w:rPr>
              <w:instrText xml:space="preserve"> =SUM(c3:c6) </w:instrText>
            </w:r>
            <w:r w:rsidRPr="00D96A38">
              <w:rPr>
                <w:rFonts w:cs="Arial"/>
                <w:b/>
                <w:i/>
                <w:szCs w:val="22"/>
              </w:rPr>
              <w:fldChar w:fldCharType="separate"/>
            </w:r>
            <w:r w:rsidRPr="00D96A38">
              <w:rPr>
                <w:rFonts w:cs="Arial"/>
                <w:b/>
                <w:i/>
                <w:noProof/>
                <w:szCs w:val="22"/>
              </w:rPr>
              <w:t>3,649</w:t>
            </w:r>
            <w:r w:rsidRPr="00D96A38">
              <w:rPr>
                <w:rFonts w:cs="Arial"/>
                <w:b/>
                <w:i/>
                <w:szCs w:val="22"/>
              </w:rPr>
              <w:fldChar w:fldCharType="end"/>
            </w:r>
          </w:p>
        </w:tc>
        <w:tc>
          <w:tcPr>
            <w:tcW w:w="5634" w:type="dxa"/>
            <w:tcBorders>
              <w:bottom w:val="nil"/>
            </w:tcBorders>
          </w:tcPr>
          <w:p w14:paraId="1BA312E8" w14:textId="77777777" w:rsidR="00D96A38" w:rsidRPr="000127EF" w:rsidRDefault="00D96A38" w:rsidP="00D96A38">
            <w:pPr>
              <w:rPr>
                <w:b/>
              </w:rPr>
            </w:pPr>
            <w:r w:rsidRPr="000127EF">
              <w:rPr>
                <w:b/>
              </w:rPr>
              <w:t>Total</w:t>
            </w:r>
          </w:p>
        </w:tc>
        <w:tc>
          <w:tcPr>
            <w:tcW w:w="1534" w:type="dxa"/>
            <w:tcBorders>
              <w:top w:val="single" w:sz="8" w:space="0" w:color="auto"/>
              <w:bottom w:val="single" w:sz="8" w:space="0" w:color="auto"/>
            </w:tcBorders>
            <w:shd w:val="clear" w:color="auto" w:fill="C5E0B3" w:themeFill="accent6" w:themeFillTint="66"/>
          </w:tcPr>
          <w:p w14:paraId="5A19122A" w14:textId="27373C7E" w:rsidR="00D96A38" w:rsidRPr="00417E30" w:rsidRDefault="00417E30" w:rsidP="00D96A38">
            <w:pPr>
              <w:jc w:val="right"/>
              <w:rPr>
                <w:b/>
              </w:rPr>
            </w:pPr>
            <w:r w:rsidRPr="00417E30">
              <w:rPr>
                <w:b/>
              </w:rPr>
              <w:t>5,313</w:t>
            </w:r>
          </w:p>
        </w:tc>
      </w:tr>
      <w:tr w:rsidR="004B3FF4" w:rsidRPr="000127EF" w14:paraId="07272A11" w14:textId="77777777" w:rsidTr="009E51A5">
        <w:trPr>
          <w:trHeight w:hRule="exact" w:val="142"/>
          <w:jc w:val="center"/>
        </w:trPr>
        <w:tc>
          <w:tcPr>
            <w:tcW w:w="1454" w:type="dxa"/>
            <w:tcBorders>
              <w:top w:val="nil"/>
            </w:tcBorders>
          </w:tcPr>
          <w:p w14:paraId="79BDBE3F" w14:textId="77777777" w:rsidR="004B3FF4" w:rsidRPr="000127EF" w:rsidRDefault="004B3FF4" w:rsidP="004B3FF4">
            <w:pPr>
              <w:jc w:val="right"/>
              <w:rPr>
                <w:i/>
              </w:rPr>
            </w:pPr>
          </w:p>
        </w:tc>
        <w:tc>
          <w:tcPr>
            <w:tcW w:w="5634" w:type="dxa"/>
            <w:tcBorders>
              <w:top w:val="nil"/>
            </w:tcBorders>
          </w:tcPr>
          <w:p w14:paraId="7F3870CB" w14:textId="77777777" w:rsidR="004B3FF4" w:rsidRPr="000127EF" w:rsidRDefault="004B3FF4" w:rsidP="004B3FF4">
            <w:pPr>
              <w:jc w:val="both"/>
            </w:pPr>
          </w:p>
        </w:tc>
        <w:tc>
          <w:tcPr>
            <w:tcW w:w="1534" w:type="dxa"/>
            <w:tcBorders>
              <w:top w:val="nil"/>
            </w:tcBorders>
          </w:tcPr>
          <w:p w14:paraId="334C09F7" w14:textId="77777777" w:rsidR="004B3FF4" w:rsidRPr="00417E30" w:rsidRDefault="004B3FF4" w:rsidP="004B3FF4">
            <w:pPr>
              <w:jc w:val="right"/>
            </w:pPr>
          </w:p>
        </w:tc>
      </w:tr>
    </w:tbl>
    <w:p w14:paraId="04857FC8" w14:textId="77777777" w:rsidR="003C2365" w:rsidRPr="000127EF" w:rsidRDefault="0059003F" w:rsidP="00D162D1">
      <w:pPr>
        <w:pStyle w:val="Heading1"/>
        <w:numPr>
          <w:ilvl w:val="0"/>
          <w:numId w:val="8"/>
        </w:numPr>
        <w:ind w:left="426"/>
        <w:rPr>
          <w:sz w:val="22"/>
          <w:szCs w:val="22"/>
        </w:rPr>
      </w:pPr>
      <w:r w:rsidRPr="000127EF">
        <w:rPr>
          <w:sz w:val="22"/>
          <w:szCs w:val="22"/>
        </w:rPr>
        <w:t>Pension Schemes Accounted for as Defined Contribution Schemes</w:t>
      </w:r>
    </w:p>
    <w:p w14:paraId="1083D894" w14:textId="77777777" w:rsidR="0059003F" w:rsidRPr="00324A80" w:rsidRDefault="0059003F" w:rsidP="00CE4257">
      <w:pPr>
        <w:spacing w:after="120"/>
      </w:pPr>
      <w:r w:rsidRPr="00324A80">
        <w:t>Teachers employed by the authority are members of the Teachers' Pension Scheme administered by Capita Teachers’ Pensions on behalf of the Department for Education.  The scheme provides teachers with specified benefits upon their retirement and the authority contributes towards the cost by making contributions based on a percentage of members' pensionable salaries.</w:t>
      </w:r>
    </w:p>
    <w:p w14:paraId="2D184CBB" w14:textId="77777777" w:rsidR="0059003F" w:rsidRPr="00324A80" w:rsidRDefault="0059003F" w:rsidP="00CE4257">
      <w:pPr>
        <w:spacing w:after="120"/>
      </w:pPr>
      <w:r w:rsidRPr="00324A80">
        <w:t>The scheme is a multi-employer defined benefit scheme. However the scheme is unfunded and the Department for Education uses a national fund as the basis for calculating the employers' contribution rate paid by local authorities. The authority is not able to identify its share of the underlying financial position and performance of the scheme with sufficient reliability for accounting purposes.  For the purpose of this Statement of Accounts it is therefore accounted for on the same basis as a defined contribution scheme.</w:t>
      </w:r>
    </w:p>
    <w:p w14:paraId="2815E1F7" w14:textId="0835EAE7" w:rsidR="00C87DFB" w:rsidRPr="00324A80" w:rsidRDefault="00C87DFB" w:rsidP="00C87DFB">
      <w:pPr>
        <w:rPr>
          <w:rFonts w:cs="Arial"/>
          <w:szCs w:val="22"/>
        </w:rPr>
      </w:pPr>
      <w:r w:rsidRPr="00324A80">
        <w:rPr>
          <w:rFonts w:cs="Arial"/>
          <w:szCs w:val="22"/>
        </w:rPr>
        <w:t>In</w:t>
      </w:r>
      <w:r w:rsidR="00491505" w:rsidRPr="00324A80">
        <w:rPr>
          <w:rFonts w:cs="Arial"/>
          <w:szCs w:val="22"/>
        </w:rPr>
        <w:t xml:space="preserve"> 201</w:t>
      </w:r>
      <w:r w:rsidR="00734E53" w:rsidRPr="00324A80">
        <w:rPr>
          <w:rFonts w:cs="Arial"/>
          <w:szCs w:val="22"/>
        </w:rPr>
        <w:t>9/20</w:t>
      </w:r>
      <w:r w:rsidR="00491505" w:rsidRPr="00324A80">
        <w:rPr>
          <w:rFonts w:cs="Arial"/>
          <w:szCs w:val="22"/>
        </w:rPr>
        <w:t xml:space="preserve"> the authority paid £0.2</w:t>
      </w:r>
      <w:r w:rsidR="00734E53" w:rsidRPr="00324A80">
        <w:rPr>
          <w:rFonts w:cs="Arial"/>
          <w:szCs w:val="22"/>
        </w:rPr>
        <w:t>1</w:t>
      </w:r>
      <w:r w:rsidRPr="00324A80">
        <w:rPr>
          <w:rFonts w:cs="Arial"/>
          <w:szCs w:val="22"/>
        </w:rPr>
        <w:t xml:space="preserve"> million to Teacher's Pensions in respect of teachers' retirement benefits, representing </w:t>
      </w:r>
      <w:r w:rsidR="00734E53" w:rsidRPr="00324A80">
        <w:rPr>
          <w:rFonts w:cs="Arial"/>
          <w:szCs w:val="22"/>
        </w:rPr>
        <w:t>20.77</w:t>
      </w:r>
      <w:r w:rsidRPr="00324A80">
        <w:rPr>
          <w:rFonts w:cs="Arial"/>
          <w:szCs w:val="22"/>
        </w:rPr>
        <w:t>% of pensionable pay (£0.</w:t>
      </w:r>
      <w:r w:rsidR="00734E53" w:rsidRPr="00324A80">
        <w:rPr>
          <w:rFonts w:cs="Arial"/>
          <w:szCs w:val="22"/>
        </w:rPr>
        <w:t>25</w:t>
      </w:r>
      <w:r w:rsidR="00491505" w:rsidRPr="00324A80">
        <w:rPr>
          <w:rFonts w:cs="Arial"/>
          <w:szCs w:val="22"/>
        </w:rPr>
        <w:t xml:space="preserve"> million and 1</w:t>
      </w:r>
      <w:r w:rsidR="00734E53" w:rsidRPr="00324A80">
        <w:rPr>
          <w:rFonts w:cs="Arial"/>
          <w:szCs w:val="22"/>
        </w:rPr>
        <w:t>6.48</w:t>
      </w:r>
      <w:r w:rsidRPr="00324A80">
        <w:rPr>
          <w:rFonts w:cs="Arial"/>
          <w:szCs w:val="22"/>
        </w:rPr>
        <w:t>% in 201</w:t>
      </w:r>
      <w:r w:rsidR="00734E53" w:rsidRPr="00324A80">
        <w:rPr>
          <w:rFonts w:cs="Arial"/>
          <w:szCs w:val="22"/>
        </w:rPr>
        <w:t>8</w:t>
      </w:r>
      <w:r w:rsidRPr="00324A80">
        <w:rPr>
          <w:rFonts w:cs="Arial"/>
          <w:szCs w:val="22"/>
        </w:rPr>
        <w:t>/1</w:t>
      </w:r>
      <w:r w:rsidR="00734E53" w:rsidRPr="00324A80">
        <w:rPr>
          <w:rFonts w:cs="Arial"/>
          <w:szCs w:val="22"/>
        </w:rPr>
        <w:t>9</w:t>
      </w:r>
      <w:r w:rsidRPr="00324A80">
        <w:rPr>
          <w:rFonts w:cs="Arial"/>
          <w:szCs w:val="22"/>
        </w:rPr>
        <w:t xml:space="preserve">).There were no contributions remaining payable at the year end. </w:t>
      </w:r>
    </w:p>
    <w:p w14:paraId="5C2239F2" w14:textId="6A8A8D88" w:rsidR="00C87DFB" w:rsidRPr="00324A80" w:rsidRDefault="00C87DFB" w:rsidP="00C87DFB">
      <w:pPr>
        <w:rPr>
          <w:rFonts w:cs="Arial"/>
          <w:sz w:val="20"/>
        </w:rPr>
      </w:pPr>
      <w:r w:rsidRPr="00324A80">
        <w:rPr>
          <w:rFonts w:cs="Arial"/>
          <w:sz w:val="20"/>
        </w:rPr>
        <w:tab/>
      </w:r>
      <w:r w:rsidRPr="00324A80">
        <w:rPr>
          <w:rFonts w:cs="Arial"/>
          <w:sz w:val="20"/>
        </w:rPr>
        <w:tab/>
      </w:r>
      <w:r w:rsidRPr="00324A80">
        <w:rPr>
          <w:rFonts w:cs="Arial"/>
          <w:sz w:val="20"/>
        </w:rPr>
        <w:tab/>
      </w:r>
      <w:r w:rsidRPr="00324A80">
        <w:rPr>
          <w:rFonts w:cs="Arial"/>
          <w:sz w:val="20"/>
        </w:rPr>
        <w:tab/>
      </w:r>
      <w:r w:rsidRPr="00324A80">
        <w:rPr>
          <w:rFonts w:cs="Arial"/>
          <w:sz w:val="20"/>
        </w:rPr>
        <w:tab/>
      </w:r>
      <w:r w:rsidRPr="00324A80">
        <w:rPr>
          <w:rFonts w:cs="Arial"/>
          <w:sz w:val="20"/>
        </w:rPr>
        <w:tab/>
      </w:r>
      <w:r w:rsidRPr="00324A80">
        <w:rPr>
          <w:rFonts w:cs="Arial"/>
          <w:sz w:val="20"/>
        </w:rPr>
        <w:tab/>
      </w:r>
      <w:r w:rsidRPr="00324A80">
        <w:rPr>
          <w:rFonts w:cs="Arial"/>
          <w:sz w:val="20"/>
        </w:rPr>
        <w:tab/>
      </w:r>
    </w:p>
    <w:p w14:paraId="132850D1" w14:textId="77777777" w:rsidR="0059003F" w:rsidRDefault="0059003F" w:rsidP="00CE4257">
      <w:pPr>
        <w:spacing w:after="120"/>
      </w:pPr>
      <w:r w:rsidRPr="00324A80">
        <w:t>The authority is responsible for the costs of any additional benefits awarded upon early retirement outside of the terms of the teachers' scheme.</w:t>
      </w:r>
    </w:p>
    <w:p w14:paraId="2F022575" w14:textId="77777777" w:rsidR="00A974E3" w:rsidRPr="000127EF" w:rsidRDefault="00A974E3" w:rsidP="00CE4257">
      <w:pPr>
        <w:spacing w:after="120"/>
      </w:pPr>
    </w:p>
    <w:p w14:paraId="0CB117F4" w14:textId="77777777" w:rsidR="0059003F" w:rsidRPr="000127EF" w:rsidRDefault="0059003F" w:rsidP="00D162D1">
      <w:pPr>
        <w:pStyle w:val="Heading1"/>
        <w:numPr>
          <w:ilvl w:val="0"/>
          <w:numId w:val="8"/>
        </w:numPr>
        <w:ind w:left="426"/>
        <w:rPr>
          <w:sz w:val="22"/>
          <w:szCs w:val="22"/>
        </w:rPr>
      </w:pPr>
      <w:r w:rsidRPr="000127EF">
        <w:rPr>
          <w:sz w:val="22"/>
          <w:szCs w:val="22"/>
        </w:rPr>
        <w:lastRenderedPageBreak/>
        <w:t>Defined Benefit Pension Schemes</w:t>
      </w:r>
    </w:p>
    <w:p w14:paraId="00F09DB2" w14:textId="77777777" w:rsidR="0059003F" w:rsidRPr="000127EF" w:rsidRDefault="0059003F" w:rsidP="00CE4257">
      <w:pPr>
        <w:spacing w:after="120"/>
        <w:rPr>
          <w:b/>
        </w:rPr>
      </w:pPr>
      <w:r w:rsidRPr="000127EF">
        <w:rPr>
          <w:b/>
        </w:rPr>
        <w:t>Participation in pension schemes</w:t>
      </w:r>
    </w:p>
    <w:p w14:paraId="29DE7607" w14:textId="77777777" w:rsidR="0059003F" w:rsidRPr="000127EF" w:rsidRDefault="0059003F" w:rsidP="00CE4257">
      <w:pPr>
        <w:spacing w:after="120"/>
      </w:pPr>
      <w:r w:rsidRPr="000127EF">
        <w:t>As part of the terms and conditions of employment the authority offers retirement benefits.  Although these benefits will not actually be payable until employees retire, the authority has a commitment to make the payments that needs to be disclosed at the time that the employees earn their future entitlement.</w:t>
      </w:r>
      <w:r w:rsidRPr="000127EF">
        <w:tab/>
      </w:r>
      <w:r w:rsidRPr="000127EF">
        <w:tab/>
      </w:r>
      <w:r w:rsidRPr="000127EF">
        <w:tab/>
      </w:r>
      <w:r w:rsidRPr="000127EF">
        <w:tab/>
      </w:r>
      <w:r w:rsidRPr="000127EF">
        <w:tab/>
      </w:r>
      <w:r w:rsidRPr="000127EF">
        <w:tab/>
      </w:r>
      <w:r w:rsidRPr="000127EF">
        <w:tab/>
      </w:r>
      <w:r w:rsidRPr="000127EF">
        <w:tab/>
      </w:r>
      <w:r w:rsidRPr="000127EF">
        <w:tab/>
      </w:r>
      <w:r w:rsidRPr="000127EF">
        <w:tab/>
      </w:r>
    </w:p>
    <w:p w14:paraId="5662C582" w14:textId="77777777" w:rsidR="0059003F" w:rsidRPr="000127EF" w:rsidRDefault="0059003F" w:rsidP="00CE4257">
      <w:pPr>
        <w:spacing w:after="120"/>
      </w:pPr>
      <w:r w:rsidRPr="000127EF">
        <w:t>The authority participates in two post-employment schemes:</w:t>
      </w:r>
    </w:p>
    <w:p w14:paraId="263FDED6" w14:textId="77777777" w:rsidR="0059003F" w:rsidRPr="000127EF" w:rsidRDefault="0059003F" w:rsidP="005676B7">
      <w:pPr>
        <w:numPr>
          <w:ilvl w:val="0"/>
          <w:numId w:val="10"/>
        </w:numPr>
        <w:spacing w:after="240"/>
        <w:ind w:left="714" w:hanging="357"/>
        <w:contextualSpacing/>
        <w:jc w:val="both"/>
        <w:rPr>
          <w:rFonts w:cs="Arial"/>
          <w:szCs w:val="22"/>
        </w:rPr>
      </w:pPr>
      <w:r w:rsidRPr="000127EF">
        <w:rPr>
          <w:rFonts w:cs="Arial"/>
          <w:szCs w:val="22"/>
        </w:rPr>
        <w:t xml:space="preserve">the Local Government Pension Scheme (LGPS) administered locally by Leicestershire County Council; this is a funded defined benefit </w:t>
      </w:r>
      <w:r w:rsidR="00E01FAB" w:rsidRPr="000127EF">
        <w:rPr>
          <w:rFonts w:cs="Arial"/>
          <w:szCs w:val="22"/>
        </w:rPr>
        <w:t>career average</w:t>
      </w:r>
      <w:r w:rsidRPr="000127EF">
        <w:rPr>
          <w:rFonts w:cs="Arial"/>
          <w:szCs w:val="22"/>
        </w:rPr>
        <w:t xml:space="preserve"> salary scheme, meaning that the authority and employees pay contributions into a fund, calculated at a level intended to balance the pensions liabilities with investment assets</w:t>
      </w:r>
    </w:p>
    <w:p w14:paraId="7B54885D" w14:textId="77777777" w:rsidR="0059003F" w:rsidRPr="000127EF" w:rsidRDefault="0059003F" w:rsidP="005676B7">
      <w:pPr>
        <w:numPr>
          <w:ilvl w:val="0"/>
          <w:numId w:val="10"/>
        </w:numPr>
        <w:spacing w:after="120"/>
        <w:ind w:left="714" w:hanging="357"/>
        <w:jc w:val="both"/>
      </w:pPr>
      <w:r w:rsidRPr="000127EF">
        <w:rPr>
          <w:rFonts w:cs="Arial"/>
          <w:szCs w:val="22"/>
        </w:rPr>
        <w:t>the Teachers' Pension Scheme, administered by Capita Teachers' Pensions on behalf of the Department for Education (DfE) (see note 3</w:t>
      </w:r>
      <w:r w:rsidR="007B34F4" w:rsidRPr="000127EF">
        <w:rPr>
          <w:rFonts w:cs="Arial"/>
          <w:szCs w:val="22"/>
        </w:rPr>
        <w:t>0</w:t>
      </w:r>
      <w:r w:rsidRPr="000127EF">
        <w:rPr>
          <w:rFonts w:cs="Arial"/>
          <w:szCs w:val="22"/>
        </w:rPr>
        <w:t xml:space="preserve"> above).</w:t>
      </w:r>
      <w:r w:rsidRPr="000127EF">
        <w:tab/>
      </w:r>
      <w:r w:rsidRPr="000127EF">
        <w:tab/>
      </w:r>
    </w:p>
    <w:p w14:paraId="750042B4" w14:textId="77777777" w:rsidR="0059003F" w:rsidRPr="000127EF" w:rsidRDefault="0059003F" w:rsidP="0059003F">
      <w:pPr>
        <w:spacing w:after="120"/>
        <w:rPr>
          <w:b/>
        </w:rPr>
      </w:pPr>
      <w:r w:rsidRPr="000127EF">
        <w:rPr>
          <w:b/>
        </w:rPr>
        <w:t>Transactions relating to post-employment benefits</w:t>
      </w:r>
    </w:p>
    <w:p w14:paraId="260BFB63" w14:textId="77777777" w:rsidR="0059003F" w:rsidRPr="000127EF" w:rsidRDefault="0059003F" w:rsidP="0059003F">
      <w:pPr>
        <w:spacing w:after="240"/>
      </w:pPr>
      <w:r w:rsidRPr="000127EF">
        <w:t>The Council recognise the cost of retirement benefits in the reported cost of services when they are earned by employees, rather than when the benefits are eventually paid as pensions.  However, the charge we are required to make against council tax is based on the cash payable in the year, so the real cost of post-employment/retirement benefits is reversed out of the General Fund in the Movement in Reserves Statement. The following transactions have been made in the Comprehensive Income and Expenditure Statement and Movement in Reserves Statement during the year:</w:t>
      </w:r>
    </w:p>
    <w:p w14:paraId="63BAF01F" w14:textId="77777777" w:rsidR="0059003F" w:rsidRPr="000127EF" w:rsidRDefault="0059003F" w:rsidP="0059003F">
      <w:pPr>
        <w:spacing w:after="240"/>
      </w:pPr>
    </w:p>
    <w:tbl>
      <w:tblPr>
        <w:tblStyle w:val="TableGrid"/>
        <w:tblpPr w:leftFromText="180" w:rightFromText="180" w:vertAnchor="text" w:horzAnchor="page" w:tblpX="1666" w:tblpY="-578"/>
        <w:tblW w:w="8199"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111"/>
      </w:tblGrid>
      <w:tr w:rsidR="007A79E7" w:rsidRPr="000127EF" w14:paraId="6A17B790" w14:textId="77777777" w:rsidTr="007A79E7">
        <w:trPr>
          <w:trHeight w:val="283"/>
        </w:trPr>
        <w:tc>
          <w:tcPr>
            <w:tcW w:w="1454" w:type="dxa"/>
          </w:tcPr>
          <w:p w14:paraId="1A6B2D2D" w14:textId="060B6C06" w:rsidR="007A79E7" w:rsidRPr="000127EF" w:rsidRDefault="00D96A38" w:rsidP="007A79E7">
            <w:pPr>
              <w:jc w:val="center"/>
              <w:rPr>
                <w:b/>
                <w:i/>
              </w:rPr>
            </w:pPr>
            <w:r>
              <w:rPr>
                <w:b/>
                <w:i/>
              </w:rPr>
              <w:t>2018/19</w:t>
            </w:r>
          </w:p>
        </w:tc>
        <w:tc>
          <w:tcPr>
            <w:tcW w:w="5634" w:type="dxa"/>
            <w:vAlign w:val="center"/>
          </w:tcPr>
          <w:p w14:paraId="1CB0D9E3" w14:textId="77777777" w:rsidR="007A79E7" w:rsidRPr="000127EF" w:rsidRDefault="007A79E7" w:rsidP="007A79E7">
            <w:pPr>
              <w:jc w:val="center"/>
              <w:rPr>
                <w:b/>
              </w:rPr>
            </w:pPr>
            <w:r w:rsidRPr="000127EF">
              <w:rPr>
                <w:b/>
              </w:rPr>
              <w:t>Comprehensive Income &amp; Expenditure Statement</w:t>
            </w:r>
          </w:p>
        </w:tc>
        <w:tc>
          <w:tcPr>
            <w:tcW w:w="1111" w:type="dxa"/>
          </w:tcPr>
          <w:p w14:paraId="47A39854" w14:textId="33193B61" w:rsidR="007A79E7" w:rsidRPr="0058695E" w:rsidRDefault="00D96A38" w:rsidP="007A79E7">
            <w:pPr>
              <w:jc w:val="center"/>
              <w:rPr>
                <w:b/>
              </w:rPr>
            </w:pPr>
            <w:r w:rsidRPr="0058695E">
              <w:rPr>
                <w:b/>
              </w:rPr>
              <w:t>2019/20</w:t>
            </w:r>
          </w:p>
        </w:tc>
      </w:tr>
      <w:tr w:rsidR="007A79E7" w:rsidRPr="000127EF" w14:paraId="44CC25F9" w14:textId="77777777" w:rsidTr="007A79E7">
        <w:tc>
          <w:tcPr>
            <w:tcW w:w="1454" w:type="dxa"/>
          </w:tcPr>
          <w:p w14:paraId="2AEA027B" w14:textId="77777777" w:rsidR="007A79E7" w:rsidRPr="000127EF" w:rsidRDefault="007A79E7" w:rsidP="007A79E7">
            <w:pPr>
              <w:jc w:val="center"/>
              <w:rPr>
                <w:b/>
                <w:i/>
              </w:rPr>
            </w:pPr>
            <w:r w:rsidRPr="000127EF">
              <w:rPr>
                <w:b/>
                <w:i/>
              </w:rPr>
              <w:t>£000</w:t>
            </w:r>
          </w:p>
        </w:tc>
        <w:tc>
          <w:tcPr>
            <w:tcW w:w="5634" w:type="dxa"/>
          </w:tcPr>
          <w:p w14:paraId="6E6DE320" w14:textId="77777777" w:rsidR="007A79E7" w:rsidRPr="000127EF" w:rsidRDefault="007A79E7" w:rsidP="007A79E7">
            <w:pPr>
              <w:jc w:val="center"/>
              <w:rPr>
                <w:b/>
              </w:rPr>
            </w:pPr>
          </w:p>
        </w:tc>
        <w:tc>
          <w:tcPr>
            <w:tcW w:w="1111" w:type="dxa"/>
            <w:shd w:val="clear" w:color="auto" w:fill="C5E0B3" w:themeFill="accent6" w:themeFillTint="66"/>
          </w:tcPr>
          <w:p w14:paraId="08AF368B" w14:textId="77777777" w:rsidR="007A79E7" w:rsidRPr="0058695E" w:rsidRDefault="007A79E7" w:rsidP="007A79E7">
            <w:pPr>
              <w:jc w:val="center"/>
              <w:rPr>
                <w:b/>
              </w:rPr>
            </w:pPr>
            <w:r w:rsidRPr="0058695E">
              <w:rPr>
                <w:b/>
              </w:rPr>
              <w:t>£000</w:t>
            </w:r>
          </w:p>
        </w:tc>
      </w:tr>
      <w:tr w:rsidR="007A79E7" w:rsidRPr="000127EF" w14:paraId="01E67DFD" w14:textId="77777777" w:rsidTr="007A79E7">
        <w:tc>
          <w:tcPr>
            <w:tcW w:w="1454" w:type="dxa"/>
            <w:vAlign w:val="center"/>
          </w:tcPr>
          <w:p w14:paraId="66D99320" w14:textId="77777777" w:rsidR="007A79E7" w:rsidRPr="000127EF" w:rsidRDefault="007A79E7" w:rsidP="007A79E7">
            <w:pPr>
              <w:jc w:val="right"/>
              <w:rPr>
                <w:i/>
              </w:rPr>
            </w:pPr>
          </w:p>
        </w:tc>
        <w:tc>
          <w:tcPr>
            <w:tcW w:w="5634" w:type="dxa"/>
            <w:vAlign w:val="center"/>
          </w:tcPr>
          <w:p w14:paraId="43EE3261" w14:textId="77777777" w:rsidR="007A79E7" w:rsidRPr="000127EF" w:rsidRDefault="007A79E7" w:rsidP="007A79E7">
            <w:pPr>
              <w:rPr>
                <w:rFonts w:cs="Arial"/>
                <w:szCs w:val="22"/>
                <w:lang w:val="en-US"/>
              </w:rPr>
            </w:pPr>
            <w:r w:rsidRPr="000127EF">
              <w:rPr>
                <w:rFonts w:cs="Arial"/>
                <w:szCs w:val="22"/>
                <w:lang w:val="en-US"/>
              </w:rPr>
              <w:t>Cost of Service</w:t>
            </w:r>
          </w:p>
        </w:tc>
        <w:tc>
          <w:tcPr>
            <w:tcW w:w="1111" w:type="dxa"/>
            <w:shd w:val="clear" w:color="auto" w:fill="C5E0B3" w:themeFill="accent6" w:themeFillTint="66"/>
            <w:vAlign w:val="center"/>
          </w:tcPr>
          <w:p w14:paraId="240F8177" w14:textId="77777777" w:rsidR="007A79E7" w:rsidRPr="0058695E" w:rsidRDefault="007A79E7" w:rsidP="007A79E7">
            <w:pPr>
              <w:jc w:val="right"/>
            </w:pPr>
          </w:p>
        </w:tc>
      </w:tr>
      <w:tr w:rsidR="00D96A38" w:rsidRPr="000127EF" w14:paraId="507C0850" w14:textId="77777777" w:rsidTr="007A79E7">
        <w:tc>
          <w:tcPr>
            <w:tcW w:w="1454" w:type="dxa"/>
            <w:vAlign w:val="center"/>
          </w:tcPr>
          <w:p w14:paraId="027BF887" w14:textId="6F2508CA" w:rsidR="00D96A38" w:rsidRPr="00D96A38" w:rsidRDefault="00D96A38" w:rsidP="00D96A38">
            <w:pPr>
              <w:jc w:val="right"/>
              <w:rPr>
                <w:i/>
              </w:rPr>
            </w:pPr>
            <w:r w:rsidRPr="00D96A38">
              <w:rPr>
                <w:i/>
              </w:rPr>
              <w:t>3,732</w:t>
            </w:r>
          </w:p>
        </w:tc>
        <w:tc>
          <w:tcPr>
            <w:tcW w:w="5634" w:type="dxa"/>
            <w:vAlign w:val="center"/>
          </w:tcPr>
          <w:p w14:paraId="68FA0D90" w14:textId="77777777" w:rsidR="00D96A38" w:rsidRPr="000127EF" w:rsidRDefault="00D96A38" w:rsidP="00D96A38">
            <w:pPr>
              <w:ind w:left="198"/>
              <w:rPr>
                <w:rFonts w:cs="Arial"/>
                <w:szCs w:val="22"/>
                <w:lang w:val="en-US"/>
              </w:rPr>
            </w:pPr>
            <w:r w:rsidRPr="000127EF">
              <w:rPr>
                <w:rFonts w:cs="Arial"/>
                <w:szCs w:val="22"/>
                <w:lang w:val="en-US"/>
              </w:rPr>
              <w:t>Current Service Cost</w:t>
            </w:r>
          </w:p>
        </w:tc>
        <w:tc>
          <w:tcPr>
            <w:tcW w:w="1111" w:type="dxa"/>
            <w:shd w:val="clear" w:color="auto" w:fill="C5E0B3" w:themeFill="accent6" w:themeFillTint="66"/>
            <w:vAlign w:val="center"/>
          </w:tcPr>
          <w:p w14:paraId="5BE738D4" w14:textId="4F7957E3" w:rsidR="00D96A38" w:rsidRPr="0058695E" w:rsidRDefault="00350968" w:rsidP="00D96A38">
            <w:pPr>
              <w:jc w:val="right"/>
            </w:pPr>
            <w:r w:rsidRPr="0058695E">
              <w:t>4,738</w:t>
            </w:r>
          </w:p>
        </w:tc>
      </w:tr>
      <w:tr w:rsidR="00D96A38" w:rsidRPr="000127EF" w14:paraId="0F1EF978" w14:textId="77777777" w:rsidTr="007A79E7">
        <w:tc>
          <w:tcPr>
            <w:tcW w:w="1454" w:type="dxa"/>
            <w:tcBorders>
              <w:bottom w:val="nil"/>
            </w:tcBorders>
            <w:vAlign w:val="center"/>
          </w:tcPr>
          <w:p w14:paraId="4157C319" w14:textId="3F61873C" w:rsidR="00D96A38" w:rsidRPr="00D96A38" w:rsidRDefault="00350968" w:rsidP="00D96A38">
            <w:pPr>
              <w:jc w:val="right"/>
              <w:rPr>
                <w:i/>
              </w:rPr>
            </w:pPr>
            <w:r>
              <w:rPr>
                <w:i/>
              </w:rPr>
              <w:t>712</w:t>
            </w:r>
          </w:p>
        </w:tc>
        <w:tc>
          <w:tcPr>
            <w:tcW w:w="5634" w:type="dxa"/>
            <w:tcBorders>
              <w:bottom w:val="nil"/>
            </w:tcBorders>
          </w:tcPr>
          <w:p w14:paraId="5EE46E59" w14:textId="77777777" w:rsidR="00D96A38" w:rsidRPr="000127EF" w:rsidRDefault="00D96A38" w:rsidP="00D96A38">
            <w:pPr>
              <w:ind w:left="198"/>
              <w:rPr>
                <w:rFonts w:cs="Arial"/>
                <w:szCs w:val="22"/>
                <w:lang w:val="en-US"/>
              </w:rPr>
            </w:pPr>
            <w:r w:rsidRPr="000127EF">
              <w:rPr>
                <w:rFonts w:cs="Arial"/>
                <w:szCs w:val="22"/>
                <w:lang w:val="en-US"/>
              </w:rPr>
              <w:t>Past Service Cost</w:t>
            </w:r>
          </w:p>
        </w:tc>
        <w:tc>
          <w:tcPr>
            <w:tcW w:w="1111" w:type="dxa"/>
            <w:tcBorders>
              <w:bottom w:val="nil"/>
            </w:tcBorders>
            <w:shd w:val="clear" w:color="auto" w:fill="C5E0B3" w:themeFill="accent6" w:themeFillTint="66"/>
            <w:vAlign w:val="center"/>
          </w:tcPr>
          <w:p w14:paraId="7C6A251E" w14:textId="6514082F" w:rsidR="00D96A38" w:rsidRPr="0058695E" w:rsidRDefault="00350968" w:rsidP="00D96A38">
            <w:pPr>
              <w:jc w:val="right"/>
            </w:pPr>
            <w:r w:rsidRPr="0058695E">
              <w:t>17</w:t>
            </w:r>
          </w:p>
        </w:tc>
      </w:tr>
      <w:tr w:rsidR="00D96A38" w:rsidRPr="000127EF" w14:paraId="0F7BE982" w14:textId="77777777" w:rsidTr="007A79E7">
        <w:tc>
          <w:tcPr>
            <w:tcW w:w="1454" w:type="dxa"/>
            <w:tcBorders>
              <w:bottom w:val="nil"/>
            </w:tcBorders>
            <w:vAlign w:val="center"/>
          </w:tcPr>
          <w:p w14:paraId="3AEE0061" w14:textId="77777777" w:rsidR="00D96A38" w:rsidRPr="00D96A38" w:rsidRDefault="00D96A38" w:rsidP="00D96A38">
            <w:pPr>
              <w:jc w:val="right"/>
              <w:rPr>
                <w:i/>
              </w:rPr>
            </w:pPr>
          </w:p>
        </w:tc>
        <w:tc>
          <w:tcPr>
            <w:tcW w:w="5634" w:type="dxa"/>
            <w:tcBorders>
              <w:bottom w:val="nil"/>
            </w:tcBorders>
          </w:tcPr>
          <w:p w14:paraId="57916E17" w14:textId="77777777" w:rsidR="00D96A38" w:rsidRPr="000127EF" w:rsidRDefault="00D96A38" w:rsidP="00D96A38">
            <w:pPr>
              <w:rPr>
                <w:rFonts w:cs="Arial"/>
                <w:szCs w:val="22"/>
                <w:lang w:val="en-US"/>
              </w:rPr>
            </w:pPr>
            <w:r w:rsidRPr="000127EF">
              <w:rPr>
                <w:rFonts w:cs="Arial"/>
                <w:szCs w:val="22"/>
                <w:lang w:val="en-US"/>
              </w:rPr>
              <w:t>Financing &amp; Investment Income &amp; Expenditure</w:t>
            </w:r>
          </w:p>
        </w:tc>
        <w:tc>
          <w:tcPr>
            <w:tcW w:w="1111" w:type="dxa"/>
            <w:tcBorders>
              <w:bottom w:val="nil"/>
            </w:tcBorders>
            <w:shd w:val="clear" w:color="auto" w:fill="C5E0B3" w:themeFill="accent6" w:themeFillTint="66"/>
            <w:vAlign w:val="center"/>
          </w:tcPr>
          <w:p w14:paraId="013954EE" w14:textId="1B8DDA65" w:rsidR="00D96A38" w:rsidRPr="0058695E" w:rsidRDefault="00350968" w:rsidP="00D96A38">
            <w:pPr>
              <w:jc w:val="right"/>
            </w:pPr>
            <w:r w:rsidRPr="0058695E">
              <w:t>0</w:t>
            </w:r>
          </w:p>
        </w:tc>
      </w:tr>
      <w:tr w:rsidR="00D96A38" w:rsidRPr="000127EF" w14:paraId="0F0CCA29" w14:textId="77777777" w:rsidTr="007A79E7">
        <w:tc>
          <w:tcPr>
            <w:tcW w:w="1454" w:type="dxa"/>
            <w:tcBorders>
              <w:bottom w:val="single" w:sz="8" w:space="0" w:color="auto"/>
            </w:tcBorders>
            <w:vAlign w:val="center"/>
          </w:tcPr>
          <w:p w14:paraId="1FB9D8CD" w14:textId="6497092C" w:rsidR="00D96A38" w:rsidRPr="00D96A38" w:rsidRDefault="00D96A38" w:rsidP="00D96A38">
            <w:pPr>
              <w:jc w:val="right"/>
              <w:rPr>
                <w:i/>
              </w:rPr>
            </w:pPr>
            <w:r w:rsidRPr="00D96A38">
              <w:rPr>
                <w:i/>
              </w:rPr>
              <w:t>1,0</w:t>
            </w:r>
            <w:r w:rsidR="00350968">
              <w:rPr>
                <w:i/>
              </w:rPr>
              <w:t>2</w:t>
            </w:r>
            <w:r w:rsidRPr="00D96A38">
              <w:rPr>
                <w:i/>
              </w:rPr>
              <w:t>9</w:t>
            </w:r>
          </w:p>
        </w:tc>
        <w:tc>
          <w:tcPr>
            <w:tcW w:w="5634" w:type="dxa"/>
            <w:tcBorders>
              <w:bottom w:val="nil"/>
            </w:tcBorders>
          </w:tcPr>
          <w:p w14:paraId="37BEF4C5" w14:textId="77777777" w:rsidR="00D96A38" w:rsidRPr="000127EF" w:rsidRDefault="00D96A38" w:rsidP="00D96A38">
            <w:pPr>
              <w:ind w:left="198"/>
              <w:rPr>
                <w:rFonts w:cs="Arial"/>
                <w:szCs w:val="22"/>
                <w:lang w:val="en-US"/>
              </w:rPr>
            </w:pPr>
            <w:r w:rsidRPr="000127EF">
              <w:rPr>
                <w:rFonts w:cs="Arial"/>
                <w:szCs w:val="22"/>
                <w:lang w:val="en-US"/>
              </w:rPr>
              <w:t>Net interest expense</w:t>
            </w:r>
          </w:p>
        </w:tc>
        <w:tc>
          <w:tcPr>
            <w:tcW w:w="1111" w:type="dxa"/>
            <w:tcBorders>
              <w:bottom w:val="single" w:sz="8" w:space="0" w:color="auto"/>
            </w:tcBorders>
            <w:shd w:val="clear" w:color="auto" w:fill="C5E0B3" w:themeFill="accent6" w:themeFillTint="66"/>
            <w:vAlign w:val="center"/>
          </w:tcPr>
          <w:p w14:paraId="33C105EB" w14:textId="77568D7E" w:rsidR="00D96A38" w:rsidRPr="0058695E" w:rsidRDefault="00350968" w:rsidP="00D96A38">
            <w:pPr>
              <w:jc w:val="right"/>
            </w:pPr>
            <w:r w:rsidRPr="0058695E">
              <w:t>1</w:t>
            </w:r>
            <w:r w:rsidR="0058695E" w:rsidRPr="0058695E">
              <w:t>,</w:t>
            </w:r>
            <w:r w:rsidRPr="0058695E">
              <w:t>156</w:t>
            </w:r>
          </w:p>
        </w:tc>
      </w:tr>
      <w:tr w:rsidR="00D96A38" w:rsidRPr="000127EF" w14:paraId="3AEEA956" w14:textId="77777777" w:rsidTr="007A79E7">
        <w:tc>
          <w:tcPr>
            <w:tcW w:w="1454" w:type="dxa"/>
            <w:tcBorders>
              <w:top w:val="single" w:sz="8" w:space="0" w:color="auto"/>
              <w:bottom w:val="single" w:sz="4" w:space="0" w:color="auto"/>
            </w:tcBorders>
            <w:vAlign w:val="center"/>
          </w:tcPr>
          <w:p w14:paraId="78B44CCD" w14:textId="4E7F0565" w:rsidR="00D96A38" w:rsidRPr="00D96A38" w:rsidRDefault="00350968" w:rsidP="00350968">
            <w:pPr>
              <w:jc w:val="right"/>
              <w:rPr>
                <w:b/>
                <w:i/>
              </w:rPr>
            </w:pPr>
            <w:r>
              <w:rPr>
                <w:b/>
                <w:i/>
              </w:rPr>
              <w:t>5</w:t>
            </w:r>
            <w:r w:rsidR="0058695E">
              <w:rPr>
                <w:b/>
                <w:i/>
              </w:rPr>
              <w:t>,</w:t>
            </w:r>
            <w:r>
              <w:rPr>
                <w:b/>
                <w:i/>
              </w:rPr>
              <w:t>473</w:t>
            </w:r>
          </w:p>
        </w:tc>
        <w:tc>
          <w:tcPr>
            <w:tcW w:w="5634" w:type="dxa"/>
            <w:tcBorders>
              <w:bottom w:val="nil"/>
            </w:tcBorders>
          </w:tcPr>
          <w:p w14:paraId="37F3405F" w14:textId="77777777" w:rsidR="00D96A38" w:rsidRPr="000127EF" w:rsidRDefault="00D96A38" w:rsidP="00D96A38">
            <w:pPr>
              <w:rPr>
                <w:rFonts w:cs="Arial"/>
                <w:b/>
                <w:szCs w:val="22"/>
                <w:lang w:val="en-US"/>
              </w:rPr>
            </w:pPr>
            <w:r w:rsidRPr="000127EF">
              <w:rPr>
                <w:rFonts w:cs="Arial"/>
                <w:b/>
                <w:szCs w:val="22"/>
                <w:lang w:val="en-US"/>
              </w:rPr>
              <w:t>Total post-employment benefits charged to the surplus or deficit on the provision of services</w:t>
            </w:r>
          </w:p>
        </w:tc>
        <w:tc>
          <w:tcPr>
            <w:tcW w:w="1111" w:type="dxa"/>
            <w:tcBorders>
              <w:top w:val="single" w:sz="8" w:space="0" w:color="auto"/>
              <w:bottom w:val="single" w:sz="4" w:space="0" w:color="auto"/>
            </w:tcBorders>
            <w:shd w:val="clear" w:color="auto" w:fill="C5E0B3" w:themeFill="accent6" w:themeFillTint="66"/>
            <w:vAlign w:val="center"/>
          </w:tcPr>
          <w:p w14:paraId="09F94592" w14:textId="3AF580AF" w:rsidR="00D96A38" w:rsidRPr="0058695E" w:rsidRDefault="00350968" w:rsidP="00D96A38">
            <w:pPr>
              <w:jc w:val="right"/>
              <w:rPr>
                <w:b/>
              </w:rPr>
            </w:pPr>
            <w:r w:rsidRPr="0058695E">
              <w:rPr>
                <w:b/>
              </w:rPr>
              <w:t>5</w:t>
            </w:r>
            <w:r w:rsidR="0058695E" w:rsidRPr="0058695E">
              <w:rPr>
                <w:b/>
              </w:rPr>
              <w:t>,</w:t>
            </w:r>
            <w:r w:rsidRPr="0058695E">
              <w:rPr>
                <w:b/>
              </w:rPr>
              <w:t>911</w:t>
            </w:r>
          </w:p>
        </w:tc>
      </w:tr>
      <w:tr w:rsidR="00D96A38" w:rsidRPr="000127EF" w14:paraId="664C7348" w14:textId="77777777" w:rsidTr="007A79E7">
        <w:tc>
          <w:tcPr>
            <w:tcW w:w="1454" w:type="dxa"/>
            <w:tcBorders>
              <w:top w:val="single" w:sz="4" w:space="0" w:color="auto"/>
              <w:bottom w:val="nil"/>
            </w:tcBorders>
            <w:vAlign w:val="center"/>
          </w:tcPr>
          <w:p w14:paraId="70E32407" w14:textId="77777777" w:rsidR="00D96A38" w:rsidRPr="00D96A38" w:rsidRDefault="00D96A38" w:rsidP="00D96A38">
            <w:pPr>
              <w:jc w:val="right"/>
              <w:rPr>
                <w:i/>
              </w:rPr>
            </w:pPr>
          </w:p>
        </w:tc>
        <w:tc>
          <w:tcPr>
            <w:tcW w:w="5634" w:type="dxa"/>
            <w:tcBorders>
              <w:bottom w:val="nil"/>
            </w:tcBorders>
          </w:tcPr>
          <w:p w14:paraId="54EA0DF0" w14:textId="77777777" w:rsidR="00D96A38" w:rsidRPr="000127EF" w:rsidRDefault="00D96A38" w:rsidP="00D96A38">
            <w:pPr>
              <w:rPr>
                <w:rFonts w:cs="Arial"/>
                <w:szCs w:val="22"/>
                <w:lang w:val="en-US"/>
              </w:rPr>
            </w:pPr>
            <w:r w:rsidRPr="000127EF">
              <w:rPr>
                <w:rFonts w:cs="Arial"/>
                <w:szCs w:val="22"/>
                <w:lang w:val="en-US"/>
              </w:rPr>
              <w:t>Other post-employment benefits charged to the CIES</w:t>
            </w:r>
          </w:p>
        </w:tc>
        <w:tc>
          <w:tcPr>
            <w:tcW w:w="1111" w:type="dxa"/>
            <w:tcBorders>
              <w:top w:val="single" w:sz="4" w:space="0" w:color="auto"/>
              <w:bottom w:val="nil"/>
            </w:tcBorders>
            <w:shd w:val="clear" w:color="auto" w:fill="C5E0B3" w:themeFill="accent6" w:themeFillTint="66"/>
            <w:vAlign w:val="center"/>
          </w:tcPr>
          <w:p w14:paraId="32259185" w14:textId="77777777" w:rsidR="00D96A38" w:rsidRPr="0058695E" w:rsidRDefault="00D96A38" w:rsidP="00D96A38">
            <w:pPr>
              <w:jc w:val="right"/>
            </w:pPr>
          </w:p>
        </w:tc>
      </w:tr>
      <w:tr w:rsidR="00D96A38" w:rsidRPr="000127EF" w14:paraId="3B2E0421" w14:textId="77777777" w:rsidTr="007A79E7">
        <w:tc>
          <w:tcPr>
            <w:tcW w:w="1454" w:type="dxa"/>
            <w:tcBorders>
              <w:bottom w:val="nil"/>
            </w:tcBorders>
            <w:vAlign w:val="center"/>
          </w:tcPr>
          <w:p w14:paraId="1DEF7470" w14:textId="1202D957" w:rsidR="00D96A38" w:rsidRPr="00D96A38" w:rsidRDefault="00D96A38" w:rsidP="00D96A38">
            <w:pPr>
              <w:jc w:val="right"/>
              <w:rPr>
                <w:i/>
              </w:rPr>
            </w:pPr>
            <w:r w:rsidRPr="00D96A38">
              <w:rPr>
                <w:i/>
              </w:rPr>
              <w:t>(</w:t>
            </w:r>
            <w:r w:rsidR="00350968">
              <w:rPr>
                <w:i/>
              </w:rPr>
              <w:t>2,028)</w:t>
            </w:r>
          </w:p>
        </w:tc>
        <w:tc>
          <w:tcPr>
            <w:tcW w:w="5634" w:type="dxa"/>
            <w:tcBorders>
              <w:bottom w:val="nil"/>
            </w:tcBorders>
          </w:tcPr>
          <w:p w14:paraId="0652BA04" w14:textId="77777777" w:rsidR="00D96A38" w:rsidRPr="000127EF" w:rsidRDefault="00D96A38" w:rsidP="00D96A38">
            <w:pPr>
              <w:ind w:left="198"/>
              <w:rPr>
                <w:rFonts w:cs="Arial"/>
                <w:szCs w:val="22"/>
                <w:lang w:val="en-US"/>
              </w:rPr>
            </w:pPr>
            <w:r w:rsidRPr="000127EF">
              <w:rPr>
                <w:rFonts w:cs="Arial"/>
                <w:szCs w:val="22"/>
                <w:lang w:val="en-US"/>
              </w:rPr>
              <w:t>Return on plan assets (excluding the amount included in the net interest expense)</w:t>
            </w:r>
          </w:p>
        </w:tc>
        <w:tc>
          <w:tcPr>
            <w:tcW w:w="1111" w:type="dxa"/>
            <w:tcBorders>
              <w:bottom w:val="nil"/>
            </w:tcBorders>
            <w:shd w:val="clear" w:color="auto" w:fill="C5E0B3" w:themeFill="accent6" w:themeFillTint="66"/>
            <w:vAlign w:val="center"/>
          </w:tcPr>
          <w:p w14:paraId="2EB6F050" w14:textId="5F612249" w:rsidR="00D96A38" w:rsidRPr="0058695E" w:rsidRDefault="0058695E" w:rsidP="00D96A38">
            <w:pPr>
              <w:jc w:val="right"/>
            </w:pPr>
            <w:r w:rsidRPr="0058695E">
              <w:t>4,92</w:t>
            </w:r>
            <w:r w:rsidR="000B6A02">
              <w:t>9</w:t>
            </w:r>
          </w:p>
        </w:tc>
      </w:tr>
      <w:tr w:rsidR="00D96A38" w:rsidRPr="000127EF" w14:paraId="78CFC1A2" w14:textId="77777777" w:rsidTr="007A79E7">
        <w:tc>
          <w:tcPr>
            <w:tcW w:w="1454" w:type="dxa"/>
            <w:tcBorders>
              <w:bottom w:val="nil"/>
            </w:tcBorders>
            <w:vAlign w:val="center"/>
          </w:tcPr>
          <w:p w14:paraId="6F61425F" w14:textId="513FD9B0" w:rsidR="00D96A38" w:rsidRPr="00D96A38" w:rsidRDefault="00D96A38" w:rsidP="00D96A38">
            <w:pPr>
              <w:jc w:val="right"/>
              <w:rPr>
                <w:i/>
              </w:rPr>
            </w:pPr>
            <w:r w:rsidRPr="00D96A38">
              <w:rPr>
                <w:i/>
              </w:rPr>
              <w:t>-</w:t>
            </w:r>
          </w:p>
        </w:tc>
        <w:tc>
          <w:tcPr>
            <w:tcW w:w="5634" w:type="dxa"/>
            <w:tcBorders>
              <w:bottom w:val="nil"/>
            </w:tcBorders>
          </w:tcPr>
          <w:p w14:paraId="013C354B" w14:textId="77777777" w:rsidR="00D96A38" w:rsidRPr="000127EF" w:rsidRDefault="00D96A38" w:rsidP="00D96A38">
            <w:pPr>
              <w:ind w:left="198"/>
              <w:rPr>
                <w:rFonts w:cs="Arial"/>
                <w:szCs w:val="22"/>
                <w:lang w:val="en-US"/>
              </w:rPr>
            </w:pPr>
            <w:r w:rsidRPr="000127EF">
              <w:rPr>
                <w:rFonts w:cs="Arial"/>
                <w:szCs w:val="22"/>
                <w:lang w:val="en-US"/>
              </w:rPr>
              <w:t>Actuarial gains and losses arising on changes in demographic assumptions</w:t>
            </w:r>
          </w:p>
        </w:tc>
        <w:tc>
          <w:tcPr>
            <w:tcW w:w="1111" w:type="dxa"/>
            <w:tcBorders>
              <w:bottom w:val="nil"/>
            </w:tcBorders>
            <w:shd w:val="clear" w:color="auto" w:fill="C5E0B3" w:themeFill="accent6" w:themeFillTint="66"/>
            <w:vAlign w:val="center"/>
          </w:tcPr>
          <w:p w14:paraId="7DD53E9B" w14:textId="26284FDA" w:rsidR="00D96A38" w:rsidRPr="0058695E" w:rsidRDefault="0058695E" w:rsidP="00D96A38">
            <w:pPr>
              <w:jc w:val="right"/>
            </w:pPr>
            <w:r w:rsidRPr="0058695E">
              <w:t>(3,9</w:t>
            </w:r>
            <w:r w:rsidR="000B6A02">
              <w:t>44</w:t>
            </w:r>
            <w:r w:rsidRPr="0058695E">
              <w:t>)</w:t>
            </w:r>
          </w:p>
        </w:tc>
      </w:tr>
      <w:tr w:rsidR="00D96A38" w:rsidRPr="000127EF" w14:paraId="3FE0764D" w14:textId="77777777" w:rsidTr="007A79E7">
        <w:tc>
          <w:tcPr>
            <w:tcW w:w="1454" w:type="dxa"/>
            <w:tcBorders>
              <w:bottom w:val="nil"/>
            </w:tcBorders>
            <w:vAlign w:val="center"/>
          </w:tcPr>
          <w:p w14:paraId="55445CDC" w14:textId="20285A9D" w:rsidR="00D96A38" w:rsidRPr="00D96A38" w:rsidRDefault="00D96A38" w:rsidP="00D96A38">
            <w:pPr>
              <w:jc w:val="right"/>
              <w:rPr>
                <w:i/>
              </w:rPr>
            </w:pPr>
            <w:r w:rsidRPr="00D96A38">
              <w:rPr>
                <w:i/>
              </w:rPr>
              <w:t>9,131</w:t>
            </w:r>
          </w:p>
        </w:tc>
        <w:tc>
          <w:tcPr>
            <w:tcW w:w="5634" w:type="dxa"/>
            <w:tcBorders>
              <w:bottom w:val="nil"/>
            </w:tcBorders>
          </w:tcPr>
          <w:p w14:paraId="3AAB4B40" w14:textId="77777777" w:rsidR="00D96A38" w:rsidRPr="000127EF" w:rsidRDefault="00D96A38" w:rsidP="00D96A38">
            <w:pPr>
              <w:ind w:left="198"/>
              <w:rPr>
                <w:rFonts w:cs="Arial"/>
                <w:szCs w:val="22"/>
                <w:lang w:val="en-US"/>
              </w:rPr>
            </w:pPr>
            <w:r w:rsidRPr="000127EF">
              <w:rPr>
                <w:rFonts w:cs="Arial"/>
                <w:szCs w:val="22"/>
                <w:lang w:val="en-US"/>
              </w:rPr>
              <w:t>Actuarial gains and losses arising on changes in financial assumptions</w:t>
            </w:r>
          </w:p>
        </w:tc>
        <w:tc>
          <w:tcPr>
            <w:tcW w:w="1111" w:type="dxa"/>
            <w:tcBorders>
              <w:bottom w:val="nil"/>
            </w:tcBorders>
            <w:shd w:val="clear" w:color="auto" w:fill="C5E0B3" w:themeFill="accent6" w:themeFillTint="66"/>
            <w:vAlign w:val="center"/>
          </w:tcPr>
          <w:p w14:paraId="58729C3B" w14:textId="1C7CC6D1" w:rsidR="00D96A38" w:rsidRPr="0058695E" w:rsidRDefault="0058695E" w:rsidP="00D96A38">
            <w:pPr>
              <w:jc w:val="right"/>
            </w:pPr>
            <w:r w:rsidRPr="0058695E">
              <w:t>(1</w:t>
            </w:r>
            <w:r w:rsidR="000B6A02">
              <w:t>1</w:t>
            </w:r>
            <w:r w:rsidRPr="0058695E">
              <w:t>,</w:t>
            </w:r>
            <w:r w:rsidR="000B6A02">
              <w:t>973</w:t>
            </w:r>
            <w:r w:rsidRPr="0058695E">
              <w:t>)</w:t>
            </w:r>
          </w:p>
        </w:tc>
      </w:tr>
      <w:tr w:rsidR="00D96A38" w:rsidRPr="000127EF" w14:paraId="0DA09C3E" w14:textId="77777777" w:rsidTr="007A79E7">
        <w:tc>
          <w:tcPr>
            <w:tcW w:w="1454" w:type="dxa"/>
            <w:tcBorders>
              <w:bottom w:val="single" w:sz="8" w:space="0" w:color="auto"/>
            </w:tcBorders>
            <w:vAlign w:val="center"/>
          </w:tcPr>
          <w:p w14:paraId="21272CE9" w14:textId="0B0B6C7A" w:rsidR="00D96A38" w:rsidRPr="00D96A38" w:rsidRDefault="00D96A38" w:rsidP="00D96A38">
            <w:pPr>
              <w:jc w:val="right"/>
              <w:rPr>
                <w:i/>
              </w:rPr>
            </w:pPr>
            <w:r w:rsidRPr="00D96A38">
              <w:rPr>
                <w:i/>
              </w:rPr>
              <w:t>(168)</w:t>
            </w:r>
          </w:p>
        </w:tc>
        <w:tc>
          <w:tcPr>
            <w:tcW w:w="5634" w:type="dxa"/>
            <w:tcBorders>
              <w:bottom w:val="nil"/>
            </w:tcBorders>
          </w:tcPr>
          <w:p w14:paraId="76F29E50" w14:textId="77777777" w:rsidR="00D96A38" w:rsidRPr="000127EF" w:rsidRDefault="00D96A38" w:rsidP="00D96A38">
            <w:pPr>
              <w:ind w:left="198"/>
              <w:rPr>
                <w:rFonts w:cs="Arial"/>
                <w:szCs w:val="22"/>
                <w:lang w:val="en-US"/>
              </w:rPr>
            </w:pPr>
            <w:r w:rsidRPr="000127EF">
              <w:rPr>
                <w:rFonts w:cs="Arial"/>
                <w:szCs w:val="22"/>
                <w:lang w:val="en-US"/>
              </w:rPr>
              <w:t>Other</w:t>
            </w:r>
          </w:p>
        </w:tc>
        <w:tc>
          <w:tcPr>
            <w:tcW w:w="1111" w:type="dxa"/>
            <w:tcBorders>
              <w:bottom w:val="single" w:sz="8" w:space="0" w:color="auto"/>
            </w:tcBorders>
            <w:shd w:val="clear" w:color="auto" w:fill="C5E0B3" w:themeFill="accent6" w:themeFillTint="66"/>
            <w:vAlign w:val="center"/>
          </w:tcPr>
          <w:p w14:paraId="54B061B1" w14:textId="40AA2EF4" w:rsidR="00D96A38" w:rsidRPr="0058695E" w:rsidRDefault="000B6A02" w:rsidP="00D96A38">
            <w:pPr>
              <w:jc w:val="right"/>
            </w:pPr>
            <w:r>
              <w:t>759</w:t>
            </w:r>
          </w:p>
        </w:tc>
      </w:tr>
      <w:tr w:rsidR="00D96A38" w:rsidRPr="000127EF" w14:paraId="26A3FCAA" w14:textId="77777777" w:rsidTr="007A79E7">
        <w:tc>
          <w:tcPr>
            <w:tcW w:w="1454" w:type="dxa"/>
            <w:tcBorders>
              <w:top w:val="single" w:sz="8" w:space="0" w:color="auto"/>
              <w:bottom w:val="single" w:sz="8" w:space="0" w:color="auto"/>
            </w:tcBorders>
            <w:vAlign w:val="center"/>
          </w:tcPr>
          <w:p w14:paraId="6596C14D" w14:textId="21E6ECE0" w:rsidR="00D96A38" w:rsidRPr="00D96A38" w:rsidRDefault="0058695E" w:rsidP="00D96A38">
            <w:pPr>
              <w:jc w:val="right"/>
              <w:rPr>
                <w:b/>
                <w:i/>
              </w:rPr>
            </w:pPr>
            <w:r>
              <w:rPr>
                <w:b/>
                <w:i/>
              </w:rPr>
              <w:t>6,935</w:t>
            </w:r>
          </w:p>
        </w:tc>
        <w:tc>
          <w:tcPr>
            <w:tcW w:w="5634" w:type="dxa"/>
            <w:tcBorders>
              <w:bottom w:val="nil"/>
            </w:tcBorders>
          </w:tcPr>
          <w:p w14:paraId="63828B73" w14:textId="77777777" w:rsidR="00D96A38" w:rsidRPr="000127EF" w:rsidRDefault="00D96A38" w:rsidP="00D96A38">
            <w:pPr>
              <w:ind w:left="198"/>
              <w:rPr>
                <w:rFonts w:cs="Arial"/>
                <w:szCs w:val="22"/>
                <w:lang w:val="en-US"/>
              </w:rPr>
            </w:pPr>
            <w:r w:rsidRPr="000127EF">
              <w:rPr>
                <w:rFonts w:cs="Arial"/>
                <w:szCs w:val="22"/>
                <w:lang w:val="en-US"/>
              </w:rPr>
              <w:t>Total Re-measurements Recognised in CIES</w:t>
            </w:r>
          </w:p>
        </w:tc>
        <w:tc>
          <w:tcPr>
            <w:tcW w:w="1111" w:type="dxa"/>
            <w:tcBorders>
              <w:top w:val="single" w:sz="8" w:space="0" w:color="auto"/>
              <w:bottom w:val="single" w:sz="8" w:space="0" w:color="auto"/>
            </w:tcBorders>
            <w:shd w:val="clear" w:color="auto" w:fill="C5E0B3" w:themeFill="accent6" w:themeFillTint="66"/>
            <w:vAlign w:val="center"/>
          </w:tcPr>
          <w:p w14:paraId="222CAADF" w14:textId="6E2EA118" w:rsidR="00D96A38" w:rsidRPr="0058695E" w:rsidRDefault="0058695E" w:rsidP="00D96A38">
            <w:pPr>
              <w:jc w:val="right"/>
              <w:rPr>
                <w:b/>
              </w:rPr>
            </w:pPr>
            <w:r w:rsidRPr="0058695E">
              <w:rPr>
                <w:b/>
              </w:rPr>
              <w:t>(10,</w:t>
            </w:r>
            <w:r w:rsidR="000B6A02">
              <w:rPr>
                <w:b/>
              </w:rPr>
              <w:t>229</w:t>
            </w:r>
            <w:r w:rsidRPr="0058695E">
              <w:rPr>
                <w:b/>
              </w:rPr>
              <w:t>)</w:t>
            </w:r>
          </w:p>
        </w:tc>
      </w:tr>
      <w:tr w:rsidR="00D96A38" w:rsidRPr="000127EF" w14:paraId="5DD0125C" w14:textId="77777777" w:rsidTr="007A79E7">
        <w:tc>
          <w:tcPr>
            <w:tcW w:w="1454" w:type="dxa"/>
            <w:tcBorders>
              <w:top w:val="single" w:sz="8" w:space="0" w:color="auto"/>
              <w:bottom w:val="single" w:sz="8" w:space="0" w:color="auto"/>
            </w:tcBorders>
            <w:vAlign w:val="center"/>
          </w:tcPr>
          <w:p w14:paraId="7C20BC74" w14:textId="0786D100" w:rsidR="00D96A38" w:rsidRPr="00D96A38" w:rsidRDefault="0058695E" w:rsidP="00D96A38">
            <w:pPr>
              <w:jc w:val="right"/>
              <w:rPr>
                <w:b/>
                <w:i/>
              </w:rPr>
            </w:pPr>
            <w:r>
              <w:rPr>
                <w:b/>
                <w:i/>
              </w:rPr>
              <w:t>12,408</w:t>
            </w:r>
          </w:p>
        </w:tc>
        <w:tc>
          <w:tcPr>
            <w:tcW w:w="5634" w:type="dxa"/>
            <w:tcBorders>
              <w:bottom w:val="nil"/>
            </w:tcBorders>
          </w:tcPr>
          <w:p w14:paraId="0EEA9EE9" w14:textId="309B8FF3" w:rsidR="00D96A38" w:rsidRPr="000127EF" w:rsidRDefault="00D96A38" w:rsidP="00D96A38">
            <w:pPr>
              <w:rPr>
                <w:rFonts w:cs="Arial"/>
                <w:b/>
                <w:szCs w:val="22"/>
                <w:lang w:val="en-US"/>
              </w:rPr>
            </w:pPr>
            <w:r w:rsidRPr="000127EF">
              <w:rPr>
                <w:rFonts w:cs="Arial"/>
                <w:b/>
                <w:szCs w:val="22"/>
                <w:lang w:val="en-US"/>
              </w:rPr>
              <w:t>Total post-employment benefit charged to the CIES</w:t>
            </w:r>
          </w:p>
        </w:tc>
        <w:tc>
          <w:tcPr>
            <w:tcW w:w="1111" w:type="dxa"/>
            <w:tcBorders>
              <w:top w:val="single" w:sz="8" w:space="0" w:color="auto"/>
              <w:bottom w:val="single" w:sz="8" w:space="0" w:color="auto"/>
            </w:tcBorders>
            <w:shd w:val="clear" w:color="auto" w:fill="C5E0B3" w:themeFill="accent6" w:themeFillTint="66"/>
            <w:vAlign w:val="center"/>
          </w:tcPr>
          <w:p w14:paraId="59DF125B" w14:textId="360ADEDE" w:rsidR="00D96A38" w:rsidRPr="0058695E" w:rsidRDefault="0058695E" w:rsidP="00D96A38">
            <w:pPr>
              <w:jc w:val="right"/>
              <w:rPr>
                <w:b/>
              </w:rPr>
            </w:pPr>
            <w:r w:rsidRPr="0058695E">
              <w:rPr>
                <w:b/>
              </w:rPr>
              <w:t>(4,</w:t>
            </w:r>
            <w:r w:rsidR="000B6A02">
              <w:rPr>
                <w:b/>
              </w:rPr>
              <w:t>318</w:t>
            </w:r>
            <w:r w:rsidRPr="0058695E">
              <w:rPr>
                <w:b/>
              </w:rPr>
              <w:t>)</w:t>
            </w:r>
          </w:p>
        </w:tc>
      </w:tr>
      <w:tr w:rsidR="00D96A38" w:rsidRPr="000127EF" w14:paraId="3FD131EE" w14:textId="77777777" w:rsidTr="007A79E7">
        <w:tc>
          <w:tcPr>
            <w:tcW w:w="1454" w:type="dxa"/>
            <w:tcBorders>
              <w:top w:val="single" w:sz="8" w:space="0" w:color="auto"/>
              <w:bottom w:val="nil"/>
            </w:tcBorders>
            <w:vAlign w:val="center"/>
          </w:tcPr>
          <w:p w14:paraId="125D4371" w14:textId="77777777" w:rsidR="00D96A38" w:rsidRPr="00D96A38" w:rsidRDefault="00D96A38" w:rsidP="00D96A38">
            <w:pPr>
              <w:jc w:val="right"/>
              <w:rPr>
                <w:i/>
                <w:sz w:val="12"/>
                <w:szCs w:val="12"/>
              </w:rPr>
            </w:pPr>
          </w:p>
        </w:tc>
        <w:tc>
          <w:tcPr>
            <w:tcW w:w="5634" w:type="dxa"/>
            <w:tcBorders>
              <w:bottom w:val="nil"/>
            </w:tcBorders>
          </w:tcPr>
          <w:p w14:paraId="1EF10EBC" w14:textId="77777777" w:rsidR="00D96A38" w:rsidRPr="000127EF" w:rsidRDefault="00D96A38" w:rsidP="00D96A38">
            <w:pPr>
              <w:rPr>
                <w:rFonts w:cs="Arial"/>
                <w:b/>
                <w:sz w:val="12"/>
                <w:szCs w:val="12"/>
                <w:lang w:val="en-US"/>
              </w:rPr>
            </w:pPr>
          </w:p>
        </w:tc>
        <w:tc>
          <w:tcPr>
            <w:tcW w:w="1111" w:type="dxa"/>
            <w:tcBorders>
              <w:top w:val="single" w:sz="8" w:space="0" w:color="auto"/>
              <w:bottom w:val="nil"/>
            </w:tcBorders>
            <w:shd w:val="clear" w:color="auto" w:fill="C5E0B3" w:themeFill="accent6" w:themeFillTint="66"/>
            <w:vAlign w:val="center"/>
          </w:tcPr>
          <w:p w14:paraId="20CEFD1E" w14:textId="77777777" w:rsidR="00D96A38" w:rsidRPr="0058695E" w:rsidRDefault="00D96A38" w:rsidP="00D96A38">
            <w:pPr>
              <w:jc w:val="right"/>
              <w:rPr>
                <w:sz w:val="12"/>
                <w:szCs w:val="12"/>
              </w:rPr>
            </w:pPr>
          </w:p>
        </w:tc>
      </w:tr>
      <w:tr w:rsidR="00D96A38" w:rsidRPr="000127EF" w14:paraId="432C8224" w14:textId="77777777" w:rsidTr="007A79E7">
        <w:tc>
          <w:tcPr>
            <w:tcW w:w="1454" w:type="dxa"/>
            <w:tcBorders>
              <w:bottom w:val="nil"/>
            </w:tcBorders>
            <w:vAlign w:val="center"/>
          </w:tcPr>
          <w:p w14:paraId="57753C9E" w14:textId="77777777" w:rsidR="00D96A38" w:rsidRPr="00D96A38" w:rsidRDefault="00D96A38" w:rsidP="00D96A38">
            <w:pPr>
              <w:jc w:val="right"/>
              <w:rPr>
                <w:i/>
              </w:rPr>
            </w:pPr>
          </w:p>
        </w:tc>
        <w:tc>
          <w:tcPr>
            <w:tcW w:w="5634" w:type="dxa"/>
            <w:tcBorders>
              <w:bottom w:val="nil"/>
            </w:tcBorders>
          </w:tcPr>
          <w:p w14:paraId="47A36C57" w14:textId="77777777" w:rsidR="00D96A38" w:rsidRPr="000127EF" w:rsidRDefault="00D96A38" w:rsidP="00D96A38">
            <w:pPr>
              <w:rPr>
                <w:rFonts w:cs="Arial"/>
                <w:b/>
                <w:szCs w:val="22"/>
                <w:lang w:val="en-US"/>
              </w:rPr>
            </w:pPr>
            <w:r w:rsidRPr="000127EF">
              <w:rPr>
                <w:rFonts w:cs="Arial"/>
                <w:b/>
                <w:szCs w:val="22"/>
                <w:lang w:val="en-US"/>
              </w:rPr>
              <w:t>Movement in Reserves Statement</w:t>
            </w:r>
          </w:p>
        </w:tc>
        <w:tc>
          <w:tcPr>
            <w:tcW w:w="1111" w:type="dxa"/>
            <w:tcBorders>
              <w:bottom w:val="nil"/>
            </w:tcBorders>
            <w:shd w:val="clear" w:color="auto" w:fill="C5E0B3" w:themeFill="accent6" w:themeFillTint="66"/>
            <w:vAlign w:val="center"/>
          </w:tcPr>
          <w:p w14:paraId="63801182" w14:textId="77777777" w:rsidR="00D96A38" w:rsidRPr="0058695E" w:rsidRDefault="00D96A38" w:rsidP="00D96A38">
            <w:pPr>
              <w:jc w:val="right"/>
            </w:pPr>
          </w:p>
        </w:tc>
      </w:tr>
      <w:tr w:rsidR="00D96A38" w:rsidRPr="000127EF" w14:paraId="49402CF2" w14:textId="77777777" w:rsidTr="007A79E7">
        <w:tc>
          <w:tcPr>
            <w:tcW w:w="1454" w:type="dxa"/>
            <w:tcBorders>
              <w:bottom w:val="nil"/>
            </w:tcBorders>
            <w:vAlign w:val="center"/>
          </w:tcPr>
          <w:p w14:paraId="1D8977B9" w14:textId="7D67F2B5" w:rsidR="00D96A38" w:rsidRPr="00D96A38" w:rsidRDefault="00D96A38" w:rsidP="00D96A38">
            <w:pPr>
              <w:jc w:val="right"/>
              <w:rPr>
                <w:i/>
              </w:rPr>
            </w:pPr>
            <w:r w:rsidRPr="00D96A38">
              <w:rPr>
                <w:i/>
              </w:rPr>
              <w:t>(</w:t>
            </w:r>
            <w:r w:rsidR="0058695E">
              <w:rPr>
                <w:i/>
              </w:rPr>
              <w:t>5,473)</w:t>
            </w:r>
          </w:p>
        </w:tc>
        <w:tc>
          <w:tcPr>
            <w:tcW w:w="5634" w:type="dxa"/>
            <w:tcBorders>
              <w:bottom w:val="nil"/>
            </w:tcBorders>
          </w:tcPr>
          <w:p w14:paraId="3DC2A31D" w14:textId="77777777" w:rsidR="00D96A38" w:rsidRPr="000127EF" w:rsidRDefault="00D96A38" w:rsidP="00D96A38">
            <w:pPr>
              <w:ind w:left="198"/>
              <w:rPr>
                <w:rFonts w:cs="Arial"/>
                <w:szCs w:val="22"/>
                <w:lang w:val="en-US"/>
              </w:rPr>
            </w:pPr>
            <w:r w:rsidRPr="000127EF">
              <w:rPr>
                <w:rFonts w:cs="Arial"/>
                <w:szCs w:val="22"/>
                <w:lang w:val="en-US"/>
              </w:rPr>
              <w:t>Reversal of net charges made to the surplus or deficit on the provision of services for post-employment benefits in accordance with the code</w:t>
            </w:r>
          </w:p>
        </w:tc>
        <w:tc>
          <w:tcPr>
            <w:tcW w:w="1111" w:type="dxa"/>
            <w:tcBorders>
              <w:bottom w:val="nil"/>
            </w:tcBorders>
            <w:shd w:val="clear" w:color="auto" w:fill="C5E0B3" w:themeFill="accent6" w:themeFillTint="66"/>
            <w:vAlign w:val="center"/>
          </w:tcPr>
          <w:p w14:paraId="6EF85E22" w14:textId="7551805D" w:rsidR="00D96A38" w:rsidRPr="0058695E" w:rsidRDefault="0058695E" w:rsidP="00D96A38">
            <w:pPr>
              <w:jc w:val="right"/>
            </w:pPr>
            <w:r w:rsidRPr="0058695E">
              <w:t>(5,911)</w:t>
            </w:r>
          </w:p>
        </w:tc>
      </w:tr>
      <w:tr w:rsidR="00D96A38" w:rsidRPr="000127EF" w14:paraId="1A0CCEFE" w14:textId="77777777" w:rsidTr="007A79E7">
        <w:tc>
          <w:tcPr>
            <w:tcW w:w="1454" w:type="dxa"/>
            <w:tcBorders>
              <w:bottom w:val="nil"/>
            </w:tcBorders>
            <w:vAlign w:val="center"/>
          </w:tcPr>
          <w:p w14:paraId="3E091DA6" w14:textId="7FDF235F" w:rsidR="00D96A38" w:rsidRPr="00D96A38" w:rsidRDefault="0058695E" w:rsidP="00D96A38">
            <w:pPr>
              <w:jc w:val="right"/>
              <w:rPr>
                <w:i/>
              </w:rPr>
            </w:pPr>
            <w:r>
              <w:rPr>
                <w:i/>
              </w:rPr>
              <w:t>3,051</w:t>
            </w:r>
          </w:p>
        </w:tc>
        <w:tc>
          <w:tcPr>
            <w:tcW w:w="5634" w:type="dxa"/>
            <w:tcBorders>
              <w:bottom w:val="nil"/>
            </w:tcBorders>
          </w:tcPr>
          <w:p w14:paraId="7EC34C0F" w14:textId="77777777" w:rsidR="00D96A38" w:rsidRPr="000127EF" w:rsidRDefault="00D96A38" w:rsidP="00D96A38">
            <w:pPr>
              <w:ind w:left="198"/>
              <w:rPr>
                <w:rFonts w:cs="Arial"/>
                <w:szCs w:val="22"/>
                <w:lang w:val="en-US"/>
              </w:rPr>
            </w:pPr>
            <w:r w:rsidRPr="000127EF">
              <w:rPr>
                <w:rFonts w:cs="Arial"/>
                <w:szCs w:val="22"/>
                <w:lang w:val="en-US"/>
              </w:rPr>
              <w:t>Actual Amount charged against the General Fund Balance for Pensions in the year</w:t>
            </w:r>
          </w:p>
        </w:tc>
        <w:tc>
          <w:tcPr>
            <w:tcW w:w="1111" w:type="dxa"/>
            <w:tcBorders>
              <w:bottom w:val="nil"/>
            </w:tcBorders>
            <w:shd w:val="clear" w:color="auto" w:fill="C5E0B3" w:themeFill="accent6" w:themeFillTint="66"/>
            <w:vAlign w:val="center"/>
          </w:tcPr>
          <w:p w14:paraId="2549C4BA" w14:textId="160EA3BE" w:rsidR="00D96A38" w:rsidRPr="0058695E" w:rsidRDefault="0058695E" w:rsidP="00D96A38">
            <w:pPr>
              <w:jc w:val="right"/>
            </w:pPr>
            <w:r w:rsidRPr="0058695E">
              <w:t>3,094</w:t>
            </w:r>
          </w:p>
        </w:tc>
      </w:tr>
      <w:tr w:rsidR="00D96A38" w:rsidRPr="000127EF" w14:paraId="4EF4B07A" w14:textId="77777777" w:rsidTr="007A79E7">
        <w:tc>
          <w:tcPr>
            <w:tcW w:w="1454" w:type="dxa"/>
            <w:tcBorders>
              <w:top w:val="single" w:sz="8" w:space="0" w:color="auto"/>
              <w:bottom w:val="single" w:sz="8" w:space="0" w:color="auto"/>
            </w:tcBorders>
            <w:vAlign w:val="center"/>
          </w:tcPr>
          <w:p w14:paraId="786D9B52" w14:textId="6EA4F7B8" w:rsidR="00D96A38" w:rsidRPr="00D96A38" w:rsidRDefault="00D96A38" w:rsidP="00D96A38">
            <w:pPr>
              <w:jc w:val="right"/>
              <w:rPr>
                <w:b/>
                <w:i/>
              </w:rPr>
            </w:pPr>
            <w:r w:rsidRPr="00D96A38">
              <w:rPr>
                <w:b/>
                <w:i/>
              </w:rPr>
              <w:fldChar w:fldCharType="begin"/>
            </w:r>
            <w:r w:rsidRPr="00D96A38">
              <w:rPr>
                <w:b/>
                <w:i/>
              </w:rPr>
              <w:instrText xml:space="preserve"> =SUM(c18,c19) </w:instrText>
            </w:r>
            <w:r w:rsidRPr="00D96A38">
              <w:rPr>
                <w:b/>
                <w:i/>
              </w:rPr>
              <w:fldChar w:fldCharType="separate"/>
            </w:r>
            <w:r w:rsidRPr="00D96A38">
              <w:rPr>
                <w:b/>
                <w:i/>
                <w:noProof/>
              </w:rPr>
              <w:t>(2,422)</w:t>
            </w:r>
            <w:r w:rsidRPr="00D96A38">
              <w:rPr>
                <w:b/>
                <w:i/>
              </w:rPr>
              <w:fldChar w:fldCharType="end"/>
            </w:r>
          </w:p>
        </w:tc>
        <w:tc>
          <w:tcPr>
            <w:tcW w:w="5634" w:type="dxa"/>
            <w:tcBorders>
              <w:bottom w:val="nil"/>
            </w:tcBorders>
          </w:tcPr>
          <w:p w14:paraId="1FEC89B5" w14:textId="77777777" w:rsidR="00D96A38" w:rsidRPr="000127EF" w:rsidRDefault="00D96A38" w:rsidP="00D96A38">
            <w:pPr>
              <w:rPr>
                <w:b/>
              </w:rPr>
            </w:pPr>
            <w:r w:rsidRPr="000127EF">
              <w:rPr>
                <w:b/>
              </w:rPr>
              <w:t>Total Movement in Reserves Statement</w:t>
            </w:r>
          </w:p>
        </w:tc>
        <w:tc>
          <w:tcPr>
            <w:tcW w:w="1111" w:type="dxa"/>
            <w:tcBorders>
              <w:top w:val="single" w:sz="8" w:space="0" w:color="auto"/>
              <w:bottom w:val="single" w:sz="8" w:space="0" w:color="auto"/>
            </w:tcBorders>
            <w:shd w:val="clear" w:color="auto" w:fill="C5E0B3" w:themeFill="accent6" w:themeFillTint="66"/>
            <w:vAlign w:val="center"/>
          </w:tcPr>
          <w:p w14:paraId="506BB467" w14:textId="704CBCF4" w:rsidR="00D96A38" w:rsidRPr="0058695E" w:rsidRDefault="0058695E" w:rsidP="00D96A38">
            <w:pPr>
              <w:jc w:val="right"/>
              <w:rPr>
                <w:b/>
              </w:rPr>
            </w:pPr>
            <w:r w:rsidRPr="0058695E">
              <w:rPr>
                <w:b/>
              </w:rPr>
              <w:t>(2,817)</w:t>
            </w:r>
          </w:p>
        </w:tc>
      </w:tr>
      <w:tr w:rsidR="004B3FF4" w:rsidRPr="000127EF" w14:paraId="1E0F7C73" w14:textId="77777777" w:rsidTr="007A79E7">
        <w:trPr>
          <w:trHeight w:hRule="exact" w:val="142"/>
        </w:trPr>
        <w:tc>
          <w:tcPr>
            <w:tcW w:w="1454" w:type="dxa"/>
            <w:tcBorders>
              <w:top w:val="nil"/>
            </w:tcBorders>
          </w:tcPr>
          <w:p w14:paraId="1C232917" w14:textId="77777777" w:rsidR="004B3FF4" w:rsidRPr="000127EF" w:rsidRDefault="004B3FF4" w:rsidP="004B3FF4">
            <w:pPr>
              <w:jc w:val="right"/>
              <w:rPr>
                <w:i/>
              </w:rPr>
            </w:pPr>
          </w:p>
        </w:tc>
        <w:tc>
          <w:tcPr>
            <w:tcW w:w="5634" w:type="dxa"/>
            <w:tcBorders>
              <w:top w:val="nil"/>
            </w:tcBorders>
          </w:tcPr>
          <w:p w14:paraId="0BEC18FF" w14:textId="77777777" w:rsidR="004B3FF4" w:rsidRPr="000127EF" w:rsidRDefault="004B3FF4" w:rsidP="004B3FF4">
            <w:pPr>
              <w:jc w:val="both"/>
            </w:pPr>
          </w:p>
        </w:tc>
        <w:tc>
          <w:tcPr>
            <w:tcW w:w="1111" w:type="dxa"/>
            <w:tcBorders>
              <w:top w:val="nil"/>
            </w:tcBorders>
          </w:tcPr>
          <w:p w14:paraId="7B87A69B" w14:textId="77777777" w:rsidR="004B3FF4" w:rsidRPr="000127EF" w:rsidRDefault="004B3FF4" w:rsidP="004B3FF4">
            <w:pPr>
              <w:jc w:val="right"/>
            </w:pPr>
          </w:p>
        </w:tc>
      </w:tr>
    </w:tbl>
    <w:p w14:paraId="1EE6946A" w14:textId="77777777" w:rsidR="007A79E7" w:rsidRPr="000127EF" w:rsidRDefault="007A79E7" w:rsidP="0059003F">
      <w:pPr>
        <w:spacing w:after="240"/>
      </w:pPr>
      <w:r w:rsidRPr="000127EF">
        <w:tab/>
      </w:r>
      <w:r w:rsidRPr="000127EF">
        <w:tab/>
      </w:r>
      <w:r w:rsidRPr="000127EF">
        <w:tab/>
      </w:r>
    </w:p>
    <w:p w14:paraId="390C9ADD" w14:textId="31F4FEFA" w:rsidR="007A79E7" w:rsidRPr="000127EF" w:rsidRDefault="007A79E7" w:rsidP="0059003F">
      <w:pPr>
        <w:spacing w:after="240"/>
      </w:pPr>
    </w:p>
    <w:p w14:paraId="339DEF72" w14:textId="77777777" w:rsidR="007A79E7" w:rsidRPr="000127EF" w:rsidRDefault="007A79E7" w:rsidP="0059003F">
      <w:pPr>
        <w:spacing w:after="240"/>
      </w:pPr>
    </w:p>
    <w:p w14:paraId="4CF7B61D" w14:textId="77777777" w:rsidR="007A79E7" w:rsidRPr="000127EF" w:rsidRDefault="007A79E7" w:rsidP="0059003F">
      <w:pPr>
        <w:spacing w:after="240"/>
      </w:pPr>
    </w:p>
    <w:p w14:paraId="5326103B" w14:textId="77777777" w:rsidR="007A79E7" w:rsidRPr="000127EF" w:rsidRDefault="007A79E7" w:rsidP="0059003F">
      <w:pPr>
        <w:spacing w:after="240"/>
      </w:pPr>
    </w:p>
    <w:p w14:paraId="76499A12" w14:textId="77777777" w:rsidR="007A79E7" w:rsidRPr="000127EF" w:rsidRDefault="007A79E7" w:rsidP="0059003F">
      <w:pPr>
        <w:spacing w:after="240"/>
      </w:pPr>
    </w:p>
    <w:p w14:paraId="00A8A14D" w14:textId="77777777" w:rsidR="007A79E7" w:rsidRPr="000127EF" w:rsidRDefault="007A79E7" w:rsidP="0059003F">
      <w:pPr>
        <w:spacing w:after="240"/>
      </w:pPr>
    </w:p>
    <w:p w14:paraId="6040A4B8" w14:textId="77777777" w:rsidR="007A79E7" w:rsidRPr="000127EF" w:rsidRDefault="007A79E7" w:rsidP="0059003F">
      <w:pPr>
        <w:spacing w:after="240"/>
      </w:pPr>
    </w:p>
    <w:p w14:paraId="2AFC04F5" w14:textId="77777777" w:rsidR="007A79E7" w:rsidRPr="000127EF" w:rsidRDefault="007A79E7" w:rsidP="0059003F">
      <w:pPr>
        <w:spacing w:after="240"/>
      </w:pPr>
    </w:p>
    <w:p w14:paraId="2156EF57" w14:textId="77777777" w:rsidR="007A79E7" w:rsidRPr="000127EF" w:rsidRDefault="007A79E7" w:rsidP="0059003F">
      <w:pPr>
        <w:spacing w:after="240"/>
      </w:pPr>
    </w:p>
    <w:p w14:paraId="1F28A942" w14:textId="77777777" w:rsidR="007A79E7" w:rsidRPr="000127EF" w:rsidRDefault="007A79E7" w:rsidP="0059003F">
      <w:pPr>
        <w:spacing w:after="240"/>
      </w:pPr>
    </w:p>
    <w:p w14:paraId="75F21BD8" w14:textId="77777777" w:rsidR="007A79E7" w:rsidRPr="000127EF" w:rsidRDefault="007A79E7" w:rsidP="0059003F">
      <w:pPr>
        <w:spacing w:after="240"/>
      </w:pPr>
    </w:p>
    <w:p w14:paraId="642329A0" w14:textId="77777777" w:rsidR="007A79E7" w:rsidRPr="000127EF" w:rsidRDefault="007A79E7" w:rsidP="0059003F">
      <w:pPr>
        <w:spacing w:after="240"/>
      </w:pPr>
    </w:p>
    <w:p w14:paraId="24BFF89C" w14:textId="77777777" w:rsidR="007A79E7" w:rsidRPr="000127EF" w:rsidRDefault="007A79E7" w:rsidP="0059003F">
      <w:pPr>
        <w:spacing w:after="240"/>
      </w:pP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7A79E7" w:rsidRPr="000127EF" w14:paraId="0FD0250C" w14:textId="77777777" w:rsidTr="007A79E7">
        <w:trPr>
          <w:trHeight w:val="283"/>
          <w:jc w:val="center"/>
        </w:trPr>
        <w:tc>
          <w:tcPr>
            <w:tcW w:w="1454" w:type="dxa"/>
            <w:vAlign w:val="center"/>
          </w:tcPr>
          <w:p w14:paraId="407E6FB3" w14:textId="71D8102B" w:rsidR="007A79E7" w:rsidRPr="000127EF" w:rsidRDefault="00D96A38" w:rsidP="007A79E7">
            <w:pPr>
              <w:jc w:val="center"/>
              <w:rPr>
                <w:b/>
                <w:i/>
              </w:rPr>
            </w:pPr>
            <w:r>
              <w:rPr>
                <w:b/>
                <w:i/>
              </w:rPr>
              <w:lastRenderedPageBreak/>
              <w:t>2018/19</w:t>
            </w:r>
          </w:p>
        </w:tc>
        <w:tc>
          <w:tcPr>
            <w:tcW w:w="5634" w:type="dxa"/>
            <w:vAlign w:val="center"/>
          </w:tcPr>
          <w:p w14:paraId="4D8FEC16" w14:textId="77777777" w:rsidR="007A79E7" w:rsidRPr="000127EF" w:rsidRDefault="007A79E7" w:rsidP="007A79E7">
            <w:pPr>
              <w:jc w:val="center"/>
              <w:rPr>
                <w:b/>
              </w:rPr>
            </w:pPr>
            <w:r w:rsidRPr="000127EF">
              <w:rPr>
                <w:b/>
              </w:rPr>
              <w:t>Pensions Assets and Liabilities Recognised in the Balance Sheet</w:t>
            </w:r>
          </w:p>
        </w:tc>
        <w:tc>
          <w:tcPr>
            <w:tcW w:w="1534" w:type="dxa"/>
            <w:vAlign w:val="center"/>
          </w:tcPr>
          <w:p w14:paraId="2560DB77" w14:textId="2A96AC0E" w:rsidR="007A79E7" w:rsidRPr="0058695E" w:rsidRDefault="00D96A38" w:rsidP="007A79E7">
            <w:pPr>
              <w:jc w:val="center"/>
              <w:rPr>
                <w:b/>
              </w:rPr>
            </w:pPr>
            <w:r w:rsidRPr="0058695E">
              <w:rPr>
                <w:b/>
              </w:rPr>
              <w:t>2019/20</w:t>
            </w:r>
          </w:p>
        </w:tc>
      </w:tr>
      <w:tr w:rsidR="007A79E7" w:rsidRPr="000127EF" w14:paraId="27B73C26" w14:textId="77777777" w:rsidTr="007A79E7">
        <w:trPr>
          <w:jc w:val="center"/>
        </w:trPr>
        <w:tc>
          <w:tcPr>
            <w:tcW w:w="1454" w:type="dxa"/>
          </w:tcPr>
          <w:p w14:paraId="3F29F568" w14:textId="77777777" w:rsidR="007A79E7" w:rsidRPr="000127EF" w:rsidRDefault="007A79E7" w:rsidP="007A79E7">
            <w:pPr>
              <w:jc w:val="center"/>
              <w:rPr>
                <w:b/>
                <w:i/>
              </w:rPr>
            </w:pPr>
            <w:r w:rsidRPr="000127EF">
              <w:rPr>
                <w:b/>
                <w:i/>
              </w:rPr>
              <w:t>£000</w:t>
            </w:r>
          </w:p>
        </w:tc>
        <w:tc>
          <w:tcPr>
            <w:tcW w:w="5634" w:type="dxa"/>
          </w:tcPr>
          <w:p w14:paraId="47B86B86" w14:textId="77777777" w:rsidR="007A79E7" w:rsidRPr="000127EF" w:rsidRDefault="007A79E7" w:rsidP="007A79E7">
            <w:pPr>
              <w:jc w:val="center"/>
              <w:rPr>
                <w:b/>
              </w:rPr>
            </w:pPr>
          </w:p>
        </w:tc>
        <w:tc>
          <w:tcPr>
            <w:tcW w:w="1534" w:type="dxa"/>
            <w:shd w:val="clear" w:color="auto" w:fill="C5E0B3" w:themeFill="accent6" w:themeFillTint="66"/>
          </w:tcPr>
          <w:p w14:paraId="0901DE3B" w14:textId="77777777" w:rsidR="007A79E7" w:rsidRPr="0058695E" w:rsidRDefault="007A79E7" w:rsidP="007A79E7">
            <w:pPr>
              <w:jc w:val="center"/>
              <w:rPr>
                <w:b/>
              </w:rPr>
            </w:pPr>
            <w:r w:rsidRPr="0058695E">
              <w:rPr>
                <w:b/>
              </w:rPr>
              <w:t>£000</w:t>
            </w:r>
          </w:p>
        </w:tc>
      </w:tr>
      <w:tr w:rsidR="00D96A38" w:rsidRPr="000127EF" w14:paraId="0D6F2D6C" w14:textId="77777777" w:rsidTr="007A79E7">
        <w:trPr>
          <w:jc w:val="center"/>
        </w:trPr>
        <w:tc>
          <w:tcPr>
            <w:tcW w:w="1454" w:type="dxa"/>
          </w:tcPr>
          <w:p w14:paraId="3B8B58EB" w14:textId="2539B433" w:rsidR="00D96A38" w:rsidRPr="00D96A38" w:rsidRDefault="00D96A38" w:rsidP="00D96A38">
            <w:pPr>
              <w:jc w:val="right"/>
              <w:rPr>
                <w:i/>
              </w:rPr>
            </w:pPr>
            <w:r w:rsidRPr="00D96A38">
              <w:rPr>
                <w:i/>
              </w:rPr>
              <w:t>(7</w:t>
            </w:r>
            <w:r w:rsidR="0058695E">
              <w:rPr>
                <w:i/>
              </w:rPr>
              <w:t>4,546</w:t>
            </w:r>
            <w:r w:rsidRPr="00D96A38">
              <w:rPr>
                <w:i/>
              </w:rPr>
              <w:t>)</w:t>
            </w:r>
          </w:p>
        </w:tc>
        <w:tc>
          <w:tcPr>
            <w:tcW w:w="5634" w:type="dxa"/>
            <w:vAlign w:val="center"/>
          </w:tcPr>
          <w:p w14:paraId="6BDF046A" w14:textId="77777777" w:rsidR="00D96A38" w:rsidRPr="000127EF" w:rsidRDefault="00D96A38" w:rsidP="00D96A38">
            <w:pPr>
              <w:rPr>
                <w:rFonts w:cs="Arial"/>
                <w:szCs w:val="22"/>
                <w:lang w:val="en-US"/>
              </w:rPr>
            </w:pPr>
            <w:r w:rsidRPr="000127EF">
              <w:rPr>
                <w:rFonts w:cs="Arial"/>
                <w:szCs w:val="22"/>
                <w:lang w:val="en-US"/>
              </w:rPr>
              <w:t>Fair Value of Employer Assets</w:t>
            </w:r>
          </w:p>
        </w:tc>
        <w:tc>
          <w:tcPr>
            <w:tcW w:w="1534" w:type="dxa"/>
            <w:shd w:val="clear" w:color="auto" w:fill="C5E0B3" w:themeFill="accent6" w:themeFillTint="66"/>
          </w:tcPr>
          <w:p w14:paraId="65B93690" w14:textId="68A62DE2" w:rsidR="00D96A38" w:rsidRPr="0058695E" w:rsidRDefault="0058695E" w:rsidP="00D96A38">
            <w:pPr>
              <w:jc w:val="right"/>
            </w:pPr>
            <w:r w:rsidRPr="0058695E">
              <w:t>(71,83</w:t>
            </w:r>
            <w:r w:rsidR="000B6A02">
              <w:t>0</w:t>
            </w:r>
            <w:r w:rsidRPr="0058695E">
              <w:t>)</w:t>
            </w:r>
          </w:p>
        </w:tc>
      </w:tr>
      <w:tr w:rsidR="00D96A38" w:rsidRPr="000127EF" w14:paraId="05395352" w14:textId="77777777" w:rsidTr="007A79E7">
        <w:trPr>
          <w:jc w:val="center"/>
        </w:trPr>
        <w:tc>
          <w:tcPr>
            <w:tcW w:w="1454" w:type="dxa"/>
            <w:tcBorders>
              <w:bottom w:val="nil"/>
            </w:tcBorders>
          </w:tcPr>
          <w:p w14:paraId="7D2E4C6A" w14:textId="0CCC41BA" w:rsidR="00D96A38" w:rsidRPr="00D96A38" w:rsidRDefault="00D96A38" w:rsidP="00D96A38">
            <w:pPr>
              <w:jc w:val="right"/>
              <w:rPr>
                <w:i/>
              </w:rPr>
            </w:pPr>
            <w:r w:rsidRPr="00D96A38">
              <w:rPr>
                <w:i/>
              </w:rPr>
              <w:t>12</w:t>
            </w:r>
            <w:r w:rsidR="0058695E">
              <w:rPr>
                <w:i/>
              </w:rPr>
              <w:t>1</w:t>
            </w:r>
            <w:r w:rsidRPr="00D96A38">
              <w:rPr>
                <w:i/>
              </w:rPr>
              <w:t>,</w:t>
            </w:r>
            <w:r w:rsidR="0058695E">
              <w:rPr>
                <w:i/>
              </w:rPr>
              <w:t>641</w:t>
            </w:r>
          </w:p>
        </w:tc>
        <w:tc>
          <w:tcPr>
            <w:tcW w:w="5634" w:type="dxa"/>
            <w:tcBorders>
              <w:bottom w:val="nil"/>
            </w:tcBorders>
          </w:tcPr>
          <w:p w14:paraId="743689F2" w14:textId="77777777" w:rsidR="00D96A38" w:rsidRPr="000127EF" w:rsidRDefault="00D96A38" w:rsidP="00D96A38">
            <w:pPr>
              <w:rPr>
                <w:rFonts w:cs="Arial"/>
                <w:szCs w:val="22"/>
                <w:lang w:val="en-US"/>
              </w:rPr>
            </w:pPr>
            <w:r w:rsidRPr="000127EF">
              <w:rPr>
                <w:rFonts w:cs="Arial"/>
                <w:szCs w:val="22"/>
                <w:lang w:val="en-US"/>
              </w:rPr>
              <w:t>Present Value of Defined Benefit Obligation</w:t>
            </w:r>
          </w:p>
        </w:tc>
        <w:tc>
          <w:tcPr>
            <w:tcW w:w="1534" w:type="dxa"/>
            <w:tcBorders>
              <w:bottom w:val="nil"/>
            </w:tcBorders>
            <w:shd w:val="clear" w:color="auto" w:fill="C5E0B3" w:themeFill="accent6" w:themeFillTint="66"/>
          </w:tcPr>
          <w:p w14:paraId="6B570A76" w14:textId="62B9DF24" w:rsidR="00D96A38" w:rsidRPr="0058695E" w:rsidRDefault="0058695E" w:rsidP="00D96A38">
            <w:pPr>
              <w:jc w:val="right"/>
            </w:pPr>
            <w:r w:rsidRPr="0058695E">
              <w:t>111,</w:t>
            </w:r>
            <w:r w:rsidR="000B6A02">
              <w:t>790</w:t>
            </w:r>
          </w:p>
        </w:tc>
      </w:tr>
      <w:tr w:rsidR="00D96A38" w:rsidRPr="000127EF" w14:paraId="192360A9" w14:textId="77777777" w:rsidTr="007A79E7">
        <w:trPr>
          <w:jc w:val="center"/>
        </w:trPr>
        <w:tc>
          <w:tcPr>
            <w:tcW w:w="1454" w:type="dxa"/>
            <w:tcBorders>
              <w:top w:val="single" w:sz="8" w:space="0" w:color="auto"/>
              <w:bottom w:val="single" w:sz="8" w:space="0" w:color="auto"/>
            </w:tcBorders>
          </w:tcPr>
          <w:p w14:paraId="033E2D69" w14:textId="4F643992" w:rsidR="00D96A38" w:rsidRPr="00D96A38" w:rsidRDefault="0058695E" w:rsidP="00D96A38">
            <w:pPr>
              <w:jc w:val="right"/>
              <w:rPr>
                <w:b/>
                <w:i/>
              </w:rPr>
            </w:pPr>
            <w:r>
              <w:rPr>
                <w:b/>
                <w:i/>
              </w:rPr>
              <w:t>47,095</w:t>
            </w:r>
          </w:p>
        </w:tc>
        <w:tc>
          <w:tcPr>
            <w:tcW w:w="5634" w:type="dxa"/>
            <w:tcBorders>
              <w:bottom w:val="nil"/>
            </w:tcBorders>
          </w:tcPr>
          <w:p w14:paraId="0360C69A" w14:textId="77777777" w:rsidR="00D96A38" w:rsidRPr="000127EF" w:rsidRDefault="00D96A38" w:rsidP="00D96A38">
            <w:pPr>
              <w:rPr>
                <w:b/>
              </w:rPr>
            </w:pPr>
            <w:r w:rsidRPr="000127EF">
              <w:rPr>
                <w:b/>
              </w:rPr>
              <w:t>Net liability arising from defined benefit obligation</w:t>
            </w:r>
          </w:p>
        </w:tc>
        <w:tc>
          <w:tcPr>
            <w:tcW w:w="1534" w:type="dxa"/>
            <w:tcBorders>
              <w:top w:val="single" w:sz="8" w:space="0" w:color="auto"/>
              <w:bottom w:val="single" w:sz="8" w:space="0" w:color="auto"/>
            </w:tcBorders>
            <w:shd w:val="clear" w:color="auto" w:fill="C5E0B3" w:themeFill="accent6" w:themeFillTint="66"/>
          </w:tcPr>
          <w:p w14:paraId="32AFB0EE" w14:textId="58216C29" w:rsidR="00D96A38" w:rsidRPr="0058695E" w:rsidRDefault="000B6A02" w:rsidP="00D96A38">
            <w:pPr>
              <w:jc w:val="right"/>
              <w:rPr>
                <w:b/>
              </w:rPr>
            </w:pPr>
            <w:r>
              <w:rPr>
                <w:b/>
              </w:rPr>
              <w:t>39</w:t>
            </w:r>
            <w:r w:rsidR="0058695E" w:rsidRPr="0058695E">
              <w:rPr>
                <w:b/>
              </w:rPr>
              <w:t>,</w:t>
            </w:r>
            <w:r>
              <w:rPr>
                <w:b/>
              </w:rPr>
              <w:t>960</w:t>
            </w:r>
          </w:p>
        </w:tc>
      </w:tr>
      <w:tr w:rsidR="005F7F74" w:rsidRPr="000127EF" w14:paraId="792BB0EC" w14:textId="77777777" w:rsidTr="007A79E7">
        <w:trPr>
          <w:trHeight w:hRule="exact" w:val="142"/>
          <w:jc w:val="center"/>
        </w:trPr>
        <w:tc>
          <w:tcPr>
            <w:tcW w:w="1454" w:type="dxa"/>
            <w:tcBorders>
              <w:top w:val="nil"/>
            </w:tcBorders>
          </w:tcPr>
          <w:p w14:paraId="7D40058D" w14:textId="77777777" w:rsidR="005F7F74" w:rsidRPr="000127EF" w:rsidRDefault="005F7F74" w:rsidP="005F7F74">
            <w:pPr>
              <w:jc w:val="right"/>
              <w:rPr>
                <w:i/>
              </w:rPr>
            </w:pPr>
          </w:p>
        </w:tc>
        <w:tc>
          <w:tcPr>
            <w:tcW w:w="5634" w:type="dxa"/>
            <w:tcBorders>
              <w:top w:val="nil"/>
            </w:tcBorders>
          </w:tcPr>
          <w:p w14:paraId="1C21E5BA" w14:textId="77777777" w:rsidR="005F7F74" w:rsidRPr="000127EF" w:rsidRDefault="005F7F74" w:rsidP="005F7F74">
            <w:pPr>
              <w:jc w:val="both"/>
            </w:pPr>
          </w:p>
        </w:tc>
        <w:tc>
          <w:tcPr>
            <w:tcW w:w="1534" w:type="dxa"/>
            <w:tcBorders>
              <w:top w:val="nil"/>
            </w:tcBorders>
          </w:tcPr>
          <w:p w14:paraId="5B76D73A" w14:textId="77777777" w:rsidR="005F7F74" w:rsidRPr="000127EF" w:rsidRDefault="005F7F74" w:rsidP="005F7F74">
            <w:pPr>
              <w:jc w:val="right"/>
            </w:pPr>
          </w:p>
        </w:tc>
      </w:tr>
    </w:tbl>
    <w:p w14:paraId="317E49A2" w14:textId="76063674" w:rsidR="00CE0021" w:rsidRDefault="0058535E" w:rsidP="00CE4257">
      <w:pPr>
        <w:spacing w:before="120" w:after="120"/>
        <w:jc w:val="both"/>
      </w:pPr>
      <w:r w:rsidRPr="000127EF">
        <w:t>The expected return on scheme assets is determined by considering the expected returns available on the assets underlying the current investment policy.  Expected yields on fixed interest investments are based on gross redemption yields as at the Balance Sheet date.  Expected returns on equity investments reflect long-term real rates of return experienced in the respective markets</w:t>
      </w:r>
      <w:r w:rsidR="00CE0021" w:rsidRPr="000127EF">
        <w:t>.</w:t>
      </w:r>
    </w:p>
    <w:p w14:paraId="0558BE59" w14:textId="28C72022" w:rsidR="0068310D" w:rsidRDefault="0068310D" w:rsidP="00CE4257">
      <w:pPr>
        <w:spacing w:before="120" w:after="120"/>
        <w:jc w:val="both"/>
      </w:pPr>
      <w:r w:rsidRPr="00B35D23">
        <w:t>The council have been made aware that there is a material uncertainty in the valuation of its property assets (£99.6m). As such there pension fund auditors (Grant Thornton) will be including an emphasis of matter paragraph in the audit opinion for the pension fund.</w:t>
      </w:r>
    </w:p>
    <w:p w14:paraId="3B5B3600" w14:textId="77777777" w:rsidR="00050103" w:rsidRDefault="00050103" w:rsidP="00CE4257">
      <w:pPr>
        <w:spacing w:before="120" w:after="120"/>
        <w:jc w:val="both"/>
      </w:pPr>
    </w:p>
    <w:tbl>
      <w:tblPr>
        <w:tblStyle w:val="TableGrid"/>
        <w:tblpPr w:leftFromText="180" w:rightFromText="180" w:vertAnchor="text" w:horzAnchor="page" w:tblpX="1591" w:tblpY="-473"/>
        <w:tblW w:w="8622"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BC4701" w:rsidRPr="000127EF" w14:paraId="381573A0" w14:textId="77777777" w:rsidTr="00E302B4">
        <w:trPr>
          <w:trHeight w:val="283"/>
        </w:trPr>
        <w:tc>
          <w:tcPr>
            <w:tcW w:w="1454" w:type="dxa"/>
            <w:vAlign w:val="center"/>
          </w:tcPr>
          <w:p w14:paraId="30C759B2" w14:textId="77777777" w:rsidR="00BC4701" w:rsidRPr="000127EF" w:rsidRDefault="00BC4701" w:rsidP="00E302B4">
            <w:pPr>
              <w:jc w:val="center"/>
              <w:rPr>
                <w:b/>
                <w:i/>
              </w:rPr>
            </w:pPr>
            <w:r>
              <w:rPr>
                <w:b/>
                <w:i/>
              </w:rPr>
              <w:t>2018/19</w:t>
            </w:r>
          </w:p>
        </w:tc>
        <w:tc>
          <w:tcPr>
            <w:tcW w:w="5634" w:type="dxa"/>
            <w:vAlign w:val="center"/>
          </w:tcPr>
          <w:p w14:paraId="6AC8D7C1" w14:textId="77777777" w:rsidR="00BC4701" w:rsidRPr="000127EF" w:rsidRDefault="00BC4701" w:rsidP="00E302B4">
            <w:pPr>
              <w:jc w:val="center"/>
              <w:rPr>
                <w:b/>
              </w:rPr>
            </w:pPr>
            <w:r w:rsidRPr="000127EF">
              <w:rPr>
                <w:b/>
              </w:rPr>
              <w:t>Reconciliation of the Fair Value of the Scheme Assets</w:t>
            </w:r>
          </w:p>
        </w:tc>
        <w:tc>
          <w:tcPr>
            <w:tcW w:w="1534" w:type="dxa"/>
            <w:vAlign w:val="center"/>
          </w:tcPr>
          <w:p w14:paraId="3609FC01" w14:textId="77777777" w:rsidR="00BC4701" w:rsidRPr="0058695E" w:rsidRDefault="00BC4701" w:rsidP="00E302B4">
            <w:pPr>
              <w:jc w:val="center"/>
              <w:rPr>
                <w:b/>
              </w:rPr>
            </w:pPr>
            <w:r w:rsidRPr="0058695E">
              <w:rPr>
                <w:b/>
              </w:rPr>
              <w:t>2019/20</w:t>
            </w:r>
          </w:p>
        </w:tc>
      </w:tr>
      <w:tr w:rsidR="00BC4701" w:rsidRPr="000127EF" w14:paraId="17C0C020" w14:textId="77777777" w:rsidTr="00E302B4">
        <w:tc>
          <w:tcPr>
            <w:tcW w:w="1454" w:type="dxa"/>
          </w:tcPr>
          <w:p w14:paraId="2A01A2FC" w14:textId="77777777" w:rsidR="00BC4701" w:rsidRPr="000127EF" w:rsidRDefault="00BC4701" w:rsidP="00E302B4">
            <w:pPr>
              <w:jc w:val="center"/>
              <w:rPr>
                <w:b/>
                <w:i/>
              </w:rPr>
            </w:pPr>
            <w:r w:rsidRPr="000127EF">
              <w:rPr>
                <w:b/>
                <w:i/>
              </w:rPr>
              <w:t>£000</w:t>
            </w:r>
          </w:p>
        </w:tc>
        <w:tc>
          <w:tcPr>
            <w:tcW w:w="5634" w:type="dxa"/>
          </w:tcPr>
          <w:p w14:paraId="1BD65991" w14:textId="77777777" w:rsidR="00BC4701" w:rsidRPr="000127EF" w:rsidRDefault="00BC4701" w:rsidP="00E302B4">
            <w:pPr>
              <w:jc w:val="center"/>
              <w:rPr>
                <w:b/>
              </w:rPr>
            </w:pPr>
          </w:p>
        </w:tc>
        <w:tc>
          <w:tcPr>
            <w:tcW w:w="1534" w:type="dxa"/>
            <w:shd w:val="clear" w:color="auto" w:fill="C5E0B3" w:themeFill="accent6" w:themeFillTint="66"/>
          </w:tcPr>
          <w:p w14:paraId="0936D61D" w14:textId="77777777" w:rsidR="00BC4701" w:rsidRPr="0058695E" w:rsidRDefault="00BC4701" w:rsidP="00E302B4">
            <w:pPr>
              <w:jc w:val="center"/>
              <w:rPr>
                <w:b/>
              </w:rPr>
            </w:pPr>
            <w:r w:rsidRPr="0058695E">
              <w:rPr>
                <w:b/>
              </w:rPr>
              <w:t>£000</w:t>
            </w:r>
          </w:p>
        </w:tc>
      </w:tr>
      <w:tr w:rsidR="00BC4701" w:rsidRPr="000127EF" w14:paraId="34F16371" w14:textId="77777777" w:rsidTr="00E302B4">
        <w:tc>
          <w:tcPr>
            <w:tcW w:w="1454" w:type="dxa"/>
          </w:tcPr>
          <w:p w14:paraId="589737D5" w14:textId="77777777" w:rsidR="00BC4701" w:rsidRPr="00D96A38" w:rsidRDefault="00BC4701" w:rsidP="00E302B4">
            <w:pPr>
              <w:jc w:val="right"/>
              <w:rPr>
                <w:i/>
              </w:rPr>
            </w:pPr>
            <w:r>
              <w:rPr>
                <w:i/>
              </w:rPr>
              <w:t>70,250</w:t>
            </w:r>
          </w:p>
        </w:tc>
        <w:tc>
          <w:tcPr>
            <w:tcW w:w="5634" w:type="dxa"/>
            <w:vAlign w:val="center"/>
          </w:tcPr>
          <w:p w14:paraId="3C45C6AA" w14:textId="77777777" w:rsidR="00BC4701" w:rsidRPr="000127EF" w:rsidRDefault="00BC4701" w:rsidP="00E302B4">
            <w:pPr>
              <w:rPr>
                <w:rFonts w:cs="Arial"/>
                <w:szCs w:val="22"/>
                <w:lang w:val="en-US"/>
              </w:rPr>
            </w:pPr>
            <w:r w:rsidRPr="000127EF">
              <w:rPr>
                <w:rFonts w:cs="Arial"/>
                <w:szCs w:val="22"/>
                <w:lang w:val="en-US"/>
              </w:rPr>
              <w:t>Opening fair value of Scheme Assets</w:t>
            </w:r>
          </w:p>
        </w:tc>
        <w:tc>
          <w:tcPr>
            <w:tcW w:w="1534" w:type="dxa"/>
            <w:shd w:val="clear" w:color="auto" w:fill="C5E0B3" w:themeFill="accent6" w:themeFillTint="66"/>
          </w:tcPr>
          <w:p w14:paraId="5BE32AE4" w14:textId="77777777" w:rsidR="00BC4701" w:rsidRPr="0058695E" w:rsidRDefault="00BC4701" w:rsidP="00E302B4">
            <w:pPr>
              <w:jc w:val="right"/>
            </w:pPr>
            <w:r>
              <w:t>74,546</w:t>
            </w:r>
          </w:p>
        </w:tc>
      </w:tr>
      <w:tr w:rsidR="00BC4701" w:rsidRPr="000127EF" w14:paraId="10E0DB01" w14:textId="77777777" w:rsidTr="00E302B4">
        <w:tc>
          <w:tcPr>
            <w:tcW w:w="1454" w:type="dxa"/>
            <w:tcBorders>
              <w:bottom w:val="nil"/>
            </w:tcBorders>
          </w:tcPr>
          <w:p w14:paraId="2B80AE22" w14:textId="77777777" w:rsidR="00BC4701" w:rsidRPr="00D96A38" w:rsidRDefault="00BC4701" w:rsidP="00E302B4">
            <w:pPr>
              <w:jc w:val="right"/>
              <w:rPr>
                <w:i/>
              </w:rPr>
            </w:pPr>
            <w:r w:rsidRPr="00D96A38">
              <w:rPr>
                <w:i/>
              </w:rPr>
              <w:t>1,900</w:t>
            </w:r>
          </w:p>
        </w:tc>
        <w:tc>
          <w:tcPr>
            <w:tcW w:w="5634" w:type="dxa"/>
            <w:tcBorders>
              <w:bottom w:val="nil"/>
            </w:tcBorders>
          </w:tcPr>
          <w:p w14:paraId="02A51E27" w14:textId="77777777" w:rsidR="00BC4701" w:rsidRPr="000127EF" w:rsidRDefault="00BC4701" w:rsidP="00E302B4">
            <w:pPr>
              <w:rPr>
                <w:rFonts w:cs="Arial"/>
                <w:szCs w:val="22"/>
                <w:lang w:val="en-US"/>
              </w:rPr>
            </w:pPr>
            <w:r w:rsidRPr="000127EF">
              <w:rPr>
                <w:rFonts w:cs="Arial"/>
                <w:szCs w:val="22"/>
                <w:lang w:val="en-US"/>
              </w:rPr>
              <w:t>Interest Income</w:t>
            </w:r>
          </w:p>
        </w:tc>
        <w:tc>
          <w:tcPr>
            <w:tcW w:w="1534" w:type="dxa"/>
            <w:tcBorders>
              <w:bottom w:val="nil"/>
            </w:tcBorders>
            <w:shd w:val="clear" w:color="auto" w:fill="C5E0B3" w:themeFill="accent6" w:themeFillTint="66"/>
          </w:tcPr>
          <w:p w14:paraId="138282CE" w14:textId="77777777" w:rsidR="00BC4701" w:rsidRPr="0058695E" w:rsidRDefault="00BC4701" w:rsidP="00E302B4">
            <w:pPr>
              <w:jc w:val="right"/>
            </w:pPr>
            <w:r w:rsidRPr="0058695E">
              <w:t>1,798</w:t>
            </w:r>
          </w:p>
        </w:tc>
      </w:tr>
      <w:tr w:rsidR="00BC4701" w:rsidRPr="000127EF" w14:paraId="13B85EA9" w14:textId="77777777" w:rsidTr="00E302B4">
        <w:tc>
          <w:tcPr>
            <w:tcW w:w="1454" w:type="dxa"/>
            <w:tcBorders>
              <w:bottom w:val="nil"/>
            </w:tcBorders>
            <w:vAlign w:val="bottom"/>
          </w:tcPr>
          <w:p w14:paraId="1D3E6864" w14:textId="77777777" w:rsidR="00BC4701" w:rsidRPr="00D96A38" w:rsidRDefault="00BC4701" w:rsidP="00E302B4">
            <w:pPr>
              <w:jc w:val="right"/>
              <w:rPr>
                <w:i/>
              </w:rPr>
            </w:pPr>
            <w:r>
              <w:rPr>
                <w:i/>
              </w:rPr>
              <w:t>2,028</w:t>
            </w:r>
          </w:p>
        </w:tc>
        <w:tc>
          <w:tcPr>
            <w:tcW w:w="5634" w:type="dxa"/>
            <w:tcBorders>
              <w:bottom w:val="nil"/>
            </w:tcBorders>
          </w:tcPr>
          <w:p w14:paraId="7E37928D" w14:textId="77777777" w:rsidR="00BC4701" w:rsidRPr="000127EF" w:rsidRDefault="00BC4701" w:rsidP="00E302B4">
            <w:pPr>
              <w:ind w:left="198"/>
              <w:rPr>
                <w:rFonts w:cs="Arial"/>
                <w:szCs w:val="22"/>
                <w:lang w:val="en-US"/>
              </w:rPr>
            </w:pPr>
            <w:r w:rsidRPr="000127EF">
              <w:rPr>
                <w:rFonts w:cs="Arial"/>
                <w:szCs w:val="22"/>
                <w:lang w:val="en-US"/>
              </w:rPr>
              <w:t>Return on plan assets, excluding the amount   included in the net interest expense</w:t>
            </w:r>
          </w:p>
        </w:tc>
        <w:tc>
          <w:tcPr>
            <w:tcW w:w="1534" w:type="dxa"/>
            <w:tcBorders>
              <w:bottom w:val="nil"/>
            </w:tcBorders>
            <w:shd w:val="clear" w:color="auto" w:fill="C5E0B3" w:themeFill="accent6" w:themeFillTint="66"/>
            <w:vAlign w:val="bottom"/>
          </w:tcPr>
          <w:p w14:paraId="34FE1D57" w14:textId="3538D5EB" w:rsidR="00BC4701" w:rsidRPr="0058695E" w:rsidRDefault="00BC4701" w:rsidP="00E302B4">
            <w:pPr>
              <w:jc w:val="right"/>
            </w:pPr>
            <w:r w:rsidRPr="0058695E">
              <w:t>(4,92</w:t>
            </w:r>
            <w:r w:rsidR="000B6A02">
              <w:t>9</w:t>
            </w:r>
            <w:r w:rsidRPr="0058695E">
              <w:t>)</w:t>
            </w:r>
          </w:p>
        </w:tc>
      </w:tr>
      <w:tr w:rsidR="00BC4701" w:rsidRPr="000127EF" w14:paraId="212BE9E0" w14:textId="77777777" w:rsidTr="00E302B4">
        <w:tc>
          <w:tcPr>
            <w:tcW w:w="1454" w:type="dxa"/>
            <w:tcBorders>
              <w:bottom w:val="nil"/>
            </w:tcBorders>
          </w:tcPr>
          <w:p w14:paraId="23143AE2" w14:textId="77777777" w:rsidR="00BC4701" w:rsidRPr="00D96A38" w:rsidRDefault="00BC4701" w:rsidP="00E302B4">
            <w:pPr>
              <w:jc w:val="right"/>
              <w:rPr>
                <w:i/>
              </w:rPr>
            </w:pPr>
            <w:r w:rsidRPr="00D96A38">
              <w:rPr>
                <w:i/>
              </w:rPr>
              <w:t>2,422</w:t>
            </w:r>
          </w:p>
        </w:tc>
        <w:tc>
          <w:tcPr>
            <w:tcW w:w="5634" w:type="dxa"/>
            <w:tcBorders>
              <w:bottom w:val="nil"/>
            </w:tcBorders>
          </w:tcPr>
          <w:p w14:paraId="5A23C080" w14:textId="77777777" w:rsidR="00BC4701" w:rsidRPr="000127EF" w:rsidRDefault="00BC4701" w:rsidP="00E302B4">
            <w:pPr>
              <w:rPr>
                <w:rFonts w:cs="Arial"/>
                <w:szCs w:val="22"/>
                <w:lang w:val="en-US"/>
              </w:rPr>
            </w:pPr>
            <w:r w:rsidRPr="000127EF">
              <w:rPr>
                <w:rFonts w:cs="Arial"/>
                <w:szCs w:val="22"/>
                <w:lang w:val="en-US"/>
              </w:rPr>
              <w:t>Contributions from Employer</w:t>
            </w:r>
          </w:p>
        </w:tc>
        <w:tc>
          <w:tcPr>
            <w:tcW w:w="1534" w:type="dxa"/>
            <w:tcBorders>
              <w:bottom w:val="nil"/>
            </w:tcBorders>
            <w:shd w:val="clear" w:color="auto" w:fill="C5E0B3" w:themeFill="accent6" w:themeFillTint="66"/>
          </w:tcPr>
          <w:p w14:paraId="289CC485" w14:textId="77777777" w:rsidR="00BC4701" w:rsidRPr="0058695E" w:rsidRDefault="00BC4701" w:rsidP="00E302B4">
            <w:pPr>
              <w:jc w:val="right"/>
            </w:pPr>
            <w:r w:rsidRPr="0058695E">
              <w:t>2,817</w:t>
            </w:r>
          </w:p>
        </w:tc>
      </w:tr>
      <w:tr w:rsidR="00BC4701" w:rsidRPr="000127EF" w14:paraId="6F63FD51" w14:textId="77777777" w:rsidTr="00E302B4">
        <w:tc>
          <w:tcPr>
            <w:tcW w:w="1454" w:type="dxa"/>
            <w:tcBorders>
              <w:bottom w:val="nil"/>
            </w:tcBorders>
          </w:tcPr>
          <w:p w14:paraId="2CB7FBC3" w14:textId="77777777" w:rsidR="00BC4701" w:rsidRPr="00D96A38" w:rsidRDefault="00BC4701" w:rsidP="00E302B4">
            <w:pPr>
              <w:jc w:val="right"/>
              <w:rPr>
                <w:i/>
              </w:rPr>
            </w:pPr>
            <w:r w:rsidRPr="00D96A38">
              <w:rPr>
                <w:i/>
              </w:rPr>
              <w:t>666</w:t>
            </w:r>
          </w:p>
        </w:tc>
        <w:tc>
          <w:tcPr>
            <w:tcW w:w="5634" w:type="dxa"/>
            <w:tcBorders>
              <w:bottom w:val="nil"/>
            </w:tcBorders>
          </w:tcPr>
          <w:p w14:paraId="294222F6" w14:textId="77777777" w:rsidR="00BC4701" w:rsidRPr="000127EF" w:rsidRDefault="00BC4701" w:rsidP="00E302B4">
            <w:pPr>
              <w:rPr>
                <w:rFonts w:cs="Arial"/>
                <w:szCs w:val="22"/>
                <w:lang w:val="en-US"/>
              </w:rPr>
            </w:pPr>
            <w:r w:rsidRPr="000127EF">
              <w:rPr>
                <w:rFonts w:cs="Arial"/>
                <w:szCs w:val="22"/>
                <w:lang w:val="en-US"/>
              </w:rPr>
              <w:t>Contributions from Employees</w:t>
            </w:r>
          </w:p>
        </w:tc>
        <w:tc>
          <w:tcPr>
            <w:tcW w:w="1534" w:type="dxa"/>
            <w:tcBorders>
              <w:bottom w:val="nil"/>
            </w:tcBorders>
            <w:shd w:val="clear" w:color="auto" w:fill="C5E0B3" w:themeFill="accent6" w:themeFillTint="66"/>
          </w:tcPr>
          <w:p w14:paraId="6943F6E7" w14:textId="77777777" w:rsidR="00BC4701" w:rsidRPr="0058695E" w:rsidRDefault="00BC4701" w:rsidP="00E302B4">
            <w:pPr>
              <w:jc w:val="right"/>
            </w:pPr>
            <w:r w:rsidRPr="0058695E">
              <w:t>742</w:t>
            </w:r>
          </w:p>
        </w:tc>
      </w:tr>
      <w:tr w:rsidR="00BC4701" w:rsidRPr="000127EF" w14:paraId="0D5FE6B2" w14:textId="77777777" w:rsidTr="00E302B4">
        <w:tc>
          <w:tcPr>
            <w:tcW w:w="1454" w:type="dxa"/>
            <w:tcBorders>
              <w:bottom w:val="nil"/>
            </w:tcBorders>
          </w:tcPr>
          <w:p w14:paraId="69FA00DD" w14:textId="77777777" w:rsidR="00BC4701" w:rsidRPr="00D96A38" w:rsidRDefault="00BC4701" w:rsidP="00E302B4">
            <w:pPr>
              <w:jc w:val="right"/>
              <w:rPr>
                <w:i/>
              </w:rPr>
            </w:pPr>
            <w:r w:rsidRPr="00D96A38">
              <w:rPr>
                <w:i/>
              </w:rPr>
              <w:t>(2,720)</w:t>
            </w:r>
          </w:p>
        </w:tc>
        <w:tc>
          <w:tcPr>
            <w:tcW w:w="5634" w:type="dxa"/>
            <w:tcBorders>
              <w:bottom w:val="nil"/>
            </w:tcBorders>
          </w:tcPr>
          <w:p w14:paraId="3700029D" w14:textId="77777777" w:rsidR="00BC4701" w:rsidRPr="000127EF" w:rsidRDefault="00BC4701" w:rsidP="00E302B4">
            <w:pPr>
              <w:rPr>
                <w:rFonts w:cs="Arial"/>
                <w:szCs w:val="22"/>
                <w:lang w:val="en-US"/>
              </w:rPr>
            </w:pPr>
            <w:r w:rsidRPr="000127EF">
              <w:rPr>
                <w:rFonts w:cs="Arial"/>
                <w:szCs w:val="22"/>
                <w:lang w:val="en-US"/>
              </w:rPr>
              <w:t>Benefits Paid</w:t>
            </w:r>
          </w:p>
        </w:tc>
        <w:tc>
          <w:tcPr>
            <w:tcW w:w="1534" w:type="dxa"/>
            <w:tcBorders>
              <w:bottom w:val="nil"/>
            </w:tcBorders>
            <w:shd w:val="clear" w:color="auto" w:fill="C5E0B3" w:themeFill="accent6" w:themeFillTint="66"/>
          </w:tcPr>
          <w:p w14:paraId="16712332" w14:textId="77777777" w:rsidR="00BC4701" w:rsidRPr="0058695E" w:rsidRDefault="00BC4701" w:rsidP="00E302B4">
            <w:pPr>
              <w:jc w:val="right"/>
            </w:pPr>
            <w:r w:rsidRPr="0058695E">
              <w:t>(3,144)</w:t>
            </w:r>
          </w:p>
        </w:tc>
      </w:tr>
      <w:tr w:rsidR="00BC4701" w:rsidRPr="000127EF" w14:paraId="3C6558FF" w14:textId="77777777" w:rsidTr="00E302B4">
        <w:tc>
          <w:tcPr>
            <w:tcW w:w="1454" w:type="dxa"/>
            <w:tcBorders>
              <w:top w:val="single" w:sz="8" w:space="0" w:color="auto"/>
              <w:bottom w:val="single" w:sz="8" w:space="0" w:color="auto"/>
            </w:tcBorders>
          </w:tcPr>
          <w:p w14:paraId="3321F09D" w14:textId="77777777" w:rsidR="00BC4701" w:rsidRPr="00D96A38" w:rsidRDefault="00BC4701" w:rsidP="00E302B4">
            <w:pPr>
              <w:jc w:val="right"/>
              <w:rPr>
                <w:i/>
              </w:rPr>
            </w:pPr>
            <w:r>
              <w:rPr>
                <w:b/>
                <w:i/>
              </w:rPr>
              <w:t>74,546</w:t>
            </w:r>
          </w:p>
        </w:tc>
        <w:tc>
          <w:tcPr>
            <w:tcW w:w="5634" w:type="dxa"/>
            <w:tcBorders>
              <w:bottom w:val="nil"/>
            </w:tcBorders>
          </w:tcPr>
          <w:p w14:paraId="3818887C" w14:textId="77777777" w:rsidR="00BC4701" w:rsidRPr="000127EF" w:rsidRDefault="00BC4701" w:rsidP="00E302B4">
            <w:pPr>
              <w:rPr>
                <w:rFonts w:cs="Arial"/>
                <w:szCs w:val="22"/>
                <w:lang w:val="en-US"/>
              </w:rPr>
            </w:pPr>
            <w:r w:rsidRPr="000127EF">
              <w:rPr>
                <w:b/>
              </w:rPr>
              <w:t>Closing Fair Value of Scheme Assets</w:t>
            </w:r>
          </w:p>
        </w:tc>
        <w:tc>
          <w:tcPr>
            <w:tcW w:w="1534" w:type="dxa"/>
            <w:tcBorders>
              <w:top w:val="single" w:sz="8" w:space="0" w:color="auto"/>
              <w:bottom w:val="single" w:sz="8" w:space="0" w:color="auto"/>
            </w:tcBorders>
            <w:shd w:val="clear" w:color="auto" w:fill="C5E0B3" w:themeFill="accent6" w:themeFillTint="66"/>
          </w:tcPr>
          <w:p w14:paraId="2038C189" w14:textId="4789D7F2" w:rsidR="00BC4701" w:rsidRPr="0058695E" w:rsidRDefault="00BC4701" w:rsidP="00E302B4">
            <w:pPr>
              <w:jc w:val="right"/>
            </w:pPr>
            <w:r w:rsidRPr="0058695E">
              <w:t>71,83</w:t>
            </w:r>
            <w:r w:rsidR="000B6A02">
              <w:t>0</w:t>
            </w:r>
          </w:p>
        </w:tc>
      </w:tr>
      <w:tr w:rsidR="00BC4701" w:rsidRPr="000127EF" w14:paraId="073B1CFA" w14:textId="77777777" w:rsidTr="00E302B4">
        <w:tc>
          <w:tcPr>
            <w:tcW w:w="1454" w:type="dxa"/>
            <w:tcBorders>
              <w:top w:val="nil"/>
            </w:tcBorders>
          </w:tcPr>
          <w:p w14:paraId="1713F945" w14:textId="77777777" w:rsidR="00BC4701" w:rsidRPr="000127EF" w:rsidRDefault="00BC4701" w:rsidP="00E302B4">
            <w:pPr>
              <w:jc w:val="right"/>
              <w:rPr>
                <w:b/>
                <w:i/>
              </w:rPr>
            </w:pPr>
          </w:p>
        </w:tc>
        <w:tc>
          <w:tcPr>
            <w:tcW w:w="5634" w:type="dxa"/>
            <w:tcBorders>
              <w:top w:val="nil"/>
            </w:tcBorders>
          </w:tcPr>
          <w:p w14:paraId="744E7C3E" w14:textId="77777777" w:rsidR="00BC4701" w:rsidRPr="000127EF" w:rsidRDefault="00BC4701" w:rsidP="00E302B4">
            <w:pPr>
              <w:rPr>
                <w:b/>
              </w:rPr>
            </w:pPr>
          </w:p>
        </w:tc>
        <w:tc>
          <w:tcPr>
            <w:tcW w:w="1534" w:type="dxa"/>
            <w:tcBorders>
              <w:top w:val="nil"/>
            </w:tcBorders>
          </w:tcPr>
          <w:p w14:paraId="02014EDD" w14:textId="77777777" w:rsidR="00BC4701" w:rsidRPr="000127EF" w:rsidRDefault="00BC4701" w:rsidP="00E302B4">
            <w:pPr>
              <w:jc w:val="right"/>
              <w:rPr>
                <w:b/>
              </w:rPr>
            </w:pPr>
          </w:p>
        </w:tc>
      </w:tr>
      <w:tr w:rsidR="00BC4701" w:rsidRPr="000127EF" w14:paraId="6CAE5AF8" w14:textId="77777777" w:rsidTr="00E302B4">
        <w:trPr>
          <w:trHeight w:hRule="exact" w:val="142"/>
        </w:trPr>
        <w:tc>
          <w:tcPr>
            <w:tcW w:w="1454" w:type="dxa"/>
            <w:tcBorders>
              <w:top w:val="nil"/>
            </w:tcBorders>
          </w:tcPr>
          <w:p w14:paraId="01D34824" w14:textId="77777777" w:rsidR="00BC4701" w:rsidRPr="000127EF" w:rsidRDefault="00BC4701" w:rsidP="00E302B4">
            <w:pPr>
              <w:jc w:val="right"/>
              <w:rPr>
                <w:i/>
              </w:rPr>
            </w:pPr>
          </w:p>
        </w:tc>
        <w:tc>
          <w:tcPr>
            <w:tcW w:w="5634" w:type="dxa"/>
            <w:tcBorders>
              <w:top w:val="nil"/>
            </w:tcBorders>
          </w:tcPr>
          <w:p w14:paraId="218342B8" w14:textId="77777777" w:rsidR="00BC4701" w:rsidRPr="000127EF" w:rsidRDefault="00BC4701" w:rsidP="00E302B4">
            <w:pPr>
              <w:jc w:val="both"/>
            </w:pPr>
          </w:p>
        </w:tc>
        <w:tc>
          <w:tcPr>
            <w:tcW w:w="1534" w:type="dxa"/>
            <w:tcBorders>
              <w:top w:val="nil"/>
            </w:tcBorders>
          </w:tcPr>
          <w:p w14:paraId="43A35987" w14:textId="77777777" w:rsidR="00BC4701" w:rsidRPr="000127EF" w:rsidRDefault="00BC4701" w:rsidP="00E302B4">
            <w:pPr>
              <w:jc w:val="right"/>
            </w:pPr>
          </w:p>
        </w:tc>
      </w:tr>
    </w:tbl>
    <w:p w14:paraId="3533664F" w14:textId="77777777" w:rsidR="00050103" w:rsidRDefault="00050103" w:rsidP="00CE4257">
      <w:pPr>
        <w:spacing w:before="120" w:after="120"/>
        <w:jc w:val="both"/>
      </w:pPr>
    </w:p>
    <w:p w14:paraId="0FE8A30B" w14:textId="77777777" w:rsidR="00050103" w:rsidRDefault="00050103" w:rsidP="00CE4257">
      <w:pPr>
        <w:spacing w:before="120" w:after="120"/>
        <w:jc w:val="both"/>
      </w:pPr>
    </w:p>
    <w:p w14:paraId="6AC39544" w14:textId="77777777" w:rsidR="00050103" w:rsidRDefault="00050103" w:rsidP="00CE4257">
      <w:pPr>
        <w:spacing w:before="120" w:after="120"/>
        <w:jc w:val="both"/>
      </w:pPr>
    </w:p>
    <w:p w14:paraId="6C423B5A" w14:textId="77777777" w:rsidR="00050103" w:rsidRDefault="00050103" w:rsidP="00CE4257">
      <w:pPr>
        <w:spacing w:before="120" w:after="120"/>
        <w:jc w:val="both"/>
      </w:pPr>
    </w:p>
    <w:p w14:paraId="43EBC9E1" w14:textId="77777777" w:rsidR="00050103" w:rsidRDefault="00050103" w:rsidP="00CE4257">
      <w:pPr>
        <w:spacing w:before="120" w:after="120"/>
        <w:jc w:val="both"/>
      </w:pPr>
    </w:p>
    <w:p w14:paraId="47ACA304" w14:textId="77777777" w:rsidR="00050103" w:rsidRDefault="00050103" w:rsidP="00CE4257">
      <w:pPr>
        <w:spacing w:before="120" w:after="120"/>
        <w:jc w:val="both"/>
      </w:pPr>
    </w:p>
    <w:p w14:paraId="44F6A7F8" w14:textId="77777777" w:rsidR="00050103" w:rsidRDefault="00050103" w:rsidP="00CE4257">
      <w:pPr>
        <w:spacing w:before="120" w:after="120"/>
        <w:jc w:val="both"/>
      </w:pPr>
    </w:p>
    <w:p w14:paraId="41A7CE26" w14:textId="77777777" w:rsidR="00050103" w:rsidRDefault="00050103" w:rsidP="00CE4257">
      <w:pPr>
        <w:spacing w:before="120" w:after="120"/>
        <w:jc w:val="both"/>
      </w:pPr>
    </w:p>
    <w:tbl>
      <w:tblPr>
        <w:tblStyle w:val="TableGrid"/>
        <w:tblpPr w:leftFromText="180" w:rightFromText="180" w:vertAnchor="text" w:horzAnchor="page" w:tblpX="1591" w:tblpY="3"/>
        <w:tblW w:w="8622"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BC4701" w:rsidRPr="000127EF" w14:paraId="6032F24A" w14:textId="77777777" w:rsidTr="00E302B4">
        <w:trPr>
          <w:trHeight w:val="277"/>
        </w:trPr>
        <w:tc>
          <w:tcPr>
            <w:tcW w:w="1454" w:type="dxa"/>
            <w:vAlign w:val="center"/>
          </w:tcPr>
          <w:p w14:paraId="463E14E6" w14:textId="77777777" w:rsidR="00BC4701" w:rsidRPr="000127EF" w:rsidRDefault="00BC4701" w:rsidP="00E302B4">
            <w:pPr>
              <w:jc w:val="center"/>
              <w:rPr>
                <w:b/>
                <w:i/>
              </w:rPr>
            </w:pPr>
            <w:r>
              <w:rPr>
                <w:b/>
                <w:i/>
              </w:rPr>
              <w:t>2018/19</w:t>
            </w:r>
          </w:p>
        </w:tc>
        <w:tc>
          <w:tcPr>
            <w:tcW w:w="5634" w:type="dxa"/>
            <w:vAlign w:val="center"/>
          </w:tcPr>
          <w:p w14:paraId="56B49EE9" w14:textId="77777777" w:rsidR="00BC4701" w:rsidRPr="000127EF" w:rsidRDefault="00BC4701" w:rsidP="00E302B4">
            <w:pPr>
              <w:jc w:val="center"/>
              <w:rPr>
                <w:b/>
              </w:rPr>
            </w:pPr>
            <w:r w:rsidRPr="000127EF">
              <w:rPr>
                <w:b/>
              </w:rPr>
              <w:t>Reconciliation of Present Value of Scheme Liabilities (defined benefit obligation)</w:t>
            </w:r>
          </w:p>
        </w:tc>
        <w:tc>
          <w:tcPr>
            <w:tcW w:w="1534" w:type="dxa"/>
            <w:vAlign w:val="center"/>
          </w:tcPr>
          <w:p w14:paraId="6A4124F0" w14:textId="77777777" w:rsidR="00BC4701" w:rsidRPr="0058695E" w:rsidRDefault="00BC4701" w:rsidP="00E302B4">
            <w:pPr>
              <w:jc w:val="center"/>
              <w:rPr>
                <w:b/>
              </w:rPr>
            </w:pPr>
            <w:r w:rsidRPr="0058695E">
              <w:rPr>
                <w:b/>
              </w:rPr>
              <w:t>2019/20</w:t>
            </w:r>
          </w:p>
        </w:tc>
      </w:tr>
      <w:tr w:rsidR="00BC4701" w:rsidRPr="000127EF" w14:paraId="059C02BB" w14:textId="77777777" w:rsidTr="00E302B4">
        <w:trPr>
          <w:trHeight w:val="231"/>
        </w:trPr>
        <w:tc>
          <w:tcPr>
            <w:tcW w:w="1454" w:type="dxa"/>
          </w:tcPr>
          <w:p w14:paraId="1D85D854" w14:textId="77777777" w:rsidR="00BC4701" w:rsidRPr="000127EF" w:rsidRDefault="00BC4701" w:rsidP="00E302B4">
            <w:pPr>
              <w:jc w:val="center"/>
              <w:rPr>
                <w:b/>
                <w:i/>
              </w:rPr>
            </w:pPr>
            <w:r w:rsidRPr="000127EF">
              <w:rPr>
                <w:b/>
                <w:i/>
              </w:rPr>
              <w:t>£000</w:t>
            </w:r>
          </w:p>
        </w:tc>
        <w:tc>
          <w:tcPr>
            <w:tcW w:w="5634" w:type="dxa"/>
          </w:tcPr>
          <w:p w14:paraId="32C8C105" w14:textId="77777777" w:rsidR="00BC4701" w:rsidRPr="000127EF" w:rsidRDefault="00BC4701" w:rsidP="00E302B4">
            <w:pPr>
              <w:jc w:val="center"/>
              <w:rPr>
                <w:b/>
              </w:rPr>
            </w:pPr>
          </w:p>
        </w:tc>
        <w:tc>
          <w:tcPr>
            <w:tcW w:w="1534" w:type="dxa"/>
            <w:shd w:val="clear" w:color="auto" w:fill="C5E0B3" w:themeFill="accent6" w:themeFillTint="66"/>
          </w:tcPr>
          <w:p w14:paraId="5AA1A0A0" w14:textId="77777777" w:rsidR="00BC4701" w:rsidRPr="0058695E" w:rsidRDefault="00BC4701" w:rsidP="00E302B4">
            <w:pPr>
              <w:jc w:val="center"/>
              <w:rPr>
                <w:b/>
              </w:rPr>
            </w:pPr>
            <w:r w:rsidRPr="0058695E">
              <w:rPr>
                <w:b/>
              </w:rPr>
              <w:t>£000</w:t>
            </w:r>
          </w:p>
        </w:tc>
      </w:tr>
      <w:tr w:rsidR="00BC4701" w:rsidRPr="000127EF" w14:paraId="2FF4980B" w14:textId="77777777" w:rsidTr="00E302B4">
        <w:trPr>
          <w:trHeight w:val="252"/>
        </w:trPr>
        <w:tc>
          <w:tcPr>
            <w:tcW w:w="1454" w:type="dxa"/>
          </w:tcPr>
          <w:p w14:paraId="4D2162ED" w14:textId="77777777" w:rsidR="00BC4701" w:rsidRPr="00D96A38" w:rsidRDefault="00BC4701" w:rsidP="00E302B4">
            <w:pPr>
              <w:jc w:val="right"/>
              <w:rPr>
                <w:i/>
              </w:rPr>
            </w:pPr>
            <w:r w:rsidRPr="00D96A38">
              <w:rPr>
                <w:i/>
              </w:rPr>
              <w:t>107,359</w:t>
            </w:r>
          </w:p>
        </w:tc>
        <w:tc>
          <w:tcPr>
            <w:tcW w:w="5634" w:type="dxa"/>
            <w:vAlign w:val="center"/>
          </w:tcPr>
          <w:p w14:paraId="14DCF145" w14:textId="77777777" w:rsidR="00BC4701" w:rsidRPr="000127EF" w:rsidRDefault="00BC4701" w:rsidP="00E302B4">
            <w:pPr>
              <w:rPr>
                <w:rFonts w:cs="Arial"/>
                <w:szCs w:val="22"/>
                <w:lang w:val="en-US"/>
              </w:rPr>
            </w:pPr>
            <w:r w:rsidRPr="000127EF">
              <w:rPr>
                <w:rFonts w:cs="Arial"/>
                <w:szCs w:val="22"/>
                <w:lang w:val="en-US"/>
              </w:rPr>
              <w:t>Opening Liability at 1 April</w:t>
            </w:r>
          </w:p>
        </w:tc>
        <w:tc>
          <w:tcPr>
            <w:tcW w:w="1534" w:type="dxa"/>
            <w:shd w:val="clear" w:color="auto" w:fill="C5E0B3" w:themeFill="accent6" w:themeFillTint="66"/>
          </w:tcPr>
          <w:p w14:paraId="7B20AF5E" w14:textId="77777777" w:rsidR="00BC4701" w:rsidRPr="0058695E" w:rsidRDefault="00BC4701" w:rsidP="00E302B4">
            <w:pPr>
              <w:jc w:val="right"/>
            </w:pPr>
            <w:r w:rsidRPr="0058695E">
              <w:t>121,641</w:t>
            </w:r>
          </w:p>
        </w:tc>
      </w:tr>
      <w:tr w:rsidR="00BC4701" w:rsidRPr="000127EF" w14:paraId="045370F1" w14:textId="77777777" w:rsidTr="00E302B4">
        <w:trPr>
          <w:trHeight w:val="252"/>
        </w:trPr>
        <w:tc>
          <w:tcPr>
            <w:tcW w:w="1454" w:type="dxa"/>
            <w:tcBorders>
              <w:bottom w:val="nil"/>
            </w:tcBorders>
          </w:tcPr>
          <w:p w14:paraId="5579B13E" w14:textId="77777777" w:rsidR="00BC4701" w:rsidRPr="00D96A38" w:rsidRDefault="00BC4701" w:rsidP="00E302B4">
            <w:pPr>
              <w:jc w:val="right"/>
              <w:rPr>
                <w:i/>
              </w:rPr>
            </w:pPr>
            <w:r w:rsidRPr="00D96A38">
              <w:rPr>
                <w:i/>
              </w:rPr>
              <w:t>3,732</w:t>
            </w:r>
          </w:p>
        </w:tc>
        <w:tc>
          <w:tcPr>
            <w:tcW w:w="5634" w:type="dxa"/>
            <w:tcBorders>
              <w:bottom w:val="nil"/>
            </w:tcBorders>
          </w:tcPr>
          <w:p w14:paraId="389169CC" w14:textId="77777777" w:rsidR="00BC4701" w:rsidRPr="000127EF" w:rsidRDefault="00BC4701" w:rsidP="00E302B4">
            <w:pPr>
              <w:rPr>
                <w:rFonts w:cs="Arial"/>
                <w:szCs w:val="22"/>
                <w:lang w:val="en-US"/>
              </w:rPr>
            </w:pPr>
            <w:r w:rsidRPr="000127EF">
              <w:rPr>
                <w:rFonts w:cs="Arial"/>
                <w:szCs w:val="22"/>
                <w:lang w:val="en-US"/>
              </w:rPr>
              <w:t>Current Service Cost</w:t>
            </w:r>
          </w:p>
        </w:tc>
        <w:tc>
          <w:tcPr>
            <w:tcW w:w="1534" w:type="dxa"/>
            <w:tcBorders>
              <w:bottom w:val="nil"/>
            </w:tcBorders>
            <w:shd w:val="clear" w:color="auto" w:fill="C5E0B3" w:themeFill="accent6" w:themeFillTint="66"/>
          </w:tcPr>
          <w:p w14:paraId="3D947B85" w14:textId="77777777" w:rsidR="00BC4701" w:rsidRPr="0058695E" w:rsidRDefault="00BC4701" w:rsidP="00E302B4">
            <w:pPr>
              <w:jc w:val="right"/>
            </w:pPr>
            <w:r w:rsidRPr="0058695E">
              <w:t>4,738</w:t>
            </w:r>
          </w:p>
        </w:tc>
      </w:tr>
      <w:tr w:rsidR="00BC4701" w:rsidRPr="000127EF" w14:paraId="5043DABA" w14:textId="77777777" w:rsidTr="00E302B4">
        <w:trPr>
          <w:trHeight w:val="252"/>
        </w:trPr>
        <w:tc>
          <w:tcPr>
            <w:tcW w:w="1454" w:type="dxa"/>
            <w:tcBorders>
              <w:bottom w:val="nil"/>
            </w:tcBorders>
          </w:tcPr>
          <w:p w14:paraId="102075F1" w14:textId="77777777" w:rsidR="00BC4701" w:rsidRPr="00D96A38" w:rsidRDefault="00BC4701" w:rsidP="00E302B4">
            <w:pPr>
              <w:jc w:val="right"/>
              <w:rPr>
                <w:i/>
              </w:rPr>
            </w:pPr>
            <w:r w:rsidRPr="00D96A38">
              <w:rPr>
                <w:i/>
              </w:rPr>
              <w:t>2,9</w:t>
            </w:r>
            <w:r>
              <w:rPr>
                <w:i/>
              </w:rPr>
              <w:t>2</w:t>
            </w:r>
            <w:r w:rsidRPr="00D96A38">
              <w:rPr>
                <w:i/>
              </w:rPr>
              <w:t>9</w:t>
            </w:r>
          </w:p>
        </w:tc>
        <w:tc>
          <w:tcPr>
            <w:tcW w:w="5634" w:type="dxa"/>
            <w:tcBorders>
              <w:bottom w:val="nil"/>
            </w:tcBorders>
          </w:tcPr>
          <w:p w14:paraId="48594E5B" w14:textId="77777777" w:rsidR="00BC4701" w:rsidRPr="000127EF" w:rsidRDefault="00BC4701" w:rsidP="00E302B4">
            <w:pPr>
              <w:rPr>
                <w:rFonts w:cs="Arial"/>
                <w:szCs w:val="22"/>
                <w:lang w:val="en-US"/>
              </w:rPr>
            </w:pPr>
            <w:r w:rsidRPr="000127EF">
              <w:rPr>
                <w:rFonts w:cs="Arial"/>
                <w:szCs w:val="22"/>
                <w:lang w:val="en-US"/>
              </w:rPr>
              <w:t>Interest Cost</w:t>
            </w:r>
          </w:p>
        </w:tc>
        <w:tc>
          <w:tcPr>
            <w:tcW w:w="1534" w:type="dxa"/>
            <w:tcBorders>
              <w:bottom w:val="nil"/>
            </w:tcBorders>
            <w:shd w:val="clear" w:color="auto" w:fill="C5E0B3" w:themeFill="accent6" w:themeFillTint="66"/>
          </w:tcPr>
          <w:p w14:paraId="251FCE8E" w14:textId="77777777" w:rsidR="00BC4701" w:rsidRPr="0058695E" w:rsidRDefault="00BC4701" w:rsidP="00E302B4">
            <w:pPr>
              <w:jc w:val="right"/>
            </w:pPr>
            <w:r w:rsidRPr="0058695E">
              <w:t>2,954</w:t>
            </w:r>
          </w:p>
        </w:tc>
      </w:tr>
      <w:tr w:rsidR="00BC4701" w:rsidRPr="000127EF" w14:paraId="71DBF35C" w14:textId="77777777" w:rsidTr="00E302B4">
        <w:trPr>
          <w:trHeight w:val="231"/>
        </w:trPr>
        <w:tc>
          <w:tcPr>
            <w:tcW w:w="1454" w:type="dxa"/>
            <w:tcBorders>
              <w:bottom w:val="nil"/>
            </w:tcBorders>
          </w:tcPr>
          <w:p w14:paraId="562AF3CD" w14:textId="77777777" w:rsidR="00BC4701" w:rsidRPr="00D96A38" w:rsidRDefault="00BC4701" w:rsidP="00E302B4">
            <w:pPr>
              <w:jc w:val="right"/>
              <w:rPr>
                <w:i/>
              </w:rPr>
            </w:pPr>
            <w:r w:rsidRPr="00D96A38">
              <w:rPr>
                <w:i/>
              </w:rPr>
              <w:t>666</w:t>
            </w:r>
          </w:p>
        </w:tc>
        <w:tc>
          <w:tcPr>
            <w:tcW w:w="5634" w:type="dxa"/>
            <w:tcBorders>
              <w:bottom w:val="nil"/>
            </w:tcBorders>
          </w:tcPr>
          <w:p w14:paraId="48D7DE55" w14:textId="77777777" w:rsidR="00BC4701" w:rsidRPr="000127EF" w:rsidRDefault="00BC4701" w:rsidP="00E302B4">
            <w:pPr>
              <w:rPr>
                <w:rFonts w:cs="Arial"/>
                <w:szCs w:val="22"/>
                <w:lang w:val="en-US"/>
              </w:rPr>
            </w:pPr>
            <w:r w:rsidRPr="000127EF">
              <w:rPr>
                <w:rFonts w:cs="Arial"/>
                <w:szCs w:val="22"/>
                <w:lang w:val="en-US"/>
              </w:rPr>
              <w:t>Contributions from Scheme Participants</w:t>
            </w:r>
          </w:p>
        </w:tc>
        <w:tc>
          <w:tcPr>
            <w:tcW w:w="1534" w:type="dxa"/>
            <w:tcBorders>
              <w:bottom w:val="nil"/>
            </w:tcBorders>
            <w:shd w:val="clear" w:color="auto" w:fill="C5E0B3" w:themeFill="accent6" w:themeFillTint="66"/>
          </w:tcPr>
          <w:p w14:paraId="1C793B12" w14:textId="77777777" w:rsidR="00BC4701" w:rsidRPr="0058695E" w:rsidRDefault="00BC4701" w:rsidP="00E302B4">
            <w:pPr>
              <w:jc w:val="right"/>
            </w:pPr>
            <w:r w:rsidRPr="0058695E">
              <w:t>742</w:t>
            </w:r>
          </w:p>
        </w:tc>
      </w:tr>
      <w:tr w:rsidR="00BC4701" w:rsidRPr="000127EF" w14:paraId="74BCF572" w14:textId="77777777" w:rsidTr="00E302B4">
        <w:trPr>
          <w:trHeight w:val="505"/>
        </w:trPr>
        <w:tc>
          <w:tcPr>
            <w:tcW w:w="1454" w:type="dxa"/>
            <w:tcBorders>
              <w:bottom w:val="nil"/>
            </w:tcBorders>
            <w:vAlign w:val="center"/>
          </w:tcPr>
          <w:p w14:paraId="1E13F7C0" w14:textId="77777777" w:rsidR="00BC4701" w:rsidRPr="00D96A38" w:rsidRDefault="00BC4701" w:rsidP="00E302B4">
            <w:pPr>
              <w:jc w:val="right"/>
              <w:rPr>
                <w:i/>
              </w:rPr>
            </w:pPr>
            <w:r>
              <w:rPr>
                <w:i/>
              </w:rPr>
              <w:t>-</w:t>
            </w:r>
          </w:p>
        </w:tc>
        <w:tc>
          <w:tcPr>
            <w:tcW w:w="5634" w:type="dxa"/>
            <w:tcBorders>
              <w:bottom w:val="nil"/>
            </w:tcBorders>
          </w:tcPr>
          <w:p w14:paraId="7F1446CE" w14:textId="77777777" w:rsidR="00BC4701" w:rsidRPr="000127EF" w:rsidRDefault="00BC4701" w:rsidP="00E302B4">
            <w:pPr>
              <w:rPr>
                <w:rFonts w:cs="Arial"/>
                <w:szCs w:val="22"/>
                <w:lang w:val="en-US"/>
              </w:rPr>
            </w:pPr>
            <w:r>
              <w:rPr>
                <w:rFonts w:cs="Arial"/>
                <w:szCs w:val="22"/>
                <w:lang w:val="en-US"/>
              </w:rPr>
              <w:t>Actuarial gains/losses arising from changes in demographic assumptions</w:t>
            </w:r>
          </w:p>
        </w:tc>
        <w:tc>
          <w:tcPr>
            <w:tcW w:w="1534" w:type="dxa"/>
            <w:tcBorders>
              <w:bottom w:val="nil"/>
            </w:tcBorders>
            <w:shd w:val="clear" w:color="auto" w:fill="C5E0B3" w:themeFill="accent6" w:themeFillTint="66"/>
            <w:vAlign w:val="center"/>
          </w:tcPr>
          <w:p w14:paraId="47ED46AB" w14:textId="186EF05E" w:rsidR="00BC4701" w:rsidRPr="0058695E" w:rsidRDefault="00BC4701" w:rsidP="00E302B4">
            <w:pPr>
              <w:jc w:val="right"/>
            </w:pPr>
            <w:r w:rsidRPr="0058695E">
              <w:t>(3,9</w:t>
            </w:r>
            <w:r w:rsidR="000B6A02">
              <w:t>44</w:t>
            </w:r>
            <w:r w:rsidRPr="0058695E">
              <w:t>)</w:t>
            </w:r>
          </w:p>
        </w:tc>
      </w:tr>
      <w:tr w:rsidR="00BC4701" w:rsidRPr="000127EF" w14:paraId="7F45EABB" w14:textId="77777777" w:rsidTr="00E302B4">
        <w:trPr>
          <w:trHeight w:val="505"/>
        </w:trPr>
        <w:tc>
          <w:tcPr>
            <w:tcW w:w="1454" w:type="dxa"/>
            <w:tcBorders>
              <w:bottom w:val="nil"/>
            </w:tcBorders>
            <w:vAlign w:val="center"/>
          </w:tcPr>
          <w:p w14:paraId="102102C3" w14:textId="77777777" w:rsidR="00BC4701" w:rsidRPr="00D96A38" w:rsidRDefault="00BC4701" w:rsidP="00E302B4">
            <w:pPr>
              <w:jc w:val="right"/>
              <w:rPr>
                <w:i/>
              </w:rPr>
            </w:pPr>
            <w:r w:rsidRPr="00D96A38">
              <w:rPr>
                <w:i/>
              </w:rPr>
              <w:t>9,131</w:t>
            </w:r>
          </w:p>
        </w:tc>
        <w:tc>
          <w:tcPr>
            <w:tcW w:w="5634" w:type="dxa"/>
            <w:tcBorders>
              <w:bottom w:val="nil"/>
            </w:tcBorders>
          </w:tcPr>
          <w:p w14:paraId="5D73BF7D" w14:textId="77777777" w:rsidR="00BC4701" w:rsidRPr="000127EF" w:rsidRDefault="00BC4701" w:rsidP="00E302B4">
            <w:pPr>
              <w:rPr>
                <w:rFonts w:cs="Arial"/>
                <w:szCs w:val="22"/>
                <w:lang w:val="en-US"/>
              </w:rPr>
            </w:pPr>
            <w:r w:rsidRPr="000127EF">
              <w:rPr>
                <w:rFonts w:cs="Arial"/>
                <w:szCs w:val="22"/>
                <w:lang w:val="en-US"/>
              </w:rPr>
              <w:t>Actuarial gains/losses arising from changes in financial assumptions</w:t>
            </w:r>
          </w:p>
        </w:tc>
        <w:tc>
          <w:tcPr>
            <w:tcW w:w="1534" w:type="dxa"/>
            <w:tcBorders>
              <w:bottom w:val="nil"/>
            </w:tcBorders>
            <w:shd w:val="clear" w:color="auto" w:fill="C5E0B3" w:themeFill="accent6" w:themeFillTint="66"/>
            <w:vAlign w:val="center"/>
          </w:tcPr>
          <w:p w14:paraId="3C8617A5" w14:textId="1AF948C5" w:rsidR="00BC4701" w:rsidRPr="0058695E" w:rsidRDefault="00BC4701" w:rsidP="00E302B4">
            <w:pPr>
              <w:jc w:val="right"/>
            </w:pPr>
            <w:r w:rsidRPr="0058695E">
              <w:t>(1</w:t>
            </w:r>
            <w:r w:rsidR="000B6A02">
              <w:t>1</w:t>
            </w:r>
            <w:r w:rsidRPr="0058695E">
              <w:t>,</w:t>
            </w:r>
            <w:r w:rsidR="000B6A02">
              <w:t>973</w:t>
            </w:r>
            <w:r w:rsidRPr="0058695E">
              <w:t>)</w:t>
            </w:r>
          </w:p>
        </w:tc>
      </w:tr>
      <w:tr w:rsidR="00BC4701" w:rsidRPr="000127EF" w14:paraId="42914A0E" w14:textId="77777777" w:rsidTr="00E302B4">
        <w:trPr>
          <w:trHeight w:val="252"/>
        </w:trPr>
        <w:tc>
          <w:tcPr>
            <w:tcW w:w="1454" w:type="dxa"/>
            <w:tcBorders>
              <w:bottom w:val="nil"/>
            </w:tcBorders>
          </w:tcPr>
          <w:p w14:paraId="384B0750" w14:textId="77777777" w:rsidR="00BC4701" w:rsidRPr="00D96A38" w:rsidRDefault="00BC4701" w:rsidP="00E302B4">
            <w:pPr>
              <w:jc w:val="right"/>
              <w:rPr>
                <w:i/>
              </w:rPr>
            </w:pPr>
            <w:r w:rsidRPr="00D96A38">
              <w:rPr>
                <w:i/>
              </w:rPr>
              <w:t>(168)</w:t>
            </w:r>
          </w:p>
        </w:tc>
        <w:tc>
          <w:tcPr>
            <w:tcW w:w="5634" w:type="dxa"/>
            <w:tcBorders>
              <w:bottom w:val="nil"/>
            </w:tcBorders>
          </w:tcPr>
          <w:p w14:paraId="316459CF" w14:textId="77777777" w:rsidR="00BC4701" w:rsidRPr="000127EF" w:rsidRDefault="00BC4701" w:rsidP="00E302B4">
            <w:pPr>
              <w:ind w:left="198"/>
              <w:rPr>
                <w:rFonts w:cs="Arial"/>
                <w:szCs w:val="22"/>
                <w:lang w:val="en-US"/>
              </w:rPr>
            </w:pPr>
            <w:r w:rsidRPr="000127EF">
              <w:rPr>
                <w:rFonts w:cs="Arial"/>
                <w:szCs w:val="22"/>
                <w:lang w:val="en-US"/>
              </w:rPr>
              <w:t>Other</w:t>
            </w:r>
          </w:p>
        </w:tc>
        <w:tc>
          <w:tcPr>
            <w:tcW w:w="1534" w:type="dxa"/>
            <w:tcBorders>
              <w:bottom w:val="nil"/>
            </w:tcBorders>
            <w:shd w:val="clear" w:color="auto" w:fill="C5E0B3" w:themeFill="accent6" w:themeFillTint="66"/>
          </w:tcPr>
          <w:p w14:paraId="71D63A8E" w14:textId="7BDE30ED" w:rsidR="00BC4701" w:rsidRPr="0058695E" w:rsidRDefault="000B6A02" w:rsidP="00E302B4">
            <w:pPr>
              <w:jc w:val="right"/>
            </w:pPr>
            <w:r>
              <w:t>759</w:t>
            </w:r>
          </w:p>
        </w:tc>
      </w:tr>
      <w:tr w:rsidR="00BC4701" w:rsidRPr="000127EF" w14:paraId="15BA8754" w14:textId="77777777" w:rsidTr="00E302B4">
        <w:trPr>
          <w:trHeight w:val="252"/>
        </w:trPr>
        <w:tc>
          <w:tcPr>
            <w:tcW w:w="1454" w:type="dxa"/>
            <w:tcBorders>
              <w:bottom w:val="nil"/>
            </w:tcBorders>
          </w:tcPr>
          <w:p w14:paraId="5AD2C749" w14:textId="77777777" w:rsidR="00BC4701" w:rsidRPr="00D96A38" w:rsidRDefault="00BC4701" w:rsidP="00E302B4">
            <w:pPr>
              <w:jc w:val="right"/>
              <w:rPr>
                <w:i/>
              </w:rPr>
            </w:pPr>
            <w:r>
              <w:rPr>
                <w:i/>
              </w:rPr>
              <w:t>712</w:t>
            </w:r>
          </w:p>
        </w:tc>
        <w:tc>
          <w:tcPr>
            <w:tcW w:w="5634" w:type="dxa"/>
            <w:tcBorders>
              <w:bottom w:val="nil"/>
            </w:tcBorders>
          </w:tcPr>
          <w:p w14:paraId="6334314E" w14:textId="77777777" w:rsidR="00BC4701" w:rsidRPr="000127EF" w:rsidRDefault="00BC4701" w:rsidP="00E302B4">
            <w:pPr>
              <w:ind w:left="198"/>
              <w:rPr>
                <w:rFonts w:cs="Arial"/>
                <w:szCs w:val="22"/>
                <w:lang w:val="en-US"/>
              </w:rPr>
            </w:pPr>
            <w:r w:rsidRPr="000127EF">
              <w:rPr>
                <w:rFonts w:cs="Arial"/>
                <w:szCs w:val="22"/>
                <w:lang w:val="en-US"/>
              </w:rPr>
              <w:t>Past Service Costs</w:t>
            </w:r>
          </w:p>
        </w:tc>
        <w:tc>
          <w:tcPr>
            <w:tcW w:w="1534" w:type="dxa"/>
            <w:tcBorders>
              <w:bottom w:val="nil"/>
            </w:tcBorders>
            <w:shd w:val="clear" w:color="auto" w:fill="C5E0B3" w:themeFill="accent6" w:themeFillTint="66"/>
          </w:tcPr>
          <w:p w14:paraId="64546BDA" w14:textId="77777777" w:rsidR="00BC4701" w:rsidRPr="0058695E" w:rsidRDefault="00BC4701" w:rsidP="00E302B4">
            <w:pPr>
              <w:jc w:val="right"/>
            </w:pPr>
            <w:r w:rsidRPr="0058695E">
              <w:t>17</w:t>
            </w:r>
          </w:p>
        </w:tc>
      </w:tr>
      <w:tr w:rsidR="00BC4701" w:rsidRPr="000127EF" w14:paraId="6B4BD7D7" w14:textId="77777777" w:rsidTr="00E302B4">
        <w:trPr>
          <w:trHeight w:val="231"/>
        </w:trPr>
        <w:tc>
          <w:tcPr>
            <w:tcW w:w="1454" w:type="dxa"/>
            <w:tcBorders>
              <w:bottom w:val="nil"/>
            </w:tcBorders>
          </w:tcPr>
          <w:p w14:paraId="2FE66208" w14:textId="77777777" w:rsidR="00BC4701" w:rsidRPr="00D96A38" w:rsidRDefault="00BC4701" w:rsidP="00E302B4">
            <w:pPr>
              <w:jc w:val="right"/>
              <w:rPr>
                <w:i/>
              </w:rPr>
            </w:pPr>
            <w:r w:rsidRPr="00D96A38">
              <w:rPr>
                <w:i/>
              </w:rPr>
              <w:t>(2,720)</w:t>
            </w:r>
          </w:p>
        </w:tc>
        <w:tc>
          <w:tcPr>
            <w:tcW w:w="5634" w:type="dxa"/>
            <w:tcBorders>
              <w:bottom w:val="nil"/>
            </w:tcBorders>
          </w:tcPr>
          <w:p w14:paraId="344B8F72" w14:textId="77777777" w:rsidR="00BC4701" w:rsidRPr="000127EF" w:rsidRDefault="00BC4701" w:rsidP="00E302B4">
            <w:pPr>
              <w:ind w:left="198"/>
              <w:rPr>
                <w:rFonts w:cs="Arial"/>
                <w:szCs w:val="22"/>
                <w:lang w:val="en-US"/>
              </w:rPr>
            </w:pPr>
            <w:r w:rsidRPr="000127EF">
              <w:rPr>
                <w:rFonts w:cs="Arial"/>
                <w:szCs w:val="22"/>
                <w:lang w:val="en-US"/>
              </w:rPr>
              <w:t>Benefits Paid</w:t>
            </w:r>
          </w:p>
        </w:tc>
        <w:tc>
          <w:tcPr>
            <w:tcW w:w="1534" w:type="dxa"/>
            <w:tcBorders>
              <w:bottom w:val="nil"/>
            </w:tcBorders>
            <w:shd w:val="clear" w:color="auto" w:fill="C5E0B3" w:themeFill="accent6" w:themeFillTint="66"/>
          </w:tcPr>
          <w:p w14:paraId="51CAC747" w14:textId="77777777" w:rsidR="00BC4701" w:rsidRPr="0058695E" w:rsidRDefault="00BC4701" w:rsidP="00E302B4">
            <w:pPr>
              <w:jc w:val="right"/>
            </w:pPr>
            <w:r w:rsidRPr="0058695E">
              <w:t>(3,144)</w:t>
            </w:r>
          </w:p>
        </w:tc>
      </w:tr>
      <w:tr w:rsidR="00BC4701" w:rsidRPr="000127EF" w14:paraId="7BFD7AC0" w14:textId="77777777" w:rsidTr="00E302B4">
        <w:trPr>
          <w:trHeight w:val="252"/>
        </w:trPr>
        <w:tc>
          <w:tcPr>
            <w:tcW w:w="1454" w:type="dxa"/>
            <w:tcBorders>
              <w:top w:val="single" w:sz="8" w:space="0" w:color="auto"/>
              <w:bottom w:val="single" w:sz="8" w:space="0" w:color="auto"/>
            </w:tcBorders>
          </w:tcPr>
          <w:p w14:paraId="57A44645" w14:textId="77777777" w:rsidR="00BC4701" w:rsidRPr="00D96A38" w:rsidRDefault="00BC4701" w:rsidP="00E302B4">
            <w:pPr>
              <w:jc w:val="right"/>
              <w:rPr>
                <w:i/>
              </w:rPr>
            </w:pPr>
            <w:r w:rsidRPr="00D96A38">
              <w:rPr>
                <w:b/>
                <w:i/>
              </w:rPr>
              <w:fldChar w:fldCharType="begin"/>
            </w:r>
            <w:r w:rsidRPr="00D96A38">
              <w:rPr>
                <w:b/>
                <w:i/>
              </w:rPr>
              <w:instrText xml:space="preserve"> =SUM(c3:C10) </w:instrText>
            </w:r>
            <w:r w:rsidRPr="00D96A38">
              <w:rPr>
                <w:b/>
                <w:i/>
              </w:rPr>
              <w:fldChar w:fldCharType="separate"/>
            </w:r>
            <w:r w:rsidRPr="00D96A38">
              <w:rPr>
                <w:b/>
                <w:i/>
                <w:noProof/>
              </w:rPr>
              <w:t>12</w:t>
            </w:r>
            <w:r>
              <w:rPr>
                <w:b/>
                <w:i/>
                <w:noProof/>
              </w:rPr>
              <w:t>1,641</w:t>
            </w:r>
            <w:r w:rsidRPr="00D96A38">
              <w:rPr>
                <w:b/>
                <w:i/>
              </w:rPr>
              <w:fldChar w:fldCharType="end"/>
            </w:r>
          </w:p>
        </w:tc>
        <w:tc>
          <w:tcPr>
            <w:tcW w:w="5634" w:type="dxa"/>
            <w:tcBorders>
              <w:bottom w:val="nil"/>
            </w:tcBorders>
          </w:tcPr>
          <w:p w14:paraId="5428A5F3" w14:textId="77777777" w:rsidR="00BC4701" w:rsidRPr="000127EF" w:rsidRDefault="00BC4701" w:rsidP="00E302B4">
            <w:pPr>
              <w:rPr>
                <w:rFonts w:cs="Arial"/>
                <w:szCs w:val="22"/>
                <w:lang w:val="en-US"/>
              </w:rPr>
            </w:pPr>
            <w:r w:rsidRPr="000127EF">
              <w:rPr>
                <w:b/>
              </w:rPr>
              <w:t>Closing Liability at 31 March</w:t>
            </w:r>
          </w:p>
        </w:tc>
        <w:tc>
          <w:tcPr>
            <w:tcW w:w="1534" w:type="dxa"/>
            <w:tcBorders>
              <w:top w:val="single" w:sz="8" w:space="0" w:color="auto"/>
              <w:bottom w:val="single" w:sz="8" w:space="0" w:color="auto"/>
            </w:tcBorders>
            <w:shd w:val="clear" w:color="auto" w:fill="C5E0B3" w:themeFill="accent6" w:themeFillTint="66"/>
          </w:tcPr>
          <w:p w14:paraId="36732FCC" w14:textId="014EC3B9" w:rsidR="00BC4701" w:rsidRPr="0058695E" w:rsidRDefault="00BC4701" w:rsidP="00E302B4">
            <w:pPr>
              <w:jc w:val="right"/>
            </w:pPr>
            <w:r w:rsidRPr="0058695E">
              <w:t>111,</w:t>
            </w:r>
            <w:r w:rsidR="000B6A02">
              <w:t>790</w:t>
            </w:r>
          </w:p>
        </w:tc>
      </w:tr>
      <w:tr w:rsidR="00BC4701" w:rsidRPr="000127EF" w14:paraId="619A6F33" w14:textId="77777777" w:rsidTr="00E302B4">
        <w:trPr>
          <w:trHeight w:hRule="exact" w:val="139"/>
        </w:trPr>
        <w:tc>
          <w:tcPr>
            <w:tcW w:w="1454" w:type="dxa"/>
            <w:tcBorders>
              <w:top w:val="nil"/>
            </w:tcBorders>
          </w:tcPr>
          <w:p w14:paraId="465B0931" w14:textId="77777777" w:rsidR="00BC4701" w:rsidRPr="000127EF" w:rsidRDefault="00BC4701" w:rsidP="00E302B4">
            <w:pPr>
              <w:jc w:val="right"/>
              <w:rPr>
                <w:i/>
              </w:rPr>
            </w:pPr>
          </w:p>
        </w:tc>
        <w:tc>
          <w:tcPr>
            <w:tcW w:w="5634" w:type="dxa"/>
            <w:tcBorders>
              <w:top w:val="nil"/>
            </w:tcBorders>
          </w:tcPr>
          <w:p w14:paraId="2D7C76F1" w14:textId="77777777" w:rsidR="00BC4701" w:rsidRPr="000127EF" w:rsidRDefault="00BC4701" w:rsidP="00E302B4">
            <w:pPr>
              <w:jc w:val="both"/>
            </w:pPr>
          </w:p>
        </w:tc>
        <w:tc>
          <w:tcPr>
            <w:tcW w:w="1534" w:type="dxa"/>
            <w:tcBorders>
              <w:top w:val="nil"/>
            </w:tcBorders>
          </w:tcPr>
          <w:p w14:paraId="1AEBC2BC" w14:textId="77777777" w:rsidR="00BC4701" w:rsidRPr="000127EF" w:rsidRDefault="00BC4701" w:rsidP="00E302B4">
            <w:pPr>
              <w:jc w:val="right"/>
            </w:pPr>
          </w:p>
        </w:tc>
      </w:tr>
    </w:tbl>
    <w:p w14:paraId="5D9C70C7" w14:textId="77777777" w:rsidR="00050103" w:rsidRDefault="00050103" w:rsidP="00CE4257">
      <w:pPr>
        <w:spacing w:before="120" w:after="120"/>
        <w:jc w:val="both"/>
      </w:pPr>
    </w:p>
    <w:p w14:paraId="559F6E7D" w14:textId="77777777" w:rsidR="00050103" w:rsidRDefault="00050103" w:rsidP="00CE4257">
      <w:pPr>
        <w:spacing w:before="120" w:after="120"/>
        <w:jc w:val="both"/>
      </w:pPr>
    </w:p>
    <w:p w14:paraId="605E9656" w14:textId="77777777" w:rsidR="00050103" w:rsidRDefault="00050103" w:rsidP="00CE4257">
      <w:pPr>
        <w:spacing w:before="120" w:after="120"/>
        <w:jc w:val="both"/>
      </w:pPr>
    </w:p>
    <w:p w14:paraId="27BA54C9" w14:textId="77777777" w:rsidR="00050103" w:rsidRDefault="00050103" w:rsidP="00CE4257">
      <w:pPr>
        <w:spacing w:before="120" w:after="120"/>
        <w:jc w:val="both"/>
      </w:pPr>
    </w:p>
    <w:p w14:paraId="325359F1" w14:textId="77777777" w:rsidR="00050103" w:rsidRDefault="00050103" w:rsidP="00CE4257">
      <w:pPr>
        <w:spacing w:before="120" w:after="120"/>
        <w:jc w:val="both"/>
      </w:pPr>
    </w:p>
    <w:p w14:paraId="42AE51DC" w14:textId="77777777" w:rsidR="00050103" w:rsidRDefault="00050103" w:rsidP="00CE4257">
      <w:pPr>
        <w:spacing w:before="120" w:after="120"/>
        <w:jc w:val="both"/>
      </w:pPr>
    </w:p>
    <w:p w14:paraId="3487408F" w14:textId="77777777" w:rsidR="00050103" w:rsidRDefault="00050103" w:rsidP="00CE4257">
      <w:pPr>
        <w:spacing w:before="120" w:after="120"/>
        <w:jc w:val="both"/>
      </w:pPr>
    </w:p>
    <w:p w14:paraId="43C48D68" w14:textId="77777777" w:rsidR="00050103" w:rsidRDefault="00050103" w:rsidP="00CE4257">
      <w:pPr>
        <w:spacing w:before="120" w:after="120"/>
        <w:jc w:val="both"/>
      </w:pPr>
    </w:p>
    <w:p w14:paraId="6671B85A" w14:textId="77777777" w:rsidR="00050103" w:rsidRDefault="00050103" w:rsidP="00CE4257">
      <w:pPr>
        <w:spacing w:before="120" w:after="120"/>
        <w:jc w:val="both"/>
      </w:pPr>
    </w:p>
    <w:p w14:paraId="33BA5247" w14:textId="77777777" w:rsidR="00050103" w:rsidRDefault="00050103" w:rsidP="00CE4257">
      <w:pPr>
        <w:spacing w:before="120" w:after="120"/>
        <w:jc w:val="both"/>
      </w:pPr>
    </w:p>
    <w:p w14:paraId="0DF331C2" w14:textId="77777777" w:rsidR="00050103" w:rsidRDefault="00050103" w:rsidP="00CE4257">
      <w:pPr>
        <w:spacing w:before="120" w:after="120"/>
        <w:jc w:val="both"/>
      </w:pPr>
    </w:p>
    <w:p w14:paraId="5C734EE8" w14:textId="77777777" w:rsidR="00BC4701" w:rsidRPr="000127EF" w:rsidRDefault="00BC4701" w:rsidP="00BC4701">
      <w:pPr>
        <w:spacing w:before="120" w:after="120"/>
        <w:jc w:val="both"/>
      </w:pPr>
      <w:r w:rsidRPr="000127EF">
        <w:t xml:space="preserve">The liabilities show the underlying commitments that the authority has in the long run to pay retirement benefits.  </w:t>
      </w:r>
      <w:r w:rsidRPr="00586208">
        <w:t>The total liability of £40.134 million</w:t>
      </w:r>
      <w:r w:rsidRPr="000127EF">
        <w:t xml:space="preserve"> has a substantial impact on the net worth of the authority as recorded in the Balance Sheet.</w:t>
      </w:r>
    </w:p>
    <w:p w14:paraId="4EA70EF2" w14:textId="77777777" w:rsidR="00BC4701" w:rsidRPr="000127EF" w:rsidRDefault="00BC4701" w:rsidP="00BC4701">
      <w:pPr>
        <w:spacing w:after="120"/>
        <w:jc w:val="both"/>
      </w:pPr>
      <w:r w:rsidRPr="000127EF">
        <w:t>However, statutory arrangements for funding the deficit mean that the financial position of the authority remains healthy.  The deficit on the local government pension scheme will be made good by increased contributions over the remaining working life of employees, as assessed by the scheme actuary.</w:t>
      </w:r>
    </w:p>
    <w:p w14:paraId="79F52CA2" w14:textId="77777777" w:rsidR="00BC4701" w:rsidRPr="000127EF" w:rsidRDefault="00BC4701" w:rsidP="00BC4701">
      <w:pPr>
        <w:spacing w:after="120"/>
        <w:jc w:val="both"/>
      </w:pPr>
      <w:r w:rsidRPr="000127EF">
        <w:t xml:space="preserve">The total contributions expected to be made to the Local Government Pension Scheme by the council in the year </w:t>
      </w:r>
      <w:r w:rsidRPr="00E47E20">
        <w:t>to 31 March 2020 is £2.705m.</w:t>
      </w:r>
    </w:p>
    <w:p w14:paraId="6571CDFF" w14:textId="77777777" w:rsidR="00050103" w:rsidRDefault="00BC4701" w:rsidP="00CE4257">
      <w:pPr>
        <w:spacing w:before="120" w:after="120"/>
        <w:jc w:val="both"/>
      </w:pPr>
      <w:r w:rsidRPr="000127EF">
        <w:lastRenderedPageBreak/>
        <w:t>The following table is required by the revised IAS19 disclosure requirements and details the composition of the Scheme Assets into classes that distinguish the nature and risks of those assets.  All of the assets have quoted prices in active markets apart from the asset category Private Equity</w:t>
      </w:r>
      <w:r w:rsidR="000B6A02">
        <w:t>.</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0F05EA" w:rsidRPr="000127EF" w14:paraId="6EFEC15B" w14:textId="77777777" w:rsidTr="00720B50">
        <w:trPr>
          <w:trHeight w:val="283"/>
          <w:jc w:val="center"/>
        </w:trPr>
        <w:tc>
          <w:tcPr>
            <w:tcW w:w="1454" w:type="dxa"/>
            <w:tcBorders>
              <w:top w:val="single" w:sz="18" w:space="0" w:color="A8D08D" w:themeColor="accent6" w:themeTint="99"/>
            </w:tcBorders>
          </w:tcPr>
          <w:p w14:paraId="2395E89D" w14:textId="10202367" w:rsidR="000F05EA" w:rsidRPr="000127EF" w:rsidRDefault="00D96A38" w:rsidP="000B6A02">
            <w:pPr>
              <w:rPr>
                <w:b/>
                <w:i/>
              </w:rPr>
            </w:pPr>
            <w:r>
              <w:rPr>
                <w:b/>
                <w:i/>
              </w:rPr>
              <w:t>18/19</w:t>
            </w:r>
          </w:p>
        </w:tc>
        <w:tc>
          <w:tcPr>
            <w:tcW w:w="5634" w:type="dxa"/>
            <w:tcBorders>
              <w:top w:val="single" w:sz="18" w:space="0" w:color="A8D08D" w:themeColor="accent6" w:themeTint="99"/>
            </w:tcBorders>
            <w:vAlign w:val="center"/>
          </w:tcPr>
          <w:p w14:paraId="49098A4E" w14:textId="77777777" w:rsidR="000F05EA" w:rsidRPr="000127EF" w:rsidRDefault="000F05EA" w:rsidP="00720B50">
            <w:pPr>
              <w:jc w:val="center"/>
              <w:rPr>
                <w:b/>
              </w:rPr>
            </w:pPr>
            <w:r w:rsidRPr="000127EF">
              <w:rPr>
                <w:b/>
              </w:rPr>
              <w:t xml:space="preserve">Local Government Pension Scheme Assets </w:t>
            </w:r>
          </w:p>
        </w:tc>
        <w:tc>
          <w:tcPr>
            <w:tcW w:w="1534" w:type="dxa"/>
            <w:tcBorders>
              <w:top w:val="single" w:sz="18" w:space="0" w:color="A8D08D" w:themeColor="accent6" w:themeTint="99"/>
            </w:tcBorders>
          </w:tcPr>
          <w:p w14:paraId="0E0B9FD1" w14:textId="73F03B8D" w:rsidR="000F05EA" w:rsidRPr="00586208" w:rsidRDefault="00D96A38" w:rsidP="00720B50">
            <w:pPr>
              <w:jc w:val="center"/>
              <w:rPr>
                <w:b/>
              </w:rPr>
            </w:pPr>
            <w:r w:rsidRPr="00586208">
              <w:rPr>
                <w:b/>
              </w:rPr>
              <w:t>2019/20</w:t>
            </w:r>
          </w:p>
        </w:tc>
      </w:tr>
      <w:tr w:rsidR="000F05EA" w:rsidRPr="000127EF" w14:paraId="3A48471A" w14:textId="77777777" w:rsidTr="00720B50">
        <w:trPr>
          <w:jc w:val="center"/>
        </w:trPr>
        <w:tc>
          <w:tcPr>
            <w:tcW w:w="1454" w:type="dxa"/>
          </w:tcPr>
          <w:p w14:paraId="3E4CB53F" w14:textId="77777777" w:rsidR="000F05EA" w:rsidRPr="000127EF" w:rsidRDefault="000F05EA" w:rsidP="00720B50">
            <w:pPr>
              <w:jc w:val="center"/>
              <w:rPr>
                <w:b/>
                <w:i/>
              </w:rPr>
            </w:pPr>
            <w:r w:rsidRPr="000127EF">
              <w:rPr>
                <w:b/>
                <w:i/>
              </w:rPr>
              <w:t>£000</w:t>
            </w:r>
          </w:p>
        </w:tc>
        <w:tc>
          <w:tcPr>
            <w:tcW w:w="5634" w:type="dxa"/>
          </w:tcPr>
          <w:p w14:paraId="1FD20F06" w14:textId="77777777" w:rsidR="000F05EA" w:rsidRPr="000127EF" w:rsidRDefault="000F05EA" w:rsidP="00720B50">
            <w:pPr>
              <w:jc w:val="center"/>
              <w:rPr>
                <w:b/>
              </w:rPr>
            </w:pPr>
          </w:p>
        </w:tc>
        <w:tc>
          <w:tcPr>
            <w:tcW w:w="1534" w:type="dxa"/>
            <w:shd w:val="clear" w:color="auto" w:fill="C5E0B3" w:themeFill="accent6" w:themeFillTint="66"/>
          </w:tcPr>
          <w:p w14:paraId="58972A8D" w14:textId="77777777" w:rsidR="000F05EA" w:rsidRPr="00586208" w:rsidRDefault="000F05EA" w:rsidP="00720B50">
            <w:pPr>
              <w:jc w:val="center"/>
              <w:rPr>
                <w:b/>
              </w:rPr>
            </w:pPr>
            <w:r w:rsidRPr="00586208">
              <w:rPr>
                <w:b/>
              </w:rPr>
              <w:t>£000</w:t>
            </w:r>
          </w:p>
        </w:tc>
      </w:tr>
      <w:tr w:rsidR="00D96A38" w:rsidRPr="000127EF" w14:paraId="68106B32" w14:textId="77777777" w:rsidTr="00720B50">
        <w:trPr>
          <w:jc w:val="center"/>
        </w:trPr>
        <w:tc>
          <w:tcPr>
            <w:tcW w:w="1454" w:type="dxa"/>
            <w:vAlign w:val="bottom"/>
          </w:tcPr>
          <w:p w14:paraId="01DC8F29" w14:textId="1B02751F" w:rsidR="00D96A38" w:rsidRPr="00D96A38" w:rsidRDefault="00D96A38" w:rsidP="00D96A38">
            <w:pPr>
              <w:jc w:val="right"/>
              <w:rPr>
                <w:i/>
              </w:rPr>
            </w:pPr>
            <w:r w:rsidRPr="00D96A38">
              <w:rPr>
                <w:i/>
              </w:rPr>
              <w:t>1,2</w:t>
            </w:r>
            <w:r w:rsidR="00586208">
              <w:rPr>
                <w:i/>
              </w:rPr>
              <w:t>98</w:t>
            </w:r>
          </w:p>
        </w:tc>
        <w:tc>
          <w:tcPr>
            <w:tcW w:w="5634" w:type="dxa"/>
            <w:vAlign w:val="center"/>
          </w:tcPr>
          <w:p w14:paraId="056CBBCA" w14:textId="77777777" w:rsidR="00D96A38" w:rsidRPr="000127EF" w:rsidRDefault="00D96A38" w:rsidP="00D96A38">
            <w:pPr>
              <w:rPr>
                <w:rFonts w:cs="Arial"/>
                <w:b/>
                <w:szCs w:val="22"/>
                <w:lang w:val="en-US"/>
              </w:rPr>
            </w:pPr>
            <w:r w:rsidRPr="000127EF">
              <w:rPr>
                <w:rFonts w:cs="Arial"/>
                <w:b/>
                <w:szCs w:val="22"/>
                <w:lang w:val="en-US"/>
              </w:rPr>
              <w:t>Equity Securities</w:t>
            </w:r>
          </w:p>
        </w:tc>
        <w:tc>
          <w:tcPr>
            <w:tcW w:w="1534" w:type="dxa"/>
            <w:shd w:val="clear" w:color="auto" w:fill="C5E0B3" w:themeFill="accent6" w:themeFillTint="66"/>
            <w:vAlign w:val="bottom"/>
          </w:tcPr>
          <w:p w14:paraId="376CE816" w14:textId="507C8E25" w:rsidR="00D96A38" w:rsidRPr="00586208" w:rsidRDefault="00586208" w:rsidP="00D96A38">
            <w:pPr>
              <w:jc w:val="right"/>
            </w:pPr>
            <w:r w:rsidRPr="00586208">
              <w:t>1,251</w:t>
            </w:r>
          </w:p>
        </w:tc>
      </w:tr>
      <w:tr w:rsidR="00D96A38" w:rsidRPr="000127EF" w14:paraId="150081AF" w14:textId="77777777" w:rsidTr="00720B50">
        <w:trPr>
          <w:jc w:val="center"/>
        </w:trPr>
        <w:tc>
          <w:tcPr>
            <w:tcW w:w="1454" w:type="dxa"/>
            <w:tcBorders>
              <w:bottom w:val="nil"/>
            </w:tcBorders>
          </w:tcPr>
          <w:p w14:paraId="58ED5E90" w14:textId="77777777" w:rsidR="00D96A38" w:rsidRPr="00D96A38" w:rsidRDefault="00D96A38" w:rsidP="00D96A38">
            <w:pPr>
              <w:jc w:val="right"/>
              <w:rPr>
                <w:i/>
                <w:sz w:val="8"/>
                <w:szCs w:val="8"/>
              </w:rPr>
            </w:pPr>
          </w:p>
        </w:tc>
        <w:tc>
          <w:tcPr>
            <w:tcW w:w="5634" w:type="dxa"/>
            <w:tcBorders>
              <w:bottom w:val="nil"/>
            </w:tcBorders>
          </w:tcPr>
          <w:p w14:paraId="2551AEC1" w14:textId="77777777" w:rsidR="00D96A38" w:rsidRPr="000127EF" w:rsidRDefault="00D96A38" w:rsidP="00D96A38">
            <w:pPr>
              <w:rPr>
                <w:rFonts w:cs="Arial"/>
                <w:b/>
                <w:sz w:val="8"/>
                <w:szCs w:val="8"/>
                <w:lang w:val="en-US"/>
              </w:rPr>
            </w:pPr>
          </w:p>
        </w:tc>
        <w:tc>
          <w:tcPr>
            <w:tcW w:w="1534" w:type="dxa"/>
            <w:tcBorders>
              <w:bottom w:val="nil"/>
            </w:tcBorders>
            <w:shd w:val="clear" w:color="auto" w:fill="C5E0B3" w:themeFill="accent6" w:themeFillTint="66"/>
          </w:tcPr>
          <w:p w14:paraId="49A9DFEE" w14:textId="77777777" w:rsidR="00D96A38" w:rsidRPr="00586208" w:rsidRDefault="00D96A38" w:rsidP="00D96A38">
            <w:pPr>
              <w:jc w:val="right"/>
              <w:rPr>
                <w:sz w:val="8"/>
                <w:szCs w:val="8"/>
              </w:rPr>
            </w:pPr>
          </w:p>
        </w:tc>
      </w:tr>
      <w:tr w:rsidR="00D96A38" w:rsidRPr="000127EF" w14:paraId="5333A6E3" w14:textId="77777777" w:rsidTr="00720B50">
        <w:trPr>
          <w:jc w:val="center"/>
        </w:trPr>
        <w:tc>
          <w:tcPr>
            <w:tcW w:w="1454" w:type="dxa"/>
            <w:tcBorders>
              <w:bottom w:val="nil"/>
            </w:tcBorders>
          </w:tcPr>
          <w:p w14:paraId="4F7BD058" w14:textId="77777777" w:rsidR="00D96A38" w:rsidRPr="00D96A38" w:rsidRDefault="00D96A38" w:rsidP="00D96A38">
            <w:pPr>
              <w:jc w:val="right"/>
              <w:rPr>
                <w:i/>
              </w:rPr>
            </w:pPr>
          </w:p>
        </w:tc>
        <w:tc>
          <w:tcPr>
            <w:tcW w:w="5634" w:type="dxa"/>
            <w:tcBorders>
              <w:bottom w:val="nil"/>
            </w:tcBorders>
          </w:tcPr>
          <w:p w14:paraId="5BF49B88" w14:textId="77777777" w:rsidR="00D96A38" w:rsidRPr="000127EF" w:rsidRDefault="00D96A38" w:rsidP="00D96A38">
            <w:pPr>
              <w:rPr>
                <w:rFonts w:cs="Arial"/>
                <w:b/>
                <w:szCs w:val="22"/>
                <w:lang w:val="en-US"/>
              </w:rPr>
            </w:pPr>
            <w:r w:rsidRPr="000127EF">
              <w:rPr>
                <w:rFonts w:cs="Arial"/>
                <w:b/>
                <w:szCs w:val="22"/>
                <w:lang w:val="en-US"/>
              </w:rPr>
              <w:t>Debt Securities</w:t>
            </w:r>
          </w:p>
        </w:tc>
        <w:tc>
          <w:tcPr>
            <w:tcW w:w="1534" w:type="dxa"/>
            <w:tcBorders>
              <w:bottom w:val="nil"/>
            </w:tcBorders>
            <w:shd w:val="clear" w:color="auto" w:fill="C5E0B3" w:themeFill="accent6" w:themeFillTint="66"/>
          </w:tcPr>
          <w:p w14:paraId="51FF88E5" w14:textId="77777777" w:rsidR="00D96A38" w:rsidRPr="00586208" w:rsidRDefault="00D96A38" w:rsidP="00D96A38">
            <w:pPr>
              <w:jc w:val="right"/>
            </w:pPr>
          </w:p>
        </w:tc>
      </w:tr>
      <w:tr w:rsidR="00D96A38" w:rsidRPr="000127EF" w14:paraId="4F1C40C1" w14:textId="77777777" w:rsidTr="00720B50">
        <w:trPr>
          <w:jc w:val="center"/>
        </w:trPr>
        <w:tc>
          <w:tcPr>
            <w:tcW w:w="1454" w:type="dxa"/>
            <w:tcBorders>
              <w:bottom w:val="nil"/>
            </w:tcBorders>
          </w:tcPr>
          <w:p w14:paraId="7F96294E" w14:textId="3DA1DAC1" w:rsidR="00D96A38" w:rsidRPr="00D96A38" w:rsidRDefault="00586208" w:rsidP="00D96A38">
            <w:pPr>
              <w:jc w:val="right"/>
              <w:rPr>
                <w:i/>
              </w:rPr>
            </w:pPr>
            <w:r>
              <w:rPr>
                <w:i/>
              </w:rPr>
              <w:t>6,312</w:t>
            </w:r>
          </w:p>
        </w:tc>
        <w:tc>
          <w:tcPr>
            <w:tcW w:w="5634" w:type="dxa"/>
            <w:tcBorders>
              <w:bottom w:val="nil"/>
            </w:tcBorders>
          </w:tcPr>
          <w:p w14:paraId="3EBB832E" w14:textId="77777777" w:rsidR="00D96A38" w:rsidRPr="000127EF" w:rsidRDefault="00D96A38" w:rsidP="00D96A38">
            <w:pPr>
              <w:ind w:left="198"/>
              <w:rPr>
                <w:rFonts w:cs="Arial"/>
                <w:szCs w:val="22"/>
                <w:lang w:val="en-US"/>
              </w:rPr>
            </w:pPr>
            <w:r w:rsidRPr="000127EF">
              <w:rPr>
                <w:rFonts w:cs="Arial"/>
                <w:szCs w:val="22"/>
                <w:lang w:val="en-US"/>
              </w:rPr>
              <w:t>UK</w:t>
            </w:r>
          </w:p>
        </w:tc>
        <w:tc>
          <w:tcPr>
            <w:tcW w:w="1534" w:type="dxa"/>
            <w:tcBorders>
              <w:bottom w:val="nil"/>
            </w:tcBorders>
            <w:shd w:val="clear" w:color="auto" w:fill="C5E0B3" w:themeFill="accent6" w:themeFillTint="66"/>
          </w:tcPr>
          <w:p w14:paraId="3AA460A4" w14:textId="09BE91DD" w:rsidR="00D96A38" w:rsidRPr="00586208" w:rsidRDefault="00586208" w:rsidP="00D96A38">
            <w:pPr>
              <w:jc w:val="right"/>
            </w:pPr>
            <w:r w:rsidRPr="00586208">
              <w:t>6,083</w:t>
            </w:r>
          </w:p>
        </w:tc>
      </w:tr>
      <w:tr w:rsidR="00D96A38" w:rsidRPr="000127EF" w14:paraId="244762B2" w14:textId="77777777" w:rsidTr="00720B50">
        <w:trPr>
          <w:jc w:val="center"/>
        </w:trPr>
        <w:tc>
          <w:tcPr>
            <w:tcW w:w="1454" w:type="dxa"/>
            <w:tcBorders>
              <w:bottom w:val="single" w:sz="4" w:space="0" w:color="auto"/>
            </w:tcBorders>
          </w:tcPr>
          <w:p w14:paraId="09ED0967" w14:textId="298BAB93" w:rsidR="00D96A38" w:rsidRPr="00D96A38" w:rsidRDefault="00586208" w:rsidP="00D96A38">
            <w:pPr>
              <w:jc w:val="right"/>
              <w:rPr>
                <w:i/>
              </w:rPr>
            </w:pPr>
            <w:r>
              <w:rPr>
                <w:i/>
              </w:rPr>
              <w:t>965</w:t>
            </w:r>
          </w:p>
        </w:tc>
        <w:tc>
          <w:tcPr>
            <w:tcW w:w="5634" w:type="dxa"/>
            <w:tcBorders>
              <w:bottom w:val="nil"/>
            </w:tcBorders>
          </w:tcPr>
          <w:p w14:paraId="658E6D5D" w14:textId="77777777" w:rsidR="00D96A38" w:rsidRPr="000127EF" w:rsidRDefault="00D96A38" w:rsidP="00D96A38">
            <w:pPr>
              <w:ind w:left="198"/>
              <w:rPr>
                <w:rFonts w:cs="Arial"/>
                <w:szCs w:val="22"/>
                <w:lang w:val="en-US"/>
              </w:rPr>
            </w:pPr>
            <w:r w:rsidRPr="000127EF">
              <w:rPr>
                <w:rFonts w:cs="Arial"/>
                <w:szCs w:val="22"/>
                <w:lang w:val="en-US"/>
              </w:rPr>
              <w:t>Other</w:t>
            </w:r>
          </w:p>
        </w:tc>
        <w:tc>
          <w:tcPr>
            <w:tcW w:w="1534" w:type="dxa"/>
            <w:tcBorders>
              <w:bottom w:val="single" w:sz="4" w:space="0" w:color="auto"/>
            </w:tcBorders>
            <w:shd w:val="clear" w:color="auto" w:fill="C5E0B3" w:themeFill="accent6" w:themeFillTint="66"/>
          </w:tcPr>
          <w:p w14:paraId="2406646D" w14:textId="3185D565" w:rsidR="00D96A38" w:rsidRPr="00586208" w:rsidRDefault="00586208" w:rsidP="00D96A38">
            <w:pPr>
              <w:jc w:val="right"/>
            </w:pPr>
            <w:r w:rsidRPr="00586208">
              <w:t>930</w:t>
            </w:r>
          </w:p>
        </w:tc>
      </w:tr>
      <w:tr w:rsidR="00D96A38" w:rsidRPr="000127EF" w14:paraId="5A0908E2" w14:textId="77777777" w:rsidTr="00720B50">
        <w:trPr>
          <w:jc w:val="center"/>
        </w:trPr>
        <w:tc>
          <w:tcPr>
            <w:tcW w:w="1454" w:type="dxa"/>
            <w:tcBorders>
              <w:top w:val="single" w:sz="4" w:space="0" w:color="auto"/>
              <w:bottom w:val="single" w:sz="4" w:space="0" w:color="auto"/>
            </w:tcBorders>
          </w:tcPr>
          <w:p w14:paraId="61A209DF" w14:textId="1B009472" w:rsidR="00D96A38" w:rsidRPr="00D96A38" w:rsidRDefault="00586208" w:rsidP="00586208">
            <w:pPr>
              <w:jc w:val="right"/>
              <w:rPr>
                <w:b/>
                <w:i/>
              </w:rPr>
            </w:pPr>
            <w:r>
              <w:rPr>
                <w:b/>
                <w:i/>
              </w:rPr>
              <w:t>7,277</w:t>
            </w:r>
          </w:p>
        </w:tc>
        <w:tc>
          <w:tcPr>
            <w:tcW w:w="5634" w:type="dxa"/>
            <w:tcBorders>
              <w:bottom w:val="nil"/>
            </w:tcBorders>
          </w:tcPr>
          <w:p w14:paraId="2061AD98" w14:textId="77777777" w:rsidR="00D96A38" w:rsidRPr="000127EF" w:rsidRDefault="00D96A38" w:rsidP="00D96A38">
            <w:pPr>
              <w:rPr>
                <w:rFonts w:cs="Arial"/>
                <w:b/>
                <w:szCs w:val="22"/>
                <w:lang w:val="en-US"/>
              </w:rPr>
            </w:pPr>
            <w:r w:rsidRPr="000127EF">
              <w:rPr>
                <w:rFonts w:cs="Arial"/>
                <w:b/>
                <w:szCs w:val="22"/>
                <w:lang w:val="en-US"/>
              </w:rPr>
              <w:t>Total debt securities</w:t>
            </w:r>
          </w:p>
        </w:tc>
        <w:tc>
          <w:tcPr>
            <w:tcW w:w="1534" w:type="dxa"/>
            <w:tcBorders>
              <w:top w:val="single" w:sz="4" w:space="0" w:color="auto"/>
              <w:bottom w:val="single" w:sz="4" w:space="0" w:color="auto"/>
            </w:tcBorders>
            <w:shd w:val="clear" w:color="auto" w:fill="C5E0B3" w:themeFill="accent6" w:themeFillTint="66"/>
          </w:tcPr>
          <w:p w14:paraId="5E4D642D" w14:textId="33B93A4D" w:rsidR="00D96A38" w:rsidRPr="00586208" w:rsidRDefault="00586208" w:rsidP="00D96A38">
            <w:pPr>
              <w:jc w:val="right"/>
              <w:rPr>
                <w:b/>
              </w:rPr>
            </w:pPr>
            <w:r w:rsidRPr="00586208">
              <w:rPr>
                <w:b/>
              </w:rPr>
              <w:t>7,013</w:t>
            </w:r>
          </w:p>
        </w:tc>
      </w:tr>
      <w:tr w:rsidR="00D96A38" w:rsidRPr="000127EF" w14:paraId="4146A836" w14:textId="77777777" w:rsidTr="00720B50">
        <w:trPr>
          <w:jc w:val="center"/>
        </w:trPr>
        <w:tc>
          <w:tcPr>
            <w:tcW w:w="1454" w:type="dxa"/>
            <w:tcBorders>
              <w:top w:val="single" w:sz="4" w:space="0" w:color="auto"/>
              <w:bottom w:val="nil"/>
            </w:tcBorders>
          </w:tcPr>
          <w:p w14:paraId="27A6AD94" w14:textId="77777777" w:rsidR="00D96A38" w:rsidRPr="00D96A38" w:rsidRDefault="00D96A38" w:rsidP="00D96A38">
            <w:pPr>
              <w:jc w:val="right"/>
              <w:rPr>
                <w:i/>
                <w:sz w:val="8"/>
                <w:szCs w:val="8"/>
              </w:rPr>
            </w:pPr>
          </w:p>
        </w:tc>
        <w:tc>
          <w:tcPr>
            <w:tcW w:w="5634" w:type="dxa"/>
            <w:tcBorders>
              <w:bottom w:val="nil"/>
            </w:tcBorders>
          </w:tcPr>
          <w:p w14:paraId="405DDAB0" w14:textId="77777777" w:rsidR="00D96A38" w:rsidRPr="000127EF" w:rsidRDefault="00D96A38" w:rsidP="00D96A38">
            <w:pPr>
              <w:rPr>
                <w:rFonts w:cs="Arial"/>
                <w:b/>
                <w:sz w:val="8"/>
                <w:szCs w:val="8"/>
                <w:lang w:val="en-US"/>
              </w:rPr>
            </w:pPr>
          </w:p>
        </w:tc>
        <w:tc>
          <w:tcPr>
            <w:tcW w:w="1534" w:type="dxa"/>
            <w:tcBorders>
              <w:top w:val="single" w:sz="4" w:space="0" w:color="auto"/>
              <w:bottom w:val="nil"/>
            </w:tcBorders>
            <w:shd w:val="clear" w:color="auto" w:fill="C5E0B3" w:themeFill="accent6" w:themeFillTint="66"/>
          </w:tcPr>
          <w:p w14:paraId="6B9B5632" w14:textId="77777777" w:rsidR="00D96A38" w:rsidRPr="00586208" w:rsidRDefault="00D96A38" w:rsidP="00D96A38">
            <w:pPr>
              <w:jc w:val="right"/>
              <w:rPr>
                <w:sz w:val="8"/>
                <w:szCs w:val="8"/>
              </w:rPr>
            </w:pPr>
          </w:p>
        </w:tc>
      </w:tr>
      <w:tr w:rsidR="00D96A38" w:rsidRPr="000127EF" w14:paraId="7B343B95" w14:textId="77777777" w:rsidTr="00720B50">
        <w:trPr>
          <w:jc w:val="center"/>
        </w:trPr>
        <w:tc>
          <w:tcPr>
            <w:tcW w:w="1454" w:type="dxa"/>
            <w:tcBorders>
              <w:bottom w:val="nil"/>
            </w:tcBorders>
          </w:tcPr>
          <w:p w14:paraId="4EAFF6C2" w14:textId="3FF8845C" w:rsidR="00D96A38" w:rsidRPr="00D96A38" w:rsidRDefault="00D96A38" w:rsidP="00D96A38">
            <w:pPr>
              <w:jc w:val="right"/>
              <w:rPr>
                <w:i/>
              </w:rPr>
            </w:pPr>
            <w:r w:rsidRPr="00D96A38">
              <w:rPr>
                <w:i/>
              </w:rPr>
              <w:t>3,</w:t>
            </w:r>
            <w:r w:rsidR="00586208">
              <w:rPr>
                <w:i/>
              </w:rPr>
              <w:t>438</w:t>
            </w:r>
          </w:p>
        </w:tc>
        <w:tc>
          <w:tcPr>
            <w:tcW w:w="5634" w:type="dxa"/>
            <w:tcBorders>
              <w:bottom w:val="nil"/>
            </w:tcBorders>
          </w:tcPr>
          <w:p w14:paraId="4F9A53D5" w14:textId="77777777" w:rsidR="00D96A38" w:rsidRPr="000127EF" w:rsidRDefault="00D96A38" w:rsidP="00D96A38">
            <w:pPr>
              <w:rPr>
                <w:rFonts w:cs="Arial"/>
                <w:b/>
                <w:szCs w:val="22"/>
                <w:lang w:val="en-US"/>
              </w:rPr>
            </w:pPr>
            <w:r w:rsidRPr="000127EF">
              <w:rPr>
                <w:rFonts w:cs="Arial"/>
                <w:b/>
                <w:szCs w:val="22"/>
                <w:lang w:val="en-US"/>
              </w:rPr>
              <w:t>Private Equity</w:t>
            </w:r>
          </w:p>
        </w:tc>
        <w:tc>
          <w:tcPr>
            <w:tcW w:w="1534" w:type="dxa"/>
            <w:tcBorders>
              <w:bottom w:val="nil"/>
            </w:tcBorders>
            <w:shd w:val="clear" w:color="auto" w:fill="C5E0B3" w:themeFill="accent6" w:themeFillTint="66"/>
          </w:tcPr>
          <w:p w14:paraId="6E8EE6AC" w14:textId="5125B28A" w:rsidR="00D96A38" w:rsidRPr="00586208" w:rsidRDefault="00586208" w:rsidP="00D96A38">
            <w:pPr>
              <w:jc w:val="right"/>
            </w:pPr>
            <w:r w:rsidRPr="00586208">
              <w:t>3,313</w:t>
            </w:r>
          </w:p>
        </w:tc>
      </w:tr>
      <w:tr w:rsidR="00D96A38" w:rsidRPr="000127EF" w14:paraId="73ECD7A9" w14:textId="77777777" w:rsidTr="00720B50">
        <w:trPr>
          <w:jc w:val="center"/>
        </w:trPr>
        <w:tc>
          <w:tcPr>
            <w:tcW w:w="1454" w:type="dxa"/>
            <w:tcBorders>
              <w:bottom w:val="nil"/>
            </w:tcBorders>
          </w:tcPr>
          <w:p w14:paraId="1DDEC0F0" w14:textId="77777777" w:rsidR="00D96A38" w:rsidRPr="00D96A38" w:rsidRDefault="00D96A38" w:rsidP="00D96A38">
            <w:pPr>
              <w:jc w:val="right"/>
              <w:rPr>
                <w:i/>
                <w:sz w:val="8"/>
                <w:szCs w:val="8"/>
              </w:rPr>
            </w:pPr>
          </w:p>
        </w:tc>
        <w:tc>
          <w:tcPr>
            <w:tcW w:w="5634" w:type="dxa"/>
            <w:tcBorders>
              <w:bottom w:val="nil"/>
            </w:tcBorders>
          </w:tcPr>
          <w:p w14:paraId="059C69C5" w14:textId="77777777" w:rsidR="00D96A38" w:rsidRPr="000127EF" w:rsidRDefault="00D96A38" w:rsidP="00D96A38">
            <w:pPr>
              <w:rPr>
                <w:rFonts w:cs="Arial"/>
                <w:b/>
                <w:sz w:val="8"/>
                <w:szCs w:val="8"/>
                <w:lang w:val="en-US"/>
              </w:rPr>
            </w:pPr>
          </w:p>
        </w:tc>
        <w:tc>
          <w:tcPr>
            <w:tcW w:w="1534" w:type="dxa"/>
            <w:tcBorders>
              <w:bottom w:val="nil"/>
            </w:tcBorders>
            <w:shd w:val="clear" w:color="auto" w:fill="C5E0B3" w:themeFill="accent6" w:themeFillTint="66"/>
          </w:tcPr>
          <w:p w14:paraId="5C924EFB" w14:textId="77777777" w:rsidR="00D96A38" w:rsidRPr="00586208" w:rsidRDefault="00D96A38" w:rsidP="00D96A38">
            <w:pPr>
              <w:jc w:val="center"/>
              <w:rPr>
                <w:sz w:val="8"/>
                <w:szCs w:val="8"/>
              </w:rPr>
            </w:pPr>
          </w:p>
        </w:tc>
      </w:tr>
      <w:tr w:rsidR="00D96A38" w:rsidRPr="000127EF" w14:paraId="6C1C9124" w14:textId="77777777" w:rsidTr="00720B50">
        <w:trPr>
          <w:jc w:val="center"/>
        </w:trPr>
        <w:tc>
          <w:tcPr>
            <w:tcW w:w="1454" w:type="dxa"/>
            <w:tcBorders>
              <w:bottom w:val="nil"/>
            </w:tcBorders>
          </w:tcPr>
          <w:p w14:paraId="601A5E7C" w14:textId="692412B9" w:rsidR="00D96A38" w:rsidRPr="00D96A38" w:rsidRDefault="00586208" w:rsidP="00D96A38">
            <w:pPr>
              <w:jc w:val="right"/>
              <w:rPr>
                <w:i/>
              </w:rPr>
            </w:pPr>
            <w:r>
              <w:rPr>
                <w:i/>
              </w:rPr>
              <w:t>5,572</w:t>
            </w:r>
          </w:p>
        </w:tc>
        <w:tc>
          <w:tcPr>
            <w:tcW w:w="5634" w:type="dxa"/>
            <w:tcBorders>
              <w:bottom w:val="nil"/>
            </w:tcBorders>
          </w:tcPr>
          <w:p w14:paraId="6EA7B10E" w14:textId="77777777" w:rsidR="00D96A38" w:rsidRPr="000127EF" w:rsidRDefault="00D96A38" w:rsidP="00D96A38">
            <w:pPr>
              <w:rPr>
                <w:rFonts w:cs="Arial"/>
                <w:szCs w:val="22"/>
                <w:lang w:val="en-US"/>
              </w:rPr>
            </w:pPr>
            <w:r w:rsidRPr="000127EF">
              <w:rPr>
                <w:rFonts w:cs="Arial"/>
                <w:b/>
                <w:szCs w:val="22"/>
                <w:lang w:val="en-US"/>
              </w:rPr>
              <w:t>Real Estate</w:t>
            </w:r>
          </w:p>
        </w:tc>
        <w:tc>
          <w:tcPr>
            <w:tcW w:w="1534" w:type="dxa"/>
            <w:tcBorders>
              <w:bottom w:val="nil"/>
            </w:tcBorders>
            <w:shd w:val="clear" w:color="auto" w:fill="C5E0B3" w:themeFill="accent6" w:themeFillTint="66"/>
          </w:tcPr>
          <w:p w14:paraId="32406983" w14:textId="411249BD" w:rsidR="00D96A38" w:rsidRPr="00586208" w:rsidRDefault="00586208" w:rsidP="00D96A38">
            <w:pPr>
              <w:jc w:val="right"/>
            </w:pPr>
            <w:r w:rsidRPr="00586208">
              <w:t>5,369</w:t>
            </w:r>
          </w:p>
        </w:tc>
      </w:tr>
      <w:tr w:rsidR="00D96A38" w:rsidRPr="000127EF" w14:paraId="1160BF03" w14:textId="77777777" w:rsidTr="00720B50">
        <w:trPr>
          <w:jc w:val="center"/>
        </w:trPr>
        <w:tc>
          <w:tcPr>
            <w:tcW w:w="1454" w:type="dxa"/>
            <w:tcBorders>
              <w:bottom w:val="nil"/>
            </w:tcBorders>
          </w:tcPr>
          <w:p w14:paraId="1EF90805" w14:textId="77777777" w:rsidR="00D96A38" w:rsidRPr="00D96A38" w:rsidRDefault="00D96A38" w:rsidP="00D96A38">
            <w:pPr>
              <w:jc w:val="right"/>
              <w:rPr>
                <w:i/>
                <w:sz w:val="8"/>
                <w:szCs w:val="8"/>
              </w:rPr>
            </w:pPr>
          </w:p>
        </w:tc>
        <w:tc>
          <w:tcPr>
            <w:tcW w:w="5634" w:type="dxa"/>
            <w:tcBorders>
              <w:bottom w:val="nil"/>
            </w:tcBorders>
          </w:tcPr>
          <w:p w14:paraId="52B557B2" w14:textId="77777777" w:rsidR="00D96A38" w:rsidRPr="000127EF" w:rsidRDefault="00D96A38" w:rsidP="00D96A38">
            <w:pPr>
              <w:rPr>
                <w:rFonts w:cs="Arial"/>
                <w:b/>
                <w:sz w:val="8"/>
                <w:szCs w:val="8"/>
                <w:lang w:val="en-US"/>
              </w:rPr>
            </w:pPr>
          </w:p>
        </w:tc>
        <w:tc>
          <w:tcPr>
            <w:tcW w:w="1534" w:type="dxa"/>
            <w:tcBorders>
              <w:bottom w:val="nil"/>
            </w:tcBorders>
            <w:shd w:val="clear" w:color="auto" w:fill="C5E0B3" w:themeFill="accent6" w:themeFillTint="66"/>
          </w:tcPr>
          <w:p w14:paraId="11F22421" w14:textId="77777777" w:rsidR="00D96A38" w:rsidRPr="00586208" w:rsidRDefault="00D96A38" w:rsidP="00D96A38">
            <w:pPr>
              <w:jc w:val="right"/>
              <w:rPr>
                <w:sz w:val="8"/>
                <w:szCs w:val="8"/>
              </w:rPr>
            </w:pPr>
          </w:p>
        </w:tc>
      </w:tr>
      <w:tr w:rsidR="00D96A38" w:rsidRPr="000127EF" w14:paraId="37C8DB4E" w14:textId="77777777" w:rsidTr="00720B50">
        <w:trPr>
          <w:jc w:val="center"/>
        </w:trPr>
        <w:tc>
          <w:tcPr>
            <w:tcW w:w="1454" w:type="dxa"/>
            <w:tcBorders>
              <w:bottom w:val="nil"/>
            </w:tcBorders>
          </w:tcPr>
          <w:p w14:paraId="478C9255" w14:textId="77777777" w:rsidR="00D96A38" w:rsidRPr="00D96A38" w:rsidRDefault="00D96A38" w:rsidP="00D96A38">
            <w:pPr>
              <w:jc w:val="right"/>
              <w:rPr>
                <w:i/>
              </w:rPr>
            </w:pPr>
          </w:p>
        </w:tc>
        <w:tc>
          <w:tcPr>
            <w:tcW w:w="5634" w:type="dxa"/>
            <w:tcBorders>
              <w:bottom w:val="nil"/>
            </w:tcBorders>
          </w:tcPr>
          <w:p w14:paraId="76D6A237" w14:textId="77777777" w:rsidR="00D96A38" w:rsidRPr="000127EF" w:rsidRDefault="00D96A38" w:rsidP="00D96A38">
            <w:pPr>
              <w:rPr>
                <w:rFonts w:cs="Arial"/>
                <w:b/>
                <w:szCs w:val="22"/>
                <w:lang w:val="en-US"/>
              </w:rPr>
            </w:pPr>
            <w:r w:rsidRPr="000127EF">
              <w:rPr>
                <w:rFonts w:cs="Arial"/>
                <w:b/>
                <w:szCs w:val="22"/>
                <w:lang w:val="en-US"/>
              </w:rPr>
              <w:t>Investment Funds &amp; Unit Trusts</w:t>
            </w:r>
          </w:p>
        </w:tc>
        <w:tc>
          <w:tcPr>
            <w:tcW w:w="1534" w:type="dxa"/>
            <w:tcBorders>
              <w:bottom w:val="nil"/>
            </w:tcBorders>
            <w:shd w:val="clear" w:color="auto" w:fill="C5E0B3" w:themeFill="accent6" w:themeFillTint="66"/>
          </w:tcPr>
          <w:p w14:paraId="231A01EE" w14:textId="77777777" w:rsidR="00D96A38" w:rsidRPr="00586208" w:rsidRDefault="00D96A38" w:rsidP="00D96A38">
            <w:pPr>
              <w:jc w:val="right"/>
            </w:pPr>
          </w:p>
        </w:tc>
      </w:tr>
      <w:tr w:rsidR="00D96A38" w:rsidRPr="000127EF" w14:paraId="73D6EC0A" w14:textId="77777777" w:rsidTr="00720B50">
        <w:trPr>
          <w:jc w:val="center"/>
        </w:trPr>
        <w:tc>
          <w:tcPr>
            <w:tcW w:w="1454" w:type="dxa"/>
            <w:tcBorders>
              <w:bottom w:val="nil"/>
            </w:tcBorders>
          </w:tcPr>
          <w:p w14:paraId="2F9222FE" w14:textId="634500B5" w:rsidR="00D96A38" w:rsidRPr="00D96A38" w:rsidRDefault="00586208" w:rsidP="00D96A38">
            <w:pPr>
              <w:jc w:val="right"/>
              <w:rPr>
                <w:i/>
              </w:rPr>
            </w:pPr>
            <w:r>
              <w:rPr>
                <w:i/>
              </w:rPr>
              <w:t>29.940</w:t>
            </w:r>
          </w:p>
        </w:tc>
        <w:tc>
          <w:tcPr>
            <w:tcW w:w="5634" w:type="dxa"/>
            <w:tcBorders>
              <w:bottom w:val="nil"/>
            </w:tcBorders>
          </w:tcPr>
          <w:p w14:paraId="14553415" w14:textId="77777777" w:rsidR="00D96A38" w:rsidRPr="000127EF" w:rsidRDefault="00D96A38" w:rsidP="00D96A38">
            <w:pPr>
              <w:ind w:left="198"/>
              <w:rPr>
                <w:rFonts w:cs="Arial"/>
                <w:szCs w:val="22"/>
                <w:lang w:val="en-US"/>
              </w:rPr>
            </w:pPr>
            <w:r w:rsidRPr="000127EF">
              <w:rPr>
                <w:rFonts w:cs="Arial"/>
                <w:szCs w:val="22"/>
                <w:lang w:val="en-US"/>
              </w:rPr>
              <w:t>Equities</w:t>
            </w:r>
          </w:p>
        </w:tc>
        <w:tc>
          <w:tcPr>
            <w:tcW w:w="1534" w:type="dxa"/>
            <w:tcBorders>
              <w:bottom w:val="nil"/>
            </w:tcBorders>
            <w:shd w:val="clear" w:color="auto" w:fill="C5E0B3" w:themeFill="accent6" w:themeFillTint="66"/>
          </w:tcPr>
          <w:p w14:paraId="23BBB9E3" w14:textId="4087BB54" w:rsidR="00D96A38" w:rsidRPr="00586208" w:rsidRDefault="00586208" w:rsidP="00D96A38">
            <w:pPr>
              <w:jc w:val="right"/>
            </w:pPr>
            <w:r w:rsidRPr="00586208">
              <w:t>28,853</w:t>
            </w:r>
          </w:p>
        </w:tc>
      </w:tr>
      <w:tr w:rsidR="00D96A38" w:rsidRPr="000127EF" w14:paraId="67C371CE" w14:textId="77777777" w:rsidTr="00720B50">
        <w:trPr>
          <w:jc w:val="center"/>
        </w:trPr>
        <w:tc>
          <w:tcPr>
            <w:tcW w:w="1454" w:type="dxa"/>
            <w:tcBorders>
              <w:bottom w:val="nil"/>
            </w:tcBorders>
          </w:tcPr>
          <w:p w14:paraId="172A2CC7" w14:textId="675048E0" w:rsidR="00D96A38" w:rsidRPr="00D96A38" w:rsidRDefault="00586208" w:rsidP="00D96A38">
            <w:pPr>
              <w:jc w:val="right"/>
              <w:rPr>
                <w:i/>
              </w:rPr>
            </w:pPr>
            <w:r>
              <w:rPr>
                <w:i/>
              </w:rPr>
              <w:t>3,150</w:t>
            </w:r>
          </w:p>
        </w:tc>
        <w:tc>
          <w:tcPr>
            <w:tcW w:w="5634" w:type="dxa"/>
            <w:tcBorders>
              <w:bottom w:val="nil"/>
            </w:tcBorders>
          </w:tcPr>
          <w:p w14:paraId="48048C8F" w14:textId="77777777" w:rsidR="00D96A38" w:rsidRPr="000127EF" w:rsidRDefault="00D96A38" w:rsidP="00D96A38">
            <w:pPr>
              <w:ind w:left="198"/>
              <w:rPr>
                <w:rFonts w:cs="Arial"/>
                <w:szCs w:val="22"/>
                <w:lang w:val="en-US"/>
              </w:rPr>
            </w:pPr>
            <w:r w:rsidRPr="000127EF">
              <w:rPr>
                <w:rFonts w:cs="Arial"/>
                <w:szCs w:val="22"/>
                <w:lang w:val="en-US"/>
              </w:rPr>
              <w:t>Bonds</w:t>
            </w:r>
          </w:p>
        </w:tc>
        <w:tc>
          <w:tcPr>
            <w:tcW w:w="1534" w:type="dxa"/>
            <w:tcBorders>
              <w:bottom w:val="nil"/>
            </w:tcBorders>
            <w:shd w:val="clear" w:color="auto" w:fill="C5E0B3" w:themeFill="accent6" w:themeFillTint="66"/>
          </w:tcPr>
          <w:p w14:paraId="7191219D" w14:textId="7A6EF11D" w:rsidR="00D96A38" w:rsidRPr="00586208" w:rsidRDefault="00586208" w:rsidP="00D96A38">
            <w:pPr>
              <w:jc w:val="right"/>
            </w:pPr>
            <w:r w:rsidRPr="00586208">
              <w:t>3,036</w:t>
            </w:r>
          </w:p>
        </w:tc>
      </w:tr>
      <w:tr w:rsidR="00D96A38" w:rsidRPr="000127EF" w14:paraId="04052AEF" w14:textId="77777777" w:rsidTr="00720B50">
        <w:trPr>
          <w:jc w:val="center"/>
        </w:trPr>
        <w:tc>
          <w:tcPr>
            <w:tcW w:w="1454" w:type="dxa"/>
            <w:tcBorders>
              <w:bottom w:val="nil"/>
            </w:tcBorders>
          </w:tcPr>
          <w:p w14:paraId="4FF1C9B8" w14:textId="7F17BC32" w:rsidR="00D96A38" w:rsidRPr="00D96A38" w:rsidRDefault="00586208" w:rsidP="00D96A38">
            <w:pPr>
              <w:jc w:val="right"/>
              <w:rPr>
                <w:i/>
              </w:rPr>
            </w:pPr>
            <w:r>
              <w:rPr>
                <w:i/>
              </w:rPr>
              <w:t>6</w:t>
            </w:r>
          </w:p>
        </w:tc>
        <w:tc>
          <w:tcPr>
            <w:tcW w:w="5634" w:type="dxa"/>
            <w:tcBorders>
              <w:bottom w:val="nil"/>
            </w:tcBorders>
          </w:tcPr>
          <w:p w14:paraId="09D4888A" w14:textId="77777777" w:rsidR="00D96A38" w:rsidRPr="000127EF" w:rsidRDefault="00D96A38" w:rsidP="00D96A38">
            <w:pPr>
              <w:ind w:left="198"/>
              <w:rPr>
                <w:rFonts w:cs="Arial"/>
                <w:szCs w:val="22"/>
                <w:lang w:val="en-US"/>
              </w:rPr>
            </w:pPr>
            <w:r w:rsidRPr="000127EF">
              <w:rPr>
                <w:rFonts w:cs="Arial"/>
                <w:szCs w:val="22"/>
                <w:lang w:val="en-US"/>
              </w:rPr>
              <w:t>Hedge Funds</w:t>
            </w:r>
          </w:p>
        </w:tc>
        <w:tc>
          <w:tcPr>
            <w:tcW w:w="1534" w:type="dxa"/>
            <w:tcBorders>
              <w:bottom w:val="nil"/>
            </w:tcBorders>
            <w:shd w:val="clear" w:color="auto" w:fill="C5E0B3" w:themeFill="accent6" w:themeFillTint="66"/>
          </w:tcPr>
          <w:p w14:paraId="3986D0CD" w14:textId="0D24E7EA" w:rsidR="00D96A38" w:rsidRPr="00586208" w:rsidRDefault="00586208" w:rsidP="00D96A38">
            <w:pPr>
              <w:jc w:val="right"/>
            </w:pPr>
            <w:r w:rsidRPr="00586208">
              <w:t>6</w:t>
            </w:r>
          </w:p>
        </w:tc>
      </w:tr>
      <w:tr w:rsidR="00D96A38" w:rsidRPr="000127EF" w14:paraId="65944185" w14:textId="77777777" w:rsidTr="00720B50">
        <w:trPr>
          <w:jc w:val="center"/>
        </w:trPr>
        <w:tc>
          <w:tcPr>
            <w:tcW w:w="1454" w:type="dxa"/>
            <w:tcBorders>
              <w:bottom w:val="nil"/>
            </w:tcBorders>
          </w:tcPr>
          <w:p w14:paraId="554CB9DC" w14:textId="1EE062AE" w:rsidR="00D96A38" w:rsidRPr="00D96A38" w:rsidRDefault="00D96A38" w:rsidP="00D96A38">
            <w:pPr>
              <w:jc w:val="right"/>
              <w:rPr>
                <w:i/>
              </w:rPr>
            </w:pPr>
            <w:r w:rsidRPr="00D96A38">
              <w:rPr>
                <w:i/>
              </w:rPr>
              <w:t>2,</w:t>
            </w:r>
            <w:r w:rsidR="00586208">
              <w:rPr>
                <w:i/>
              </w:rPr>
              <w:t>637</w:t>
            </w:r>
          </w:p>
        </w:tc>
        <w:tc>
          <w:tcPr>
            <w:tcW w:w="5634" w:type="dxa"/>
            <w:tcBorders>
              <w:bottom w:val="nil"/>
            </w:tcBorders>
          </w:tcPr>
          <w:p w14:paraId="7B831F1C" w14:textId="77777777" w:rsidR="00D96A38" w:rsidRPr="000127EF" w:rsidRDefault="00D96A38" w:rsidP="00D96A38">
            <w:pPr>
              <w:ind w:left="198"/>
              <w:rPr>
                <w:rFonts w:cs="Arial"/>
                <w:szCs w:val="22"/>
                <w:lang w:val="en-US"/>
              </w:rPr>
            </w:pPr>
            <w:r w:rsidRPr="000127EF">
              <w:rPr>
                <w:rFonts w:cs="Arial"/>
                <w:szCs w:val="22"/>
                <w:lang w:val="en-US"/>
              </w:rPr>
              <w:t>Commodities</w:t>
            </w:r>
          </w:p>
        </w:tc>
        <w:tc>
          <w:tcPr>
            <w:tcW w:w="1534" w:type="dxa"/>
            <w:tcBorders>
              <w:bottom w:val="nil"/>
            </w:tcBorders>
            <w:shd w:val="clear" w:color="auto" w:fill="C5E0B3" w:themeFill="accent6" w:themeFillTint="66"/>
          </w:tcPr>
          <w:p w14:paraId="704D6E7A" w14:textId="7849E522" w:rsidR="00D96A38" w:rsidRPr="00586208" w:rsidRDefault="00586208" w:rsidP="00D96A38">
            <w:pPr>
              <w:jc w:val="right"/>
            </w:pPr>
            <w:r w:rsidRPr="00586208">
              <w:t>2,541</w:t>
            </w:r>
          </w:p>
        </w:tc>
      </w:tr>
      <w:tr w:rsidR="00D96A38" w:rsidRPr="000127EF" w14:paraId="63B13B0F" w14:textId="77777777" w:rsidTr="00720B50">
        <w:trPr>
          <w:jc w:val="center"/>
        </w:trPr>
        <w:tc>
          <w:tcPr>
            <w:tcW w:w="1454" w:type="dxa"/>
            <w:tcBorders>
              <w:bottom w:val="nil"/>
            </w:tcBorders>
          </w:tcPr>
          <w:p w14:paraId="03A26742" w14:textId="0382E73F" w:rsidR="00D96A38" w:rsidRPr="00D96A38" w:rsidRDefault="00D96A38" w:rsidP="00D96A38">
            <w:pPr>
              <w:jc w:val="right"/>
              <w:rPr>
                <w:i/>
              </w:rPr>
            </w:pPr>
            <w:r w:rsidRPr="00D96A38">
              <w:rPr>
                <w:i/>
              </w:rPr>
              <w:t>3,9</w:t>
            </w:r>
            <w:r w:rsidR="00586208">
              <w:rPr>
                <w:i/>
              </w:rPr>
              <w:t>21</w:t>
            </w:r>
          </w:p>
        </w:tc>
        <w:tc>
          <w:tcPr>
            <w:tcW w:w="5634" w:type="dxa"/>
            <w:tcBorders>
              <w:bottom w:val="nil"/>
            </w:tcBorders>
          </w:tcPr>
          <w:p w14:paraId="085FFD96" w14:textId="77777777" w:rsidR="00D96A38" w:rsidRPr="000127EF" w:rsidRDefault="00D96A38" w:rsidP="00D96A38">
            <w:pPr>
              <w:ind w:left="198"/>
              <w:rPr>
                <w:rFonts w:cs="Arial"/>
                <w:szCs w:val="22"/>
                <w:lang w:val="en-US"/>
              </w:rPr>
            </w:pPr>
            <w:r w:rsidRPr="000127EF">
              <w:rPr>
                <w:rFonts w:cs="Arial"/>
                <w:szCs w:val="22"/>
                <w:lang w:val="en-US"/>
              </w:rPr>
              <w:t>Infrastructure</w:t>
            </w:r>
          </w:p>
        </w:tc>
        <w:tc>
          <w:tcPr>
            <w:tcW w:w="1534" w:type="dxa"/>
            <w:tcBorders>
              <w:bottom w:val="nil"/>
            </w:tcBorders>
            <w:shd w:val="clear" w:color="auto" w:fill="C5E0B3" w:themeFill="accent6" w:themeFillTint="66"/>
          </w:tcPr>
          <w:p w14:paraId="65901637" w14:textId="2F76681E" w:rsidR="00D96A38" w:rsidRPr="00586208" w:rsidRDefault="00586208" w:rsidP="00D96A38">
            <w:pPr>
              <w:jc w:val="right"/>
            </w:pPr>
            <w:r w:rsidRPr="00586208">
              <w:t>3,778</w:t>
            </w:r>
          </w:p>
        </w:tc>
      </w:tr>
      <w:tr w:rsidR="00D96A38" w:rsidRPr="000127EF" w14:paraId="7530BB88" w14:textId="77777777" w:rsidTr="00720B50">
        <w:trPr>
          <w:jc w:val="center"/>
        </w:trPr>
        <w:tc>
          <w:tcPr>
            <w:tcW w:w="1454" w:type="dxa"/>
            <w:tcBorders>
              <w:top w:val="nil"/>
              <w:left w:val="single" w:sz="18" w:space="0" w:color="A8D08D" w:themeColor="accent6" w:themeTint="99"/>
              <w:bottom w:val="nil"/>
            </w:tcBorders>
          </w:tcPr>
          <w:p w14:paraId="21338AB0" w14:textId="084D328B" w:rsidR="00D96A38" w:rsidRPr="00D96A38" w:rsidRDefault="00586208" w:rsidP="00D96A38">
            <w:pPr>
              <w:jc w:val="right"/>
              <w:rPr>
                <w:i/>
              </w:rPr>
            </w:pPr>
            <w:r>
              <w:rPr>
                <w:i/>
              </w:rPr>
              <w:t>15,169</w:t>
            </w:r>
          </w:p>
        </w:tc>
        <w:tc>
          <w:tcPr>
            <w:tcW w:w="5634" w:type="dxa"/>
            <w:tcBorders>
              <w:top w:val="nil"/>
              <w:bottom w:val="nil"/>
            </w:tcBorders>
          </w:tcPr>
          <w:p w14:paraId="515C4C6A" w14:textId="77777777" w:rsidR="00D96A38" w:rsidRPr="000127EF" w:rsidRDefault="00D96A38" w:rsidP="00D96A38">
            <w:pPr>
              <w:ind w:left="198"/>
              <w:rPr>
                <w:rFonts w:cs="Arial"/>
                <w:szCs w:val="22"/>
                <w:lang w:val="en-US"/>
              </w:rPr>
            </w:pPr>
            <w:r w:rsidRPr="000127EF">
              <w:rPr>
                <w:rFonts w:cs="Arial"/>
                <w:szCs w:val="22"/>
                <w:lang w:val="en-US"/>
              </w:rPr>
              <w:t>Other</w:t>
            </w:r>
          </w:p>
        </w:tc>
        <w:tc>
          <w:tcPr>
            <w:tcW w:w="1534" w:type="dxa"/>
            <w:tcBorders>
              <w:top w:val="nil"/>
              <w:bottom w:val="nil"/>
              <w:right w:val="nil"/>
            </w:tcBorders>
            <w:shd w:val="clear" w:color="auto" w:fill="C5E0B3" w:themeFill="accent6" w:themeFillTint="66"/>
          </w:tcPr>
          <w:p w14:paraId="5CEC6D7A" w14:textId="5CBA701F" w:rsidR="00D96A38" w:rsidRPr="00586208" w:rsidRDefault="00586208" w:rsidP="00D96A38">
            <w:pPr>
              <w:jc w:val="right"/>
            </w:pPr>
            <w:r w:rsidRPr="00586208">
              <w:t>14,618</w:t>
            </w:r>
          </w:p>
        </w:tc>
      </w:tr>
      <w:tr w:rsidR="00D96A38" w:rsidRPr="000127EF" w14:paraId="4975390E" w14:textId="77777777" w:rsidTr="00720B50">
        <w:trPr>
          <w:jc w:val="center"/>
        </w:trPr>
        <w:tc>
          <w:tcPr>
            <w:tcW w:w="1454" w:type="dxa"/>
            <w:tcBorders>
              <w:top w:val="single" w:sz="4" w:space="0" w:color="auto"/>
              <w:bottom w:val="nil"/>
            </w:tcBorders>
          </w:tcPr>
          <w:p w14:paraId="699744EB" w14:textId="29377AC7" w:rsidR="00D96A38" w:rsidRPr="00D96A38" w:rsidRDefault="00586208" w:rsidP="00D96A38">
            <w:pPr>
              <w:jc w:val="right"/>
              <w:rPr>
                <w:b/>
                <w:i/>
              </w:rPr>
            </w:pPr>
            <w:r>
              <w:rPr>
                <w:b/>
                <w:i/>
              </w:rPr>
              <w:t>54,823</w:t>
            </w:r>
          </w:p>
        </w:tc>
        <w:tc>
          <w:tcPr>
            <w:tcW w:w="5634" w:type="dxa"/>
            <w:tcBorders>
              <w:bottom w:val="nil"/>
            </w:tcBorders>
          </w:tcPr>
          <w:p w14:paraId="6B3BD697" w14:textId="77777777" w:rsidR="00D96A38" w:rsidRPr="000127EF" w:rsidRDefault="00D96A38" w:rsidP="00D96A38">
            <w:pPr>
              <w:rPr>
                <w:rFonts w:cs="Arial"/>
                <w:b/>
                <w:szCs w:val="22"/>
                <w:lang w:val="en-US"/>
              </w:rPr>
            </w:pPr>
            <w:r w:rsidRPr="000127EF">
              <w:rPr>
                <w:rFonts w:cs="Arial"/>
                <w:b/>
                <w:szCs w:val="22"/>
                <w:lang w:val="en-US"/>
              </w:rPr>
              <w:t>Total investment funds &amp; unit trusts</w:t>
            </w:r>
          </w:p>
        </w:tc>
        <w:tc>
          <w:tcPr>
            <w:tcW w:w="1534" w:type="dxa"/>
            <w:tcBorders>
              <w:top w:val="single" w:sz="4" w:space="0" w:color="auto"/>
              <w:bottom w:val="nil"/>
            </w:tcBorders>
            <w:shd w:val="clear" w:color="auto" w:fill="C5E0B3" w:themeFill="accent6" w:themeFillTint="66"/>
          </w:tcPr>
          <w:p w14:paraId="71A45C48" w14:textId="2D5BB877" w:rsidR="00D96A38" w:rsidRPr="00586208" w:rsidRDefault="00586208" w:rsidP="00D96A38">
            <w:pPr>
              <w:jc w:val="right"/>
              <w:rPr>
                <w:b/>
              </w:rPr>
            </w:pPr>
            <w:r w:rsidRPr="00586208">
              <w:rPr>
                <w:b/>
              </w:rPr>
              <w:t>52,832</w:t>
            </w:r>
          </w:p>
        </w:tc>
      </w:tr>
      <w:tr w:rsidR="00D96A38" w:rsidRPr="000127EF" w14:paraId="4D4F4D4B" w14:textId="77777777" w:rsidTr="00720B50">
        <w:trPr>
          <w:trHeight w:val="294"/>
          <w:jc w:val="center"/>
        </w:trPr>
        <w:tc>
          <w:tcPr>
            <w:tcW w:w="1454" w:type="dxa"/>
            <w:tcBorders>
              <w:top w:val="single" w:sz="4" w:space="0" w:color="auto"/>
              <w:bottom w:val="nil"/>
            </w:tcBorders>
          </w:tcPr>
          <w:p w14:paraId="311AB484" w14:textId="77777777" w:rsidR="00D96A38" w:rsidRPr="00D96A38" w:rsidRDefault="00D96A38" w:rsidP="00D96A38">
            <w:pPr>
              <w:jc w:val="right"/>
              <w:rPr>
                <w:i/>
                <w:sz w:val="8"/>
                <w:szCs w:val="8"/>
              </w:rPr>
            </w:pPr>
          </w:p>
        </w:tc>
        <w:tc>
          <w:tcPr>
            <w:tcW w:w="5634" w:type="dxa"/>
            <w:tcBorders>
              <w:bottom w:val="nil"/>
            </w:tcBorders>
          </w:tcPr>
          <w:p w14:paraId="688BEB0A" w14:textId="77777777" w:rsidR="00D96A38" w:rsidRPr="000127EF" w:rsidRDefault="00D96A38" w:rsidP="00D96A38">
            <w:pPr>
              <w:rPr>
                <w:rFonts w:cs="Arial"/>
                <w:sz w:val="8"/>
                <w:szCs w:val="8"/>
                <w:lang w:val="en-US"/>
              </w:rPr>
            </w:pPr>
          </w:p>
        </w:tc>
        <w:tc>
          <w:tcPr>
            <w:tcW w:w="1534" w:type="dxa"/>
            <w:tcBorders>
              <w:top w:val="single" w:sz="4" w:space="0" w:color="auto"/>
              <w:bottom w:val="nil"/>
            </w:tcBorders>
            <w:shd w:val="clear" w:color="auto" w:fill="C5E0B3" w:themeFill="accent6" w:themeFillTint="66"/>
          </w:tcPr>
          <w:p w14:paraId="5AC4DC96" w14:textId="77777777" w:rsidR="00D96A38" w:rsidRPr="00586208" w:rsidRDefault="00D96A38" w:rsidP="00D96A38">
            <w:pPr>
              <w:jc w:val="right"/>
              <w:rPr>
                <w:sz w:val="8"/>
                <w:szCs w:val="8"/>
              </w:rPr>
            </w:pPr>
          </w:p>
        </w:tc>
      </w:tr>
      <w:tr w:rsidR="00D96A38" w:rsidRPr="000127EF" w14:paraId="48C151AB" w14:textId="77777777" w:rsidTr="00720B50">
        <w:trPr>
          <w:jc w:val="center"/>
        </w:trPr>
        <w:tc>
          <w:tcPr>
            <w:tcW w:w="1454" w:type="dxa"/>
            <w:tcBorders>
              <w:top w:val="nil"/>
              <w:bottom w:val="nil"/>
            </w:tcBorders>
          </w:tcPr>
          <w:p w14:paraId="7655182D" w14:textId="24CA0EF9" w:rsidR="00D96A38" w:rsidRPr="00D96A38" w:rsidRDefault="00586208" w:rsidP="00D96A38">
            <w:pPr>
              <w:jc w:val="right"/>
              <w:rPr>
                <w:i/>
              </w:rPr>
            </w:pPr>
            <w:r>
              <w:rPr>
                <w:i/>
              </w:rPr>
              <w:t>(95)</w:t>
            </w:r>
          </w:p>
        </w:tc>
        <w:tc>
          <w:tcPr>
            <w:tcW w:w="5634" w:type="dxa"/>
            <w:tcBorders>
              <w:top w:val="nil"/>
              <w:bottom w:val="nil"/>
            </w:tcBorders>
          </w:tcPr>
          <w:p w14:paraId="398D5FB3" w14:textId="77777777" w:rsidR="00D96A38" w:rsidRPr="000127EF" w:rsidRDefault="00D96A38" w:rsidP="00D96A38">
            <w:pPr>
              <w:rPr>
                <w:rFonts w:cs="Arial"/>
                <w:b/>
                <w:szCs w:val="22"/>
                <w:lang w:val="en-US"/>
              </w:rPr>
            </w:pPr>
            <w:r w:rsidRPr="000127EF">
              <w:rPr>
                <w:rFonts w:cs="Arial"/>
                <w:b/>
                <w:szCs w:val="22"/>
                <w:lang w:val="en-US"/>
              </w:rPr>
              <w:t>Derivatives</w:t>
            </w:r>
          </w:p>
        </w:tc>
        <w:tc>
          <w:tcPr>
            <w:tcW w:w="1534" w:type="dxa"/>
            <w:tcBorders>
              <w:top w:val="nil"/>
              <w:bottom w:val="nil"/>
            </w:tcBorders>
            <w:shd w:val="clear" w:color="auto" w:fill="C5E0B3" w:themeFill="accent6" w:themeFillTint="66"/>
          </w:tcPr>
          <w:p w14:paraId="7F9D187C" w14:textId="6B6D2330" w:rsidR="00D96A38" w:rsidRPr="00586208" w:rsidRDefault="00586208" w:rsidP="00D96A38">
            <w:pPr>
              <w:jc w:val="right"/>
            </w:pPr>
            <w:r w:rsidRPr="00586208">
              <w:t>(9</w:t>
            </w:r>
            <w:r w:rsidR="00432979">
              <w:t>2</w:t>
            </w:r>
            <w:r w:rsidRPr="00586208">
              <w:t>)</w:t>
            </w:r>
          </w:p>
        </w:tc>
      </w:tr>
      <w:tr w:rsidR="00D96A38" w:rsidRPr="000127EF" w14:paraId="21E36334" w14:textId="77777777" w:rsidTr="00720B50">
        <w:trPr>
          <w:jc w:val="center"/>
        </w:trPr>
        <w:tc>
          <w:tcPr>
            <w:tcW w:w="1454" w:type="dxa"/>
            <w:tcBorders>
              <w:bottom w:val="nil"/>
            </w:tcBorders>
          </w:tcPr>
          <w:p w14:paraId="3B66FA71" w14:textId="77777777" w:rsidR="00D96A38" w:rsidRPr="00D96A38" w:rsidRDefault="00D96A38" w:rsidP="00D96A38">
            <w:pPr>
              <w:jc w:val="right"/>
              <w:rPr>
                <w:i/>
                <w:sz w:val="8"/>
                <w:szCs w:val="8"/>
              </w:rPr>
            </w:pPr>
          </w:p>
        </w:tc>
        <w:tc>
          <w:tcPr>
            <w:tcW w:w="5634" w:type="dxa"/>
            <w:tcBorders>
              <w:bottom w:val="nil"/>
            </w:tcBorders>
          </w:tcPr>
          <w:p w14:paraId="78A29B69" w14:textId="77777777" w:rsidR="00D96A38" w:rsidRPr="000127EF" w:rsidRDefault="00D96A38" w:rsidP="00D96A38">
            <w:pPr>
              <w:rPr>
                <w:rFonts w:cs="Arial"/>
                <w:sz w:val="8"/>
                <w:szCs w:val="8"/>
                <w:lang w:val="en-US"/>
              </w:rPr>
            </w:pPr>
          </w:p>
        </w:tc>
        <w:tc>
          <w:tcPr>
            <w:tcW w:w="1534" w:type="dxa"/>
            <w:tcBorders>
              <w:bottom w:val="nil"/>
            </w:tcBorders>
            <w:shd w:val="clear" w:color="auto" w:fill="C5E0B3" w:themeFill="accent6" w:themeFillTint="66"/>
          </w:tcPr>
          <w:p w14:paraId="11310D99" w14:textId="77777777" w:rsidR="00D96A38" w:rsidRPr="00586208" w:rsidRDefault="00D96A38" w:rsidP="00D96A38">
            <w:pPr>
              <w:jc w:val="right"/>
              <w:rPr>
                <w:sz w:val="8"/>
                <w:szCs w:val="8"/>
              </w:rPr>
            </w:pPr>
          </w:p>
        </w:tc>
      </w:tr>
      <w:tr w:rsidR="00D96A38" w:rsidRPr="000127EF" w14:paraId="1E3380F7" w14:textId="77777777" w:rsidTr="00720B50">
        <w:trPr>
          <w:jc w:val="center"/>
        </w:trPr>
        <w:tc>
          <w:tcPr>
            <w:tcW w:w="1454" w:type="dxa"/>
            <w:tcBorders>
              <w:bottom w:val="nil"/>
            </w:tcBorders>
          </w:tcPr>
          <w:p w14:paraId="2B617358" w14:textId="318AD8F3" w:rsidR="00D96A38" w:rsidRPr="00D96A38" w:rsidRDefault="00586208" w:rsidP="00D96A38">
            <w:pPr>
              <w:jc w:val="right"/>
              <w:rPr>
                <w:i/>
              </w:rPr>
            </w:pPr>
            <w:r>
              <w:rPr>
                <w:i/>
              </w:rPr>
              <w:t>2,233</w:t>
            </w:r>
          </w:p>
        </w:tc>
        <w:tc>
          <w:tcPr>
            <w:tcW w:w="5634" w:type="dxa"/>
            <w:tcBorders>
              <w:bottom w:val="nil"/>
            </w:tcBorders>
          </w:tcPr>
          <w:p w14:paraId="5492CC50" w14:textId="77777777" w:rsidR="00D96A38" w:rsidRPr="000127EF" w:rsidRDefault="00D96A38" w:rsidP="00D96A38">
            <w:pPr>
              <w:rPr>
                <w:rFonts w:cs="Arial"/>
                <w:b/>
                <w:szCs w:val="22"/>
                <w:lang w:val="en-US"/>
              </w:rPr>
            </w:pPr>
            <w:r w:rsidRPr="000127EF">
              <w:rPr>
                <w:rFonts w:cs="Arial"/>
                <w:b/>
                <w:szCs w:val="22"/>
                <w:lang w:val="en-US"/>
              </w:rPr>
              <w:t>Cash &amp; Cash Equivalents</w:t>
            </w:r>
          </w:p>
        </w:tc>
        <w:tc>
          <w:tcPr>
            <w:tcW w:w="1534" w:type="dxa"/>
            <w:tcBorders>
              <w:bottom w:val="nil"/>
            </w:tcBorders>
            <w:shd w:val="clear" w:color="auto" w:fill="C5E0B3" w:themeFill="accent6" w:themeFillTint="66"/>
          </w:tcPr>
          <w:p w14:paraId="1EB4EEA2" w14:textId="24BC33F9" w:rsidR="00D96A38" w:rsidRPr="00586208" w:rsidRDefault="00586208" w:rsidP="00D96A38">
            <w:pPr>
              <w:jc w:val="right"/>
            </w:pPr>
            <w:r w:rsidRPr="00586208">
              <w:t>2,152</w:t>
            </w:r>
          </w:p>
        </w:tc>
      </w:tr>
      <w:tr w:rsidR="00D96A38" w:rsidRPr="000127EF" w14:paraId="4E7F9331" w14:textId="77777777" w:rsidTr="00720B50">
        <w:trPr>
          <w:jc w:val="center"/>
        </w:trPr>
        <w:tc>
          <w:tcPr>
            <w:tcW w:w="1454" w:type="dxa"/>
            <w:tcBorders>
              <w:bottom w:val="nil"/>
            </w:tcBorders>
          </w:tcPr>
          <w:p w14:paraId="38E73B7A" w14:textId="77777777" w:rsidR="00D96A38" w:rsidRPr="00D96A38" w:rsidRDefault="00D96A38" w:rsidP="00D96A38">
            <w:pPr>
              <w:jc w:val="right"/>
              <w:rPr>
                <w:i/>
                <w:sz w:val="8"/>
                <w:szCs w:val="8"/>
              </w:rPr>
            </w:pPr>
          </w:p>
        </w:tc>
        <w:tc>
          <w:tcPr>
            <w:tcW w:w="5634" w:type="dxa"/>
            <w:tcBorders>
              <w:bottom w:val="nil"/>
            </w:tcBorders>
          </w:tcPr>
          <w:p w14:paraId="19E1968F" w14:textId="77777777" w:rsidR="00D96A38" w:rsidRPr="000127EF" w:rsidRDefault="00D96A38" w:rsidP="00D96A38">
            <w:pPr>
              <w:rPr>
                <w:rFonts w:cs="Arial"/>
                <w:sz w:val="8"/>
                <w:szCs w:val="8"/>
                <w:lang w:val="en-US"/>
              </w:rPr>
            </w:pPr>
          </w:p>
        </w:tc>
        <w:tc>
          <w:tcPr>
            <w:tcW w:w="1534" w:type="dxa"/>
            <w:tcBorders>
              <w:bottom w:val="nil"/>
            </w:tcBorders>
            <w:shd w:val="clear" w:color="auto" w:fill="C5E0B3" w:themeFill="accent6" w:themeFillTint="66"/>
          </w:tcPr>
          <w:p w14:paraId="7E599A40" w14:textId="77777777" w:rsidR="00D96A38" w:rsidRPr="00586208" w:rsidRDefault="00D96A38" w:rsidP="00D96A38">
            <w:pPr>
              <w:jc w:val="right"/>
              <w:rPr>
                <w:sz w:val="8"/>
                <w:szCs w:val="8"/>
              </w:rPr>
            </w:pPr>
          </w:p>
        </w:tc>
      </w:tr>
      <w:tr w:rsidR="00D96A38" w:rsidRPr="000127EF" w14:paraId="303AE0A6" w14:textId="77777777" w:rsidTr="00720B50">
        <w:trPr>
          <w:jc w:val="center"/>
        </w:trPr>
        <w:tc>
          <w:tcPr>
            <w:tcW w:w="1454" w:type="dxa"/>
            <w:tcBorders>
              <w:top w:val="single" w:sz="8" w:space="0" w:color="auto"/>
              <w:bottom w:val="single" w:sz="8" w:space="0" w:color="auto"/>
            </w:tcBorders>
          </w:tcPr>
          <w:p w14:paraId="0F3EA814" w14:textId="5E3540B0" w:rsidR="00D96A38" w:rsidRPr="00D96A38" w:rsidRDefault="00586208" w:rsidP="00D96A38">
            <w:pPr>
              <w:jc w:val="right"/>
              <w:rPr>
                <w:b/>
                <w:i/>
              </w:rPr>
            </w:pPr>
            <w:r>
              <w:rPr>
                <w:b/>
                <w:i/>
              </w:rPr>
              <w:t>74,546</w:t>
            </w:r>
          </w:p>
        </w:tc>
        <w:tc>
          <w:tcPr>
            <w:tcW w:w="5634" w:type="dxa"/>
            <w:tcBorders>
              <w:bottom w:val="nil"/>
            </w:tcBorders>
          </w:tcPr>
          <w:p w14:paraId="71C2C29B" w14:textId="77777777" w:rsidR="00D96A38" w:rsidRPr="000127EF" w:rsidRDefault="00D96A38" w:rsidP="00D96A38">
            <w:pPr>
              <w:rPr>
                <w:b/>
              </w:rPr>
            </w:pPr>
            <w:r w:rsidRPr="000127EF">
              <w:rPr>
                <w:b/>
              </w:rPr>
              <w:t>Closing Fair Value of Scheme Assets</w:t>
            </w:r>
          </w:p>
        </w:tc>
        <w:tc>
          <w:tcPr>
            <w:tcW w:w="1534" w:type="dxa"/>
            <w:tcBorders>
              <w:top w:val="single" w:sz="8" w:space="0" w:color="auto"/>
              <w:bottom w:val="single" w:sz="8" w:space="0" w:color="auto"/>
            </w:tcBorders>
            <w:shd w:val="clear" w:color="auto" w:fill="C5E0B3" w:themeFill="accent6" w:themeFillTint="66"/>
          </w:tcPr>
          <w:p w14:paraId="57B0AF1D" w14:textId="66EC6497" w:rsidR="00D96A38" w:rsidRPr="00586208" w:rsidRDefault="00586208" w:rsidP="00D96A38">
            <w:pPr>
              <w:jc w:val="right"/>
              <w:rPr>
                <w:b/>
              </w:rPr>
            </w:pPr>
            <w:r w:rsidRPr="00586208">
              <w:rPr>
                <w:b/>
              </w:rPr>
              <w:t>71,838</w:t>
            </w:r>
          </w:p>
        </w:tc>
      </w:tr>
      <w:tr w:rsidR="005F7F74" w:rsidRPr="000127EF" w14:paraId="6E6B4C62" w14:textId="77777777" w:rsidTr="00720B50">
        <w:trPr>
          <w:trHeight w:hRule="exact" w:val="142"/>
          <w:jc w:val="center"/>
        </w:trPr>
        <w:tc>
          <w:tcPr>
            <w:tcW w:w="1454" w:type="dxa"/>
            <w:tcBorders>
              <w:top w:val="nil"/>
              <w:bottom w:val="single" w:sz="18" w:space="0" w:color="A8D08D" w:themeColor="accent6" w:themeTint="99"/>
            </w:tcBorders>
          </w:tcPr>
          <w:p w14:paraId="5DC91679" w14:textId="77777777" w:rsidR="005F7F74" w:rsidRPr="000127EF" w:rsidRDefault="005F7F74" w:rsidP="005F7F74">
            <w:pPr>
              <w:jc w:val="right"/>
              <w:rPr>
                <w:i/>
              </w:rPr>
            </w:pPr>
          </w:p>
        </w:tc>
        <w:tc>
          <w:tcPr>
            <w:tcW w:w="5634" w:type="dxa"/>
            <w:tcBorders>
              <w:top w:val="nil"/>
              <w:bottom w:val="single" w:sz="18" w:space="0" w:color="A8D08D" w:themeColor="accent6" w:themeTint="99"/>
            </w:tcBorders>
          </w:tcPr>
          <w:p w14:paraId="066FF574" w14:textId="77777777" w:rsidR="005F7F74" w:rsidRPr="000127EF" w:rsidRDefault="005F7F74" w:rsidP="005F7F74">
            <w:pPr>
              <w:jc w:val="both"/>
            </w:pPr>
          </w:p>
        </w:tc>
        <w:tc>
          <w:tcPr>
            <w:tcW w:w="1534" w:type="dxa"/>
            <w:tcBorders>
              <w:top w:val="nil"/>
              <w:bottom w:val="single" w:sz="18" w:space="0" w:color="A8D08D" w:themeColor="accent6" w:themeTint="99"/>
            </w:tcBorders>
          </w:tcPr>
          <w:p w14:paraId="10282049" w14:textId="77777777" w:rsidR="005F7F74" w:rsidRPr="00586208" w:rsidRDefault="005F7F74" w:rsidP="005F7F74">
            <w:pPr>
              <w:jc w:val="right"/>
            </w:pPr>
          </w:p>
        </w:tc>
      </w:tr>
    </w:tbl>
    <w:p w14:paraId="7D195EF6" w14:textId="77777777" w:rsidR="00102209" w:rsidRPr="000127EF" w:rsidRDefault="00102209" w:rsidP="00CE0021">
      <w:pPr>
        <w:spacing w:before="240" w:after="120"/>
        <w:jc w:val="both"/>
        <w:rPr>
          <w:b/>
        </w:rPr>
      </w:pPr>
      <w:r w:rsidRPr="000127EF">
        <w:rPr>
          <w:b/>
        </w:rPr>
        <w:t>Basis for estimating assets and liabilities</w:t>
      </w:r>
    </w:p>
    <w:p w14:paraId="515CEDB1" w14:textId="77777777" w:rsidR="00102209" w:rsidRPr="000127EF" w:rsidRDefault="00102209" w:rsidP="00CE4257">
      <w:pPr>
        <w:spacing w:after="120"/>
        <w:jc w:val="both"/>
      </w:pPr>
      <w:r w:rsidRPr="000127EF">
        <w:t xml:space="preserve">Liabilities have been assessed on an actuarial basis using the projected unit credit method, an estimate of the pensions that will be payable in future years dependent on assumptions about mortality rates, salary levels, etc.  </w:t>
      </w:r>
    </w:p>
    <w:p w14:paraId="75176F8C" w14:textId="6A2874D4" w:rsidR="003B6783" w:rsidRPr="000127EF" w:rsidRDefault="00102209" w:rsidP="00CE4257">
      <w:pPr>
        <w:spacing w:after="120"/>
        <w:jc w:val="both"/>
      </w:pPr>
      <w:r w:rsidRPr="000127EF">
        <w:t xml:space="preserve">The Local Government Pension Scheme liabilities have been assessed by Hymans Robertson, the independent actuaries to the </w:t>
      </w:r>
      <w:r w:rsidRPr="00E23E1C">
        <w:t xml:space="preserve">Leicestershire County Council Pension Fund based on the latest </w:t>
      </w:r>
      <w:r w:rsidR="00EE5D7C" w:rsidRPr="00E23E1C">
        <w:t>assumptions</w:t>
      </w:r>
      <w:r w:rsidRPr="00E23E1C">
        <w:t xml:space="preserve"> of th</w:t>
      </w:r>
      <w:r w:rsidR="003B0FF1" w:rsidRPr="00E23E1C">
        <w:t>e scheme as at the 31 March 20</w:t>
      </w:r>
      <w:r w:rsidR="009A3034" w:rsidRPr="00E23E1C">
        <w:t>20</w:t>
      </w:r>
      <w:r w:rsidRPr="00E23E1C">
        <w:t>.</w:t>
      </w:r>
      <w:r w:rsidR="00104838" w:rsidRPr="00E23E1C">
        <w:t xml:space="preserve"> </w:t>
      </w:r>
      <w:r w:rsidRPr="00E23E1C">
        <w:t>The significant</w:t>
      </w:r>
      <w:r w:rsidRPr="000127EF">
        <w:t xml:space="preserve"> assumptions used by the actuary have been:</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0F05EA" w:rsidRPr="000127EF" w14:paraId="3184F2A8" w14:textId="77777777" w:rsidTr="00720B50">
        <w:trPr>
          <w:trHeight w:val="283"/>
          <w:jc w:val="center"/>
        </w:trPr>
        <w:tc>
          <w:tcPr>
            <w:tcW w:w="1454" w:type="dxa"/>
            <w:tcBorders>
              <w:top w:val="single" w:sz="18" w:space="0" w:color="A8D08D" w:themeColor="accent6" w:themeTint="99"/>
              <w:bottom w:val="nil"/>
            </w:tcBorders>
          </w:tcPr>
          <w:p w14:paraId="328A6952" w14:textId="2D57606E" w:rsidR="000F05EA" w:rsidRPr="000127EF" w:rsidRDefault="00D403F1" w:rsidP="00720B50">
            <w:pPr>
              <w:jc w:val="center"/>
              <w:rPr>
                <w:b/>
                <w:i/>
              </w:rPr>
            </w:pPr>
            <w:r>
              <w:rPr>
                <w:b/>
                <w:i/>
              </w:rPr>
              <w:t>2018/19</w:t>
            </w:r>
          </w:p>
        </w:tc>
        <w:tc>
          <w:tcPr>
            <w:tcW w:w="5634" w:type="dxa"/>
            <w:tcBorders>
              <w:top w:val="single" w:sz="18" w:space="0" w:color="A8D08D" w:themeColor="accent6" w:themeTint="99"/>
              <w:bottom w:val="nil"/>
            </w:tcBorders>
            <w:vAlign w:val="center"/>
          </w:tcPr>
          <w:p w14:paraId="02F73C0B" w14:textId="77777777" w:rsidR="000F05EA" w:rsidRPr="000127EF" w:rsidRDefault="000F05EA" w:rsidP="00720B50">
            <w:pPr>
              <w:jc w:val="center"/>
              <w:rPr>
                <w:b/>
              </w:rPr>
            </w:pPr>
          </w:p>
        </w:tc>
        <w:tc>
          <w:tcPr>
            <w:tcW w:w="1534" w:type="dxa"/>
            <w:tcBorders>
              <w:top w:val="single" w:sz="18" w:space="0" w:color="A8D08D" w:themeColor="accent6" w:themeTint="99"/>
              <w:bottom w:val="nil"/>
            </w:tcBorders>
          </w:tcPr>
          <w:p w14:paraId="61C72FE3" w14:textId="076AF37F" w:rsidR="000F05EA" w:rsidRPr="00586208" w:rsidRDefault="00D403F1" w:rsidP="00720B50">
            <w:pPr>
              <w:jc w:val="center"/>
              <w:rPr>
                <w:b/>
              </w:rPr>
            </w:pPr>
            <w:r w:rsidRPr="00586208">
              <w:rPr>
                <w:b/>
              </w:rPr>
              <w:t>2019/20</w:t>
            </w:r>
          </w:p>
        </w:tc>
      </w:tr>
      <w:tr w:rsidR="000F05EA" w:rsidRPr="000127EF" w14:paraId="17870446" w14:textId="77777777" w:rsidTr="00720B50">
        <w:trPr>
          <w:trHeight w:val="173"/>
          <w:jc w:val="center"/>
        </w:trPr>
        <w:tc>
          <w:tcPr>
            <w:tcW w:w="1454" w:type="dxa"/>
            <w:tcBorders>
              <w:top w:val="nil"/>
              <w:bottom w:val="nil"/>
            </w:tcBorders>
            <w:vAlign w:val="center"/>
          </w:tcPr>
          <w:p w14:paraId="545DE3AF" w14:textId="77777777" w:rsidR="000F05EA" w:rsidRPr="000127EF" w:rsidRDefault="000F05EA" w:rsidP="00720B50">
            <w:pPr>
              <w:rPr>
                <w:i/>
              </w:rPr>
            </w:pPr>
          </w:p>
        </w:tc>
        <w:tc>
          <w:tcPr>
            <w:tcW w:w="5634" w:type="dxa"/>
            <w:tcBorders>
              <w:top w:val="nil"/>
              <w:bottom w:val="nil"/>
            </w:tcBorders>
            <w:vAlign w:val="center"/>
          </w:tcPr>
          <w:p w14:paraId="30F48372" w14:textId="77777777" w:rsidR="000F05EA" w:rsidRPr="000127EF" w:rsidRDefault="000F05EA" w:rsidP="00720B50">
            <w:pPr>
              <w:rPr>
                <w:rFonts w:cs="Arial"/>
                <w:b/>
                <w:szCs w:val="22"/>
                <w:lang w:val="en-US"/>
              </w:rPr>
            </w:pPr>
            <w:r w:rsidRPr="000127EF">
              <w:rPr>
                <w:rFonts w:cs="Arial"/>
                <w:b/>
                <w:szCs w:val="22"/>
                <w:lang w:val="en-US"/>
              </w:rPr>
              <w:t>Mortality Assumptions</w:t>
            </w:r>
          </w:p>
        </w:tc>
        <w:tc>
          <w:tcPr>
            <w:tcW w:w="1534" w:type="dxa"/>
            <w:tcBorders>
              <w:top w:val="nil"/>
              <w:bottom w:val="nil"/>
            </w:tcBorders>
            <w:shd w:val="clear" w:color="auto" w:fill="C5E0B3" w:themeFill="accent6" w:themeFillTint="66"/>
            <w:vAlign w:val="center"/>
          </w:tcPr>
          <w:p w14:paraId="2F638235" w14:textId="77777777" w:rsidR="000F05EA" w:rsidRPr="00586208" w:rsidRDefault="000F05EA" w:rsidP="00720B50"/>
        </w:tc>
      </w:tr>
      <w:tr w:rsidR="000F05EA" w:rsidRPr="000127EF" w14:paraId="4EB2DE3B" w14:textId="77777777" w:rsidTr="00720B50">
        <w:trPr>
          <w:jc w:val="center"/>
        </w:trPr>
        <w:tc>
          <w:tcPr>
            <w:tcW w:w="1454" w:type="dxa"/>
            <w:tcBorders>
              <w:top w:val="nil"/>
              <w:bottom w:val="nil"/>
            </w:tcBorders>
            <w:vAlign w:val="center"/>
          </w:tcPr>
          <w:p w14:paraId="31BB9CD0" w14:textId="77777777" w:rsidR="000F05EA" w:rsidRPr="000127EF" w:rsidRDefault="000F05EA" w:rsidP="00720B50">
            <w:pPr>
              <w:jc w:val="right"/>
              <w:rPr>
                <w:i/>
                <w:szCs w:val="22"/>
              </w:rPr>
            </w:pPr>
          </w:p>
        </w:tc>
        <w:tc>
          <w:tcPr>
            <w:tcW w:w="5634" w:type="dxa"/>
            <w:tcBorders>
              <w:top w:val="nil"/>
              <w:bottom w:val="nil"/>
            </w:tcBorders>
          </w:tcPr>
          <w:p w14:paraId="057BB7ED" w14:textId="77777777" w:rsidR="000F05EA" w:rsidRPr="000127EF" w:rsidRDefault="000F05EA" w:rsidP="00720B50">
            <w:pPr>
              <w:rPr>
                <w:rFonts w:cs="Arial"/>
                <w:szCs w:val="22"/>
                <w:lang w:val="en-US"/>
              </w:rPr>
            </w:pPr>
            <w:r w:rsidRPr="000127EF">
              <w:rPr>
                <w:rFonts w:cs="Arial"/>
                <w:szCs w:val="22"/>
                <w:lang w:val="en-US"/>
              </w:rPr>
              <w:t>Longevity at 65 for Current Pensioners:</w:t>
            </w:r>
          </w:p>
        </w:tc>
        <w:tc>
          <w:tcPr>
            <w:tcW w:w="1534" w:type="dxa"/>
            <w:tcBorders>
              <w:top w:val="nil"/>
              <w:bottom w:val="nil"/>
            </w:tcBorders>
            <w:shd w:val="clear" w:color="auto" w:fill="C5E0B3" w:themeFill="accent6" w:themeFillTint="66"/>
          </w:tcPr>
          <w:p w14:paraId="764BA2D6" w14:textId="77777777" w:rsidR="000F05EA" w:rsidRPr="00586208" w:rsidRDefault="000F05EA" w:rsidP="00720B50">
            <w:pPr>
              <w:jc w:val="right"/>
              <w:rPr>
                <w:szCs w:val="22"/>
              </w:rPr>
            </w:pPr>
          </w:p>
        </w:tc>
      </w:tr>
      <w:tr w:rsidR="00D403F1" w:rsidRPr="000127EF" w14:paraId="479B58BE" w14:textId="77777777" w:rsidTr="00720B50">
        <w:trPr>
          <w:jc w:val="center"/>
        </w:trPr>
        <w:tc>
          <w:tcPr>
            <w:tcW w:w="1454" w:type="dxa"/>
            <w:tcBorders>
              <w:top w:val="nil"/>
              <w:bottom w:val="nil"/>
            </w:tcBorders>
          </w:tcPr>
          <w:p w14:paraId="3F046C41" w14:textId="2DABDAB7" w:rsidR="00D403F1" w:rsidRPr="00D403F1" w:rsidRDefault="00D403F1" w:rsidP="00D403F1">
            <w:pPr>
              <w:jc w:val="right"/>
              <w:rPr>
                <w:i/>
                <w:szCs w:val="22"/>
              </w:rPr>
            </w:pPr>
            <w:r w:rsidRPr="00D403F1">
              <w:rPr>
                <w:i/>
                <w:szCs w:val="22"/>
              </w:rPr>
              <w:t>22.1</w:t>
            </w:r>
          </w:p>
        </w:tc>
        <w:tc>
          <w:tcPr>
            <w:tcW w:w="5634" w:type="dxa"/>
            <w:tcBorders>
              <w:top w:val="nil"/>
              <w:bottom w:val="nil"/>
            </w:tcBorders>
          </w:tcPr>
          <w:p w14:paraId="27B9C5E4" w14:textId="77777777" w:rsidR="00D403F1" w:rsidRPr="000127EF" w:rsidRDefault="00D403F1" w:rsidP="00D403F1">
            <w:pPr>
              <w:ind w:left="198"/>
              <w:rPr>
                <w:rFonts w:cs="Arial"/>
                <w:szCs w:val="22"/>
                <w:lang w:val="en-US"/>
              </w:rPr>
            </w:pPr>
            <w:r w:rsidRPr="000127EF">
              <w:rPr>
                <w:rFonts w:cs="Arial"/>
                <w:szCs w:val="22"/>
                <w:lang w:val="en-US"/>
              </w:rPr>
              <w:t>Men (years)</w:t>
            </w:r>
          </w:p>
        </w:tc>
        <w:tc>
          <w:tcPr>
            <w:tcW w:w="1534" w:type="dxa"/>
            <w:tcBorders>
              <w:top w:val="nil"/>
              <w:bottom w:val="nil"/>
            </w:tcBorders>
            <w:shd w:val="clear" w:color="auto" w:fill="C5E0B3" w:themeFill="accent6" w:themeFillTint="66"/>
          </w:tcPr>
          <w:p w14:paraId="1CE99239" w14:textId="0BD001F1" w:rsidR="00D403F1" w:rsidRPr="00586208" w:rsidRDefault="00586208" w:rsidP="00D403F1">
            <w:pPr>
              <w:jc w:val="right"/>
              <w:rPr>
                <w:szCs w:val="22"/>
              </w:rPr>
            </w:pPr>
            <w:r w:rsidRPr="00586208">
              <w:rPr>
                <w:szCs w:val="22"/>
              </w:rPr>
              <w:t>21</w:t>
            </w:r>
            <w:r w:rsidR="00B35D23">
              <w:rPr>
                <w:szCs w:val="22"/>
              </w:rPr>
              <w:t>.5</w:t>
            </w:r>
          </w:p>
        </w:tc>
      </w:tr>
      <w:tr w:rsidR="00D403F1" w:rsidRPr="000127EF" w14:paraId="4E5F129E" w14:textId="77777777" w:rsidTr="00720B50">
        <w:trPr>
          <w:jc w:val="center"/>
        </w:trPr>
        <w:tc>
          <w:tcPr>
            <w:tcW w:w="1454" w:type="dxa"/>
            <w:tcBorders>
              <w:top w:val="nil"/>
              <w:bottom w:val="nil"/>
            </w:tcBorders>
          </w:tcPr>
          <w:p w14:paraId="2DA8482B" w14:textId="52D9AC29" w:rsidR="00D403F1" w:rsidRPr="00D403F1" w:rsidRDefault="00D403F1" w:rsidP="00D403F1">
            <w:pPr>
              <w:jc w:val="right"/>
              <w:rPr>
                <w:i/>
                <w:szCs w:val="22"/>
              </w:rPr>
            </w:pPr>
            <w:r w:rsidRPr="00D403F1">
              <w:rPr>
                <w:i/>
                <w:szCs w:val="22"/>
              </w:rPr>
              <w:t>24.3</w:t>
            </w:r>
          </w:p>
        </w:tc>
        <w:tc>
          <w:tcPr>
            <w:tcW w:w="5634" w:type="dxa"/>
            <w:tcBorders>
              <w:top w:val="nil"/>
              <w:bottom w:val="nil"/>
            </w:tcBorders>
          </w:tcPr>
          <w:p w14:paraId="2BE5569D" w14:textId="77777777" w:rsidR="00D403F1" w:rsidRPr="000127EF" w:rsidRDefault="00D403F1" w:rsidP="00D403F1">
            <w:pPr>
              <w:ind w:left="198"/>
              <w:rPr>
                <w:rFonts w:cs="Arial"/>
                <w:szCs w:val="22"/>
                <w:lang w:val="en-US"/>
              </w:rPr>
            </w:pPr>
            <w:r w:rsidRPr="000127EF">
              <w:rPr>
                <w:rFonts w:cs="Arial"/>
                <w:szCs w:val="22"/>
                <w:lang w:val="en-US"/>
              </w:rPr>
              <w:t>Women (years)</w:t>
            </w:r>
          </w:p>
        </w:tc>
        <w:tc>
          <w:tcPr>
            <w:tcW w:w="1534" w:type="dxa"/>
            <w:tcBorders>
              <w:top w:val="nil"/>
              <w:bottom w:val="nil"/>
            </w:tcBorders>
            <w:shd w:val="clear" w:color="auto" w:fill="C5E0B3" w:themeFill="accent6" w:themeFillTint="66"/>
          </w:tcPr>
          <w:p w14:paraId="18389955" w14:textId="57CC86D6" w:rsidR="00D403F1" w:rsidRPr="00586208" w:rsidRDefault="00586208" w:rsidP="00D403F1">
            <w:pPr>
              <w:jc w:val="right"/>
              <w:rPr>
                <w:szCs w:val="22"/>
              </w:rPr>
            </w:pPr>
            <w:r w:rsidRPr="00586208">
              <w:rPr>
                <w:szCs w:val="22"/>
              </w:rPr>
              <w:t>23.8</w:t>
            </w:r>
          </w:p>
        </w:tc>
      </w:tr>
      <w:tr w:rsidR="00D403F1" w:rsidRPr="000127EF" w14:paraId="4D24334D" w14:textId="77777777" w:rsidTr="00720B50">
        <w:trPr>
          <w:jc w:val="center"/>
        </w:trPr>
        <w:tc>
          <w:tcPr>
            <w:tcW w:w="1454" w:type="dxa"/>
            <w:tcBorders>
              <w:top w:val="nil"/>
              <w:bottom w:val="nil"/>
            </w:tcBorders>
          </w:tcPr>
          <w:p w14:paraId="305A0ED7" w14:textId="77777777" w:rsidR="00D403F1" w:rsidRPr="00D403F1" w:rsidRDefault="00D403F1" w:rsidP="00D403F1">
            <w:pPr>
              <w:jc w:val="right"/>
              <w:rPr>
                <w:i/>
              </w:rPr>
            </w:pPr>
          </w:p>
        </w:tc>
        <w:tc>
          <w:tcPr>
            <w:tcW w:w="5634" w:type="dxa"/>
            <w:tcBorders>
              <w:top w:val="nil"/>
              <w:bottom w:val="nil"/>
            </w:tcBorders>
          </w:tcPr>
          <w:p w14:paraId="09F826F9" w14:textId="77777777" w:rsidR="00D403F1" w:rsidRPr="000127EF" w:rsidRDefault="00D403F1" w:rsidP="00D403F1">
            <w:pPr>
              <w:rPr>
                <w:rFonts w:cs="Arial"/>
                <w:szCs w:val="22"/>
                <w:lang w:val="en-US"/>
              </w:rPr>
            </w:pPr>
            <w:r w:rsidRPr="000127EF">
              <w:rPr>
                <w:rFonts w:cs="Arial"/>
                <w:szCs w:val="22"/>
                <w:lang w:val="en-US"/>
              </w:rPr>
              <w:t>Longevity at 65 for Future Pensioners:</w:t>
            </w:r>
          </w:p>
        </w:tc>
        <w:tc>
          <w:tcPr>
            <w:tcW w:w="1534" w:type="dxa"/>
            <w:tcBorders>
              <w:top w:val="nil"/>
              <w:bottom w:val="nil"/>
            </w:tcBorders>
            <w:shd w:val="clear" w:color="auto" w:fill="C5E0B3" w:themeFill="accent6" w:themeFillTint="66"/>
          </w:tcPr>
          <w:p w14:paraId="0FFBE245" w14:textId="77777777" w:rsidR="00D403F1" w:rsidRPr="00586208" w:rsidRDefault="00D403F1" w:rsidP="00D403F1">
            <w:pPr>
              <w:jc w:val="right"/>
            </w:pPr>
          </w:p>
        </w:tc>
      </w:tr>
      <w:tr w:rsidR="00D403F1" w:rsidRPr="000127EF" w14:paraId="1E2FD87D" w14:textId="77777777" w:rsidTr="00720B50">
        <w:trPr>
          <w:jc w:val="center"/>
        </w:trPr>
        <w:tc>
          <w:tcPr>
            <w:tcW w:w="1454" w:type="dxa"/>
            <w:tcBorders>
              <w:top w:val="nil"/>
              <w:bottom w:val="nil"/>
            </w:tcBorders>
          </w:tcPr>
          <w:p w14:paraId="00D100B2" w14:textId="5A8FCE79" w:rsidR="00D403F1" w:rsidRPr="00D403F1" w:rsidRDefault="00D403F1" w:rsidP="00D403F1">
            <w:pPr>
              <w:jc w:val="right"/>
              <w:rPr>
                <w:i/>
              </w:rPr>
            </w:pPr>
            <w:r w:rsidRPr="00D403F1">
              <w:rPr>
                <w:i/>
              </w:rPr>
              <w:t>23.8</w:t>
            </w:r>
          </w:p>
        </w:tc>
        <w:tc>
          <w:tcPr>
            <w:tcW w:w="5634" w:type="dxa"/>
            <w:tcBorders>
              <w:top w:val="nil"/>
              <w:bottom w:val="nil"/>
            </w:tcBorders>
          </w:tcPr>
          <w:p w14:paraId="6D145978" w14:textId="77777777" w:rsidR="00D403F1" w:rsidRPr="000127EF" w:rsidRDefault="00D403F1" w:rsidP="00D403F1">
            <w:pPr>
              <w:ind w:left="198"/>
              <w:rPr>
                <w:rFonts w:cs="Arial"/>
                <w:szCs w:val="22"/>
                <w:lang w:val="en-US"/>
              </w:rPr>
            </w:pPr>
            <w:r w:rsidRPr="000127EF">
              <w:rPr>
                <w:rFonts w:cs="Arial"/>
                <w:szCs w:val="22"/>
                <w:lang w:val="en-US"/>
              </w:rPr>
              <w:t>Men (years)</w:t>
            </w:r>
          </w:p>
        </w:tc>
        <w:tc>
          <w:tcPr>
            <w:tcW w:w="1534" w:type="dxa"/>
            <w:tcBorders>
              <w:top w:val="nil"/>
              <w:bottom w:val="nil"/>
            </w:tcBorders>
            <w:shd w:val="clear" w:color="auto" w:fill="C5E0B3" w:themeFill="accent6" w:themeFillTint="66"/>
          </w:tcPr>
          <w:p w14:paraId="40B94243" w14:textId="2B8CC8C9" w:rsidR="00D403F1" w:rsidRPr="00586208" w:rsidRDefault="00586208" w:rsidP="00D403F1">
            <w:pPr>
              <w:jc w:val="right"/>
            </w:pPr>
            <w:r w:rsidRPr="00586208">
              <w:t>22.2</w:t>
            </w:r>
          </w:p>
        </w:tc>
      </w:tr>
      <w:tr w:rsidR="00D403F1" w:rsidRPr="000127EF" w14:paraId="3CCD4436" w14:textId="77777777" w:rsidTr="00720B50">
        <w:trPr>
          <w:jc w:val="center"/>
        </w:trPr>
        <w:tc>
          <w:tcPr>
            <w:tcW w:w="1454" w:type="dxa"/>
            <w:tcBorders>
              <w:top w:val="nil"/>
              <w:bottom w:val="nil"/>
            </w:tcBorders>
          </w:tcPr>
          <w:p w14:paraId="2C90E637" w14:textId="07A1A5CB" w:rsidR="00D403F1" w:rsidRPr="00D403F1" w:rsidRDefault="00D403F1" w:rsidP="00D403F1">
            <w:pPr>
              <w:jc w:val="right"/>
              <w:rPr>
                <w:i/>
              </w:rPr>
            </w:pPr>
            <w:r w:rsidRPr="00D403F1">
              <w:rPr>
                <w:i/>
              </w:rPr>
              <w:t>26.2</w:t>
            </w:r>
          </w:p>
        </w:tc>
        <w:tc>
          <w:tcPr>
            <w:tcW w:w="5634" w:type="dxa"/>
            <w:tcBorders>
              <w:top w:val="nil"/>
              <w:bottom w:val="nil"/>
            </w:tcBorders>
          </w:tcPr>
          <w:p w14:paraId="4DDC854D" w14:textId="77777777" w:rsidR="00D403F1" w:rsidRPr="000127EF" w:rsidRDefault="00D403F1" w:rsidP="00D403F1">
            <w:pPr>
              <w:ind w:left="198"/>
              <w:rPr>
                <w:rFonts w:cs="Arial"/>
                <w:szCs w:val="22"/>
                <w:lang w:val="en-US"/>
              </w:rPr>
            </w:pPr>
            <w:r w:rsidRPr="000127EF">
              <w:rPr>
                <w:rFonts w:cs="Arial"/>
                <w:szCs w:val="22"/>
                <w:lang w:val="en-US"/>
              </w:rPr>
              <w:t>Women (years)</w:t>
            </w:r>
          </w:p>
        </w:tc>
        <w:tc>
          <w:tcPr>
            <w:tcW w:w="1534" w:type="dxa"/>
            <w:tcBorders>
              <w:top w:val="nil"/>
              <w:bottom w:val="nil"/>
            </w:tcBorders>
            <w:shd w:val="clear" w:color="auto" w:fill="C5E0B3" w:themeFill="accent6" w:themeFillTint="66"/>
          </w:tcPr>
          <w:p w14:paraId="1FF2B317" w14:textId="171A51A2" w:rsidR="00D403F1" w:rsidRPr="00586208" w:rsidRDefault="00586208" w:rsidP="00D403F1">
            <w:pPr>
              <w:jc w:val="right"/>
            </w:pPr>
            <w:r w:rsidRPr="00586208">
              <w:t>25.2</w:t>
            </w:r>
          </w:p>
        </w:tc>
      </w:tr>
      <w:tr w:rsidR="00D403F1" w:rsidRPr="000127EF" w14:paraId="620616B8" w14:textId="77777777" w:rsidTr="00720B50">
        <w:trPr>
          <w:jc w:val="center"/>
        </w:trPr>
        <w:tc>
          <w:tcPr>
            <w:tcW w:w="1454" w:type="dxa"/>
            <w:tcBorders>
              <w:top w:val="nil"/>
              <w:bottom w:val="nil"/>
            </w:tcBorders>
          </w:tcPr>
          <w:p w14:paraId="29BE90B4" w14:textId="77777777" w:rsidR="00D403F1" w:rsidRPr="00D403F1" w:rsidRDefault="00D403F1" w:rsidP="00D403F1">
            <w:pPr>
              <w:jc w:val="right"/>
              <w:rPr>
                <w:i/>
              </w:rPr>
            </w:pPr>
          </w:p>
        </w:tc>
        <w:tc>
          <w:tcPr>
            <w:tcW w:w="5634" w:type="dxa"/>
            <w:tcBorders>
              <w:top w:val="nil"/>
              <w:bottom w:val="nil"/>
            </w:tcBorders>
          </w:tcPr>
          <w:p w14:paraId="0EC20F01" w14:textId="77777777" w:rsidR="00D403F1" w:rsidRPr="000127EF" w:rsidRDefault="00D403F1" w:rsidP="00D403F1">
            <w:pPr>
              <w:rPr>
                <w:rFonts w:cs="Arial"/>
                <w:b/>
                <w:szCs w:val="22"/>
                <w:lang w:val="en-US"/>
              </w:rPr>
            </w:pPr>
            <w:r w:rsidRPr="000127EF">
              <w:rPr>
                <w:rFonts w:cs="Arial"/>
                <w:b/>
                <w:szCs w:val="22"/>
                <w:lang w:val="en-US"/>
              </w:rPr>
              <w:t>Financial Assumptions</w:t>
            </w:r>
          </w:p>
        </w:tc>
        <w:tc>
          <w:tcPr>
            <w:tcW w:w="1534" w:type="dxa"/>
            <w:tcBorders>
              <w:top w:val="nil"/>
              <w:bottom w:val="nil"/>
            </w:tcBorders>
            <w:shd w:val="clear" w:color="auto" w:fill="C5E0B3" w:themeFill="accent6" w:themeFillTint="66"/>
          </w:tcPr>
          <w:p w14:paraId="45C64306" w14:textId="77777777" w:rsidR="00D403F1" w:rsidRPr="00586208" w:rsidRDefault="00D403F1" w:rsidP="00D403F1">
            <w:pPr>
              <w:jc w:val="right"/>
            </w:pPr>
          </w:p>
        </w:tc>
      </w:tr>
      <w:tr w:rsidR="00D403F1" w:rsidRPr="000127EF" w14:paraId="5B2CBF4D" w14:textId="77777777" w:rsidTr="00720B50">
        <w:trPr>
          <w:jc w:val="center"/>
        </w:trPr>
        <w:tc>
          <w:tcPr>
            <w:tcW w:w="1454" w:type="dxa"/>
            <w:tcBorders>
              <w:top w:val="nil"/>
              <w:bottom w:val="nil"/>
            </w:tcBorders>
          </w:tcPr>
          <w:p w14:paraId="1EA26D02" w14:textId="4F4355D2" w:rsidR="00D403F1" w:rsidRPr="00D403F1" w:rsidRDefault="00D403F1" w:rsidP="00D403F1">
            <w:pPr>
              <w:jc w:val="right"/>
              <w:rPr>
                <w:i/>
              </w:rPr>
            </w:pPr>
            <w:r w:rsidRPr="00D403F1">
              <w:rPr>
                <w:i/>
              </w:rPr>
              <w:t>3.50%</w:t>
            </w:r>
          </w:p>
        </w:tc>
        <w:tc>
          <w:tcPr>
            <w:tcW w:w="5634" w:type="dxa"/>
            <w:tcBorders>
              <w:top w:val="nil"/>
              <w:bottom w:val="nil"/>
            </w:tcBorders>
          </w:tcPr>
          <w:p w14:paraId="583CA93C" w14:textId="77777777" w:rsidR="00D403F1" w:rsidRPr="000127EF" w:rsidRDefault="00D403F1" w:rsidP="00D403F1">
            <w:pPr>
              <w:rPr>
                <w:rFonts w:cs="Arial"/>
                <w:szCs w:val="22"/>
                <w:lang w:val="en-US"/>
              </w:rPr>
            </w:pPr>
            <w:r w:rsidRPr="000127EF">
              <w:rPr>
                <w:rFonts w:cs="Arial"/>
                <w:szCs w:val="22"/>
                <w:lang w:val="en-US"/>
              </w:rPr>
              <w:t>Rate of Inflation</w:t>
            </w:r>
          </w:p>
        </w:tc>
        <w:tc>
          <w:tcPr>
            <w:tcW w:w="1534" w:type="dxa"/>
            <w:tcBorders>
              <w:top w:val="nil"/>
              <w:bottom w:val="nil"/>
            </w:tcBorders>
            <w:shd w:val="clear" w:color="auto" w:fill="C5E0B3" w:themeFill="accent6" w:themeFillTint="66"/>
          </w:tcPr>
          <w:p w14:paraId="2A3555E3" w14:textId="24F4F0B2" w:rsidR="00D403F1" w:rsidRPr="00586208" w:rsidRDefault="00586208" w:rsidP="00D403F1">
            <w:pPr>
              <w:jc w:val="right"/>
            </w:pPr>
            <w:r w:rsidRPr="00586208">
              <w:t>2.80%</w:t>
            </w:r>
          </w:p>
        </w:tc>
      </w:tr>
      <w:tr w:rsidR="00D403F1" w:rsidRPr="000127EF" w14:paraId="7194DF60" w14:textId="77777777" w:rsidTr="00720B50">
        <w:trPr>
          <w:jc w:val="center"/>
        </w:trPr>
        <w:tc>
          <w:tcPr>
            <w:tcW w:w="1454" w:type="dxa"/>
            <w:tcBorders>
              <w:top w:val="nil"/>
              <w:bottom w:val="nil"/>
            </w:tcBorders>
          </w:tcPr>
          <w:p w14:paraId="5EB3E502" w14:textId="69FC35E9" w:rsidR="00D403F1" w:rsidRPr="00D403F1" w:rsidRDefault="00D403F1" w:rsidP="00D403F1">
            <w:pPr>
              <w:jc w:val="right"/>
              <w:rPr>
                <w:i/>
              </w:rPr>
            </w:pPr>
            <w:r w:rsidRPr="00D403F1">
              <w:rPr>
                <w:i/>
              </w:rPr>
              <w:t>3.50%</w:t>
            </w:r>
          </w:p>
        </w:tc>
        <w:tc>
          <w:tcPr>
            <w:tcW w:w="5634" w:type="dxa"/>
            <w:tcBorders>
              <w:top w:val="nil"/>
              <w:bottom w:val="nil"/>
            </w:tcBorders>
          </w:tcPr>
          <w:p w14:paraId="3665571E" w14:textId="77777777" w:rsidR="00D403F1" w:rsidRPr="000127EF" w:rsidRDefault="00D403F1" w:rsidP="00D403F1">
            <w:pPr>
              <w:rPr>
                <w:rFonts w:cs="Arial"/>
                <w:szCs w:val="22"/>
                <w:lang w:val="en-US"/>
              </w:rPr>
            </w:pPr>
            <w:r w:rsidRPr="000127EF">
              <w:rPr>
                <w:rFonts w:cs="Arial"/>
                <w:szCs w:val="22"/>
                <w:lang w:val="en-US"/>
              </w:rPr>
              <w:t>Rate of increase in salaries</w:t>
            </w:r>
          </w:p>
        </w:tc>
        <w:tc>
          <w:tcPr>
            <w:tcW w:w="1534" w:type="dxa"/>
            <w:tcBorders>
              <w:top w:val="nil"/>
              <w:bottom w:val="nil"/>
            </w:tcBorders>
            <w:shd w:val="clear" w:color="auto" w:fill="C5E0B3" w:themeFill="accent6" w:themeFillTint="66"/>
          </w:tcPr>
          <w:p w14:paraId="68CBE81F" w14:textId="635E9128" w:rsidR="00D403F1" w:rsidRPr="00586208" w:rsidRDefault="00586208" w:rsidP="00D403F1">
            <w:pPr>
              <w:jc w:val="right"/>
            </w:pPr>
            <w:r w:rsidRPr="00586208">
              <w:t>2.40%</w:t>
            </w:r>
          </w:p>
        </w:tc>
      </w:tr>
      <w:tr w:rsidR="00D403F1" w:rsidRPr="000127EF" w14:paraId="57469834" w14:textId="77777777" w:rsidTr="00720B50">
        <w:trPr>
          <w:jc w:val="center"/>
        </w:trPr>
        <w:tc>
          <w:tcPr>
            <w:tcW w:w="1454" w:type="dxa"/>
            <w:tcBorders>
              <w:top w:val="nil"/>
              <w:bottom w:val="nil"/>
            </w:tcBorders>
          </w:tcPr>
          <w:p w14:paraId="774A5836" w14:textId="09A3C19C" w:rsidR="00D403F1" w:rsidRPr="00D403F1" w:rsidRDefault="00D403F1" w:rsidP="00D403F1">
            <w:pPr>
              <w:jc w:val="right"/>
              <w:rPr>
                <w:i/>
              </w:rPr>
            </w:pPr>
            <w:r w:rsidRPr="00D403F1">
              <w:rPr>
                <w:i/>
              </w:rPr>
              <w:t>2.50%</w:t>
            </w:r>
          </w:p>
        </w:tc>
        <w:tc>
          <w:tcPr>
            <w:tcW w:w="5634" w:type="dxa"/>
            <w:tcBorders>
              <w:top w:val="nil"/>
              <w:bottom w:val="nil"/>
            </w:tcBorders>
          </w:tcPr>
          <w:p w14:paraId="7A271702" w14:textId="77777777" w:rsidR="00D403F1" w:rsidRPr="000127EF" w:rsidRDefault="00D403F1" w:rsidP="00D403F1">
            <w:pPr>
              <w:rPr>
                <w:rFonts w:cs="Arial"/>
                <w:szCs w:val="22"/>
                <w:lang w:val="en-US"/>
              </w:rPr>
            </w:pPr>
            <w:r w:rsidRPr="000127EF">
              <w:rPr>
                <w:rFonts w:cs="Arial"/>
                <w:szCs w:val="22"/>
                <w:lang w:val="en-US"/>
              </w:rPr>
              <w:t>Rate of increase in pensions</w:t>
            </w:r>
          </w:p>
        </w:tc>
        <w:tc>
          <w:tcPr>
            <w:tcW w:w="1534" w:type="dxa"/>
            <w:tcBorders>
              <w:top w:val="nil"/>
              <w:bottom w:val="nil"/>
            </w:tcBorders>
            <w:shd w:val="clear" w:color="auto" w:fill="C5E0B3" w:themeFill="accent6" w:themeFillTint="66"/>
          </w:tcPr>
          <w:p w14:paraId="48AAB09F" w14:textId="1F88D5AD" w:rsidR="00D403F1" w:rsidRPr="00586208" w:rsidRDefault="00586208" w:rsidP="00D403F1">
            <w:pPr>
              <w:jc w:val="right"/>
            </w:pPr>
            <w:r w:rsidRPr="00586208">
              <w:t>1.90%</w:t>
            </w:r>
          </w:p>
        </w:tc>
      </w:tr>
      <w:tr w:rsidR="00D403F1" w:rsidRPr="000127EF" w14:paraId="5D675CDB" w14:textId="77777777" w:rsidTr="00720B50">
        <w:trPr>
          <w:jc w:val="center"/>
        </w:trPr>
        <w:tc>
          <w:tcPr>
            <w:tcW w:w="1454" w:type="dxa"/>
            <w:tcBorders>
              <w:top w:val="nil"/>
              <w:bottom w:val="nil"/>
            </w:tcBorders>
          </w:tcPr>
          <w:p w14:paraId="4A49F7EE" w14:textId="4604C9B2" w:rsidR="00D403F1" w:rsidRPr="00D403F1" w:rsidRDefault="00D403F1" w:rsidP="00D403F1">
            <w:pPr>
              <w:jc w:val="right"/>
              <w:rPr>
                <w:i/>
              </w:rPr>
            </w:pPr>
            <w:r w:rsidRPr="00D403F1">
              <w:rPr>
                <w:i/>
              </w:rPr>
              <w:t>2.40%</w:t>
            </w:r>
          </w:p>
        </w:tc>
        <w:tc>
          <w:tcPr>
            <w:tcW w:w="5634" w:type="dxa"/>
            <w:tcBorders>
              <w:top w:val="nil"/>
              <w:bottom w:val="nil"/>
            </w:tcBorders>
          </w:tcPr>
          <w:p w14:paraId="12B934AA" w14:textId="77777777" w:rsidR="00D403F1" w:rsidRPr="000127EF" w:rsidRDefault="00D403F1" w:rsidP="00D403F1">
            <w:pPr>
              <w:rPr>
                <w:rFonts w:cs="Arial"/>
                <w:szCs w:val="22"/>
                <w:lang w:val="en-US"/>
              </w:rPr>
            </w:pPr>
            <w:r w:rsidRPr="000127EF">
              <w:rPr>
                <w:rFonts w:cs="Arial"/>
                <w:szCs w:val="22"/>
                <w:lang w:val="en-US"/>
              </w:rPr>
              <w:t>Rate for discounting scheme liabilities</w:t>
            </w:r>
          </w:p>
        </w:tc>
        <w:tc>
          <w:tcPr>
            <w:tcW w:w="1534" w:type="dxa"/>
            <w:tcBorders>
              <w:top w:val="nil"/>
              <w:bottom w:val="nil"/>
            </w:tcBorders>
            <w:shd w:val="clear" w:color="auto" w:fill="C5E0B3" w:themeFill="accent6" w:themeFillTint="66"/>
          </w:tcPr>
          <w:p w14:paraId="66261102" w14:textId="2806C536" w:rsidR="00D403F1" w:rsidRPr="00586208" w:rsidRDefault="00586208" w:rsidP="00D403F1">
            <w:pPr>
              <w:jc w:val="right"/>
            </w:pPr>
            <w:r w:rsidRPr="00586208">
              <w:t>2.30%</w:t>
            </w:r>
          </w:p>
        </w:tc>
      </w:tr>
      <w:tr w:rsidR="00D403F1" w:rsidRPr="000127EF" w14:paraId="7CD730D4" w14:textId="77777777" w:rsidTr="00720B50">
        <w:trPr>
          <w:jc w:val="center"/>
        </w:trPr>
        <w:tc>
          <w:tcPr>
            <w:tcW w:w="1454" w:type="dxa"/>
            <w:tcBorders>
              <w:top w:val="nil"/>
              <w:bottom w:val="nil"/>
            </w:tcBorders>
            <w:vAlign w:val="center"/>
          </w:tcPr>
          <w:p w14:paraId="6162234F" w14:textId="4F27C9CD" w:rsidR="00D403F1" w:rsidRPr="00D403F1" w:rsidRDefault="00D403F1" w:rsidP="00D403F1">
            <w:pPr>
              <w:jc w:val="right"/>
              <w:rPr>
                <w:i/>
              </w:rPr>
            </w:pPr>
            <w:r w:rsidRPr="00D403F1">
              <w:rPr>
                <w:i/>
              </w:rPr>
              <w:t>50.00%</w:t>
            </w:r>
          </w:p>
        </w:tc>
        <w:tc>
          <w:tcPr>
            <w:tcW w:w="5634" w:type="dxa"/>
            <w:tcBorders>
              <w:top w:val="nil"/>
              <w:bottom w:val="nil"/>
            </w:tcBorders>
          </w:tcPr>
          <w:p w14:paraId="0CF1812B" w14:textId="77777777" w:rsidR="00D403F1" w:rsidRPr="000127EF" w:rsidRDefault="00D403F1" w:rsidP="00D403F1">
            <w:pPr>
              <w:rPr>
                <w:rFonts w:cs="Arial"/>
                <w:szCs w:val="22"/>
                <w:lang w:val="en-US"/>
              </w:rPr>
            </w:pPr>
            <w:r w:rsidRPr="000127EF">
              <w:rPr>
                <w:rFonts w:cs="Arial"/>
                <w:szCs w:val="22"/>
                <w:lang w:val="en-US"/>
              </w:rPr>
              <w:t>Take-up of option to convert annual pension into retirement lump sum-pre April 2008 service</w:t>
            </w:r>
          </w:p>
        </w:tc>
        <w:tc>
          <w:tcPr>
            <w:tcW w:w="1534" w:type="dxa"/>
            <w:tcBorders>
              <w:top w:val="nil"/>
              <w:bottom w:val="nil"/>
            </w:tcBorders>
            <w:shd w:val="clear" w:color="auto" w:fill="C5E0B3" w:themeFill="accent6" w:themeFillTint="66"/>
            <w:vAlign w:val="center"/>
          </w:tcPr>
          <w:p w14:paraId="27F4FE94" w14:textId="4CEFF028" w:rsidR="00D403F1" w:rsidRPr="00586208" w:rsidRDefault="00586208" w:rsidP="00D403F1">
            <w:pPr>
              <w:jc w:val="right"/>
            </w:pPr>
            <w:r w:rsidRPr="00586208">
              <w:t>50.00%</w:t>
            </w:r>
          </w:p>
        </w:tc>
      </w:tr>
      <w:tr w:rsidR="00D403F1" w:rsidRPr="000127EF" w14:paraId="207DCD54" w14:textId="77777777" w:rsidTr="00720B50">
        <w:trPr>
          <w:jc w:val="center"/>
        </w:trPr>
        <w:tc>
          <w:tcPr>
            <w:tcW w:w="1454" w:type="dxa"/>
            <w:tcBorders>
              <w:top w:val="nil"/>
              <w:bottom w:val="nil"/>
            </w:tcBorders>
            <w:vAlign w:val="center"/>
          </w:tcPr>
          <w:p w14:paraId="667936A4" w14:textId="714B666D" w:rsidR="00D403F1" w:rsidRPr="00D403F1" w:rsidRDefault="00D403F1" w:rsidP="00D403F1">
            <w:pPr>
              <w:jc w:val="right"/>
              <w:rPr>
                <w:i/>
              </w:rPr>
            </w:pPr>
            <w:r w:rsidRPr="00D403F1">
              <w:rPr>
                <w:i/>
              </w:rPr>
              <w:t>75.00%</w:t>
            </w:r>
          </w:p>
        </w:tc>
        <w:tc>
          <w:tcPr>
            <w:tcW w:w="5634" w:type="dxa"/>
            <w:tcBorders>
              <w:top w:val="nil"/>
              <w:bottom w:val="nil"/>
            </w:tcBorders>
          </w:tcPr>
          <w:p w14:paraId="533214B5" w14:textId="77777777" w:rsidR="00D403F1" w:rsidRPr="000127EF" w:rsidRDefault="00D403F1" w:rsidP="00D403F1">
            <w:pPr>
              <w:rPr>
                <w:rFonts w:cs="Arial"/>
                <w:szCs w:val="22"/>
                <w:lang w:val="en-US"/>
              </w:rPr>
            </w:pPr>
            <w:r w:rsidRPr="000127EF">
              <w:rPr>
                <w:rFonts w:cs="Arial"/>
                <w:szCs w:val="22"/>
                <w:lang w:val="en-US"/>
              </w:rPr>
              <w:t>Take-up of option to convert annual pension into retirement lump sum-post April 2008 service</w:t>
            </w:r>
          </w:p>
        </w:tc>
        <w:tc>
          <w:tcPr>
            <w:tcW w:w="1534" w:type="dxa"/>
            <w:tcBorders>
              <w:top w:val="nil"/>
              <w:bottom w:val="nil"/>
              <w:right w:val="single" w:sz="18" w:space="0" w:color="A8D08D" w:themeColor="accent6" w:themeTint="99"/>
            </w:tcBorders>
            <w:shd w:val="clear" w:color="auto" w:fill="C5E0B3" w:themeFill="accent6" w:themeFillTint="66"/>
            <w:vAlign w:val="center"/>
          </w:tcPr>
          <w:p w14:paraId="43514982" w14:textId="67DAC740" w:rsidR="00D403F1" w:rsidRPr="00586208" w:rsidRDefault="00586208" w:rsidP="00D403F1">
            <w:pPr>
              <w:jc w:val="right"/>
            </w:pPr>
            <w:r w:rsidRPr="00586208">
              <w:t>75.00%</w:t>
            </w:r>
          </w:p>
        </w:tc>
      </w:tr>
      <w:tr w:rsidR="005F7F74" w:rsidRPr="000127EF" w14:paraId="45A128D9" w14:textId="77777777" w:rsidTr="00720B50">
        <w:trPr>
          <w:trHeight w:hRule="exact" w:val="142"/>
          <w:jc w:val="center"/>
        </w:trPr>
        <w:tc>
          <w:tcPr>
            <w:tcW w:w="1454" w:type="dxa"/>
            <w:tcBorders>
              <w:top w:val="nil"/>
            </w:tcBorders>
          </w:tcPr>
          <w:p w14:paraId="153AE5D6" w14:textId="77777777" w:rsidR="005F7F74" w:rsidRPr="000127EF" w:rsidRDefault="005F7F74" w:rsidP="005F7F74">
            <w:pPr>
              <w:jc w:val="right"/>
              <w:rPr>
                <w:i/>
              </w:rPr>
            </w:pPr>
          </w:p>
        </w:tc>
        <w:tc>
          <w:tcPr>
            <w:tcW w:w="5634" w:type="dxa"/>
            <w:tcBorders>
              <w:top w:val="nil"/>
            </w:tcBorders>
          </w:tcPr>
          <w:p w14:paraId="0F8FFFD0" w14:textId="77777777" w:rsidR="005F7F74" w:rsidRPr="000127EF" w:rsidRDefault="005F7F74" w:rsidP="005F7F74">
            <w:pPr>
              <w:jc w:val="both"/>
            </w:pPr>
          </w:p>
        </w:tc>
        <w:tc>
          <w:tcPr>
            <w:tcW w:w="1534" w:type="dxa"/>
            <w:tcBorders>
              <w:top w:val="nil"/>
            </w:tcBorders>
          </w:tcPr>
          <w:p w14:paraId="22558377" w14:textId="77777777" w:rsidR="005F7F74" w:rsidRPr="00586208" w:rsidRDefault="005F7F74" w:rsidP="005F7F74">
            <w:pPr>
              <w:jc w:val="right"/>
            </w:pPr>
          </w:p>
        </w:tc>
      </w:tr>
    </w:tbl>
    <w:p w14:paraId="7F530187" w14:textId="77777777" w:rsidR="002B15B4" w:rsidRPr="00324A80" w:rsidRDefault="002B15B4" w:rsidP="00CE4257">
      <w:pPr>
        <w:spacing w:before="120" w:after="120"/>
        <w:jc w:val="both"/>
      </w:pPr>
      <w:r w:rsidRPr="00324A80">
        <w:lastRenderedPageBreak/>
        <w:t>The estimation of the defined benefit obligations is sensitive to the actuarial assumptions set out in the table above.  The sensitivity analyses has been determined based on reasonable possible changes of the assumptions occurring at the end of the reporting period and assumes for each change that the assumption analysed changes while all the other assumptions remain constant.  The assumptions in longevity, for example, assume that life expectancy increases or decreases for men and women.  In practice, this is unlikely to occur, and changes in some of the assumptions may be interrelated.  The estimations in the sensitivity analysis have followed the accounting policies for the scheme.  The methods and types of assumptions used in preparing the sensitivity analysis as previously shown did not change from those used in the previous period.</w:t>
      </w:r>
    </w:p>
    <w:p w14:paraId="2E6E83F1" w14:textId="77777777" w:rsidR="002B15B4" w:rsidRDefault="002B15B4" w:rsidP="00CE4257">
      <w:pPr>
        <w:spacing w:before="120" w:after="120"/>
        <w:jc w:val="both"/>
      </w:pPr>
      <w:r w:rsidRPr="00324A80">
        <w:t xml:space="preserve">The impact of those assumptions are shown in Note </w:t>
      </w:r>
      <w:r w:rsidR="00CE4257" w:rsidRPr="00324A80">
        <w:t>3</w:t>
      </w:r>
      <w:r w:rsidR="007B34F4" w:rsidRPr="00324A80">
        <w:t>1</w:t>
      </w:r>
      <w:r w:rsidRPr="00324A80">
        <w:t xml:space="preserve"> Assumptions made about the Future and Other Major Sources of Estimation Uncertainty.</w:t>
      </w:r>
    </w:p>
    <w:p w14:paraId="60C87D9B" w14:textId="77777777" w:rsidR="00751944" w:rsidRPr="00324A80" w:rsidRDefault="00751944" w:rsidP="00751944">
      <w:pPr>
        <w:spacing w:after="240"/>
        <w:jc w:val="both"/>
        <w:rPr>
          <w:b/>
        </w:rPr>
      </w:pPr>
      <w:r w:rsidRPr="00324A80">
        <w:rPr>
          <w:b/>
        </w:rPr>
        <w:t>Impact on the Council’s Cash Flows</w:t>
      </w:r>
    </w:p>
    <w:p w14:paraId="068780F9" w14:textId="77777777" w:rsidR="0068416E" w:rsidRPr="000127EF" w:rsidRDefault="0068416E" w:rsidP="00CE4257">
      <w:pPr>
        <w:spacing w:before="120" w:after="120"/>
        <w:jc w:val="both"/>
      </w:pPr>
      <w:r w:rsidRPr="00324A80">
        <w:t xml:space="preserve">The figures are prepared in accordance with the latest version of IAS19, as last amended on 16 June 2011. This amendment included changes to IAS19 that took effect from 1 January 2013 for accounting periods ending on or after 31 December 2013. The calculations have been carried out in accordance with the Pensions Technical Actuarial Standard (TAS) adopted by the Financial Reporting Council, which came into effect on 1 January 2013 (version 2), and other </w:t>
      </w:r>
      <w:r w:rsidR="00B57CAE" w:rsidRPr="00324A80">
        <w:t>Technical Actuarial Standard</w:t>
      </w:r>
      <w:r w:rsidRPr="00324A80">
        <w:t>s</w:t>
      </w:r>
      <w:r w:rsidR="00B57CAE" w:rsidRPr="00324A80">
        <w:t>.</w:t>
      </w:r>
    </w:p>
    <w:p w14:paraId="176B85E2" w14:textId="0916F8E1" w:rsidR="00751944" w:rsidRPr="000127EF" w:rsidRDefault="00751944" w:rsidP="00CE4257">
      <w:pPr>
        <w:spacing w:before="120" w:after="120"/>
        <w:jc w:val="both"/>
      </w:pPr>
      <w:r w:rsidRPr="00586208">
        <w:t>The Council anticipated to pay £</w:t>
      </w:r>
      <w:r w:rsidR="0087632C" w:rsidRPr="00586208">
        <w:t>2.</w:t>
      </w:r>
      <w:r w:rsidR="00586208" w:rsidRPr="00586208">
        <w:t>705</w:t>
      </w:r>
      <w:r w:rsidR="006664BC" w:rsidRPr="00586208">
        <w:t>m</w:t>
      </w:r>
      <w:r w:rsidRPr="00586208">
        <w:t xml:space="preserve"> expected contributions to the scheme in 201</w:t>
      </w:r>
      <w:r w:rsidR="00C97136" w:rsidRPr="00586208">
        <w:t>9/20</w:t>
      </w:r>
      <w:r w:rsidRPr="00586208">
        <w:t>.</w:t>
      </w:r>
    </w:p>
    <w:p w14:paraId="12FBF623" w14:textId="23C8414D" w:rsidR="00751944" w:rsidRPr="000127EF" w:rsidRDefault="00751944" w:rsidP="00CE4257">
      <w:pPr>
        <w:spacing w:before="120" w:after="120"/>
        <w:jc w:val="both"/>
      </w:pPr>
      <w:r w:rsidRPr="00586208">
        <w:t xml:space="preserve">The weighted average duration of the defined benefit obligation for active members is </w:t>
      </w:r>
      <w:r w:rsidR="00FB49E7" w:rsidRPr="00586208">
        <w:t>2</w:t>
      </w:r>
      <w:r w:rsidR="00586208" w:rsidRPr="00586208">
        <w:t>0</w:t>
      </w:r>
      <w:r w:rsidR="008A28C8" w:rsidRPr="00586208">
        <w:t xml:space="preserve"> years.</w:t>
      </w:r>
      <w:r w:rsidRPr="000127EF">
        <w:t xml:space="preserve"> </w:t>
      </w:r>
    </w:p>
    <w:p w14:paraId="671E57AE" w14:textId="0249FD46" w:rsidR="00E54C37" w:rsidRPr="000127EF" w:rsidRDefault="00E54C37" w:rsidP="00751944">
      <w:pPr>
        <w:pStyle w:val="Heading1"/>
        <w:numPr>
          <w:ilvl w:val="0"/>
          <w:numId w:val="8"/>
        </w:numPr>
        <w:ind w:left="426"/>
        <w:rPr>
          <w:sz w:val="22"/>
          <w:szCs w:val="22"/>
        </w:rPr>
      </w:pPr>
      <w:r w:rsidRPr="000127EF">
        <w:rPr>
          <w:sz w:val="22"/>
          <w:szCs w:val="22"/>
        </w:rPr>
        <w:t>Contingen</w:t>
      </w:r>
      <w:r w:rsidR="00B35D23">
        <w:rPr>
          <w:sz w:val="22"/>
          <w:szCs w:val="22"/>
        </w:rPr>
        <w:t>`</w:t>
      </w:r>
      <w:r w:rsidRPr="000127EF">
        <w:rPr>
          <w:sz w:val="22"/>
          <w:szCs w:val="22"/>
        </w:rPr>
        <w:t>t Liabilities</w:t>
      </w:r>
    </w:p>
    <w:p w14:paraId="1216AC8B" w14:textId="77777777" w:rsidR="007B120B" w:rsidRPr="00E960BE" w:rsidRDefault="00E54C37" w:rsidP="007B120B">
      <w:pPr>
        <w:spacing w:before="120" w:after="120"/>
        <w:jc w:val="both"/>
      </w:pPr>
      <w:r w:rsidRPr="00E960BE">
        <w:t>The former local authority insurer, Municipal Mutual Insurance (MMI) ceased taking new business in 1992. MMI believed they could achieve a solvent run-off and have continued to pay claims. However as part of the arrangement to do this councils entered into a Scheme of Arrangement whereby, if it was necessary to invoke the Scheme councils would be liable to pay a percentage of all claims paid on their behalf since 1992 and any future claims (i.e. a levy), but only for a cumulative value of claims above £50,000. The Scheme had to be invoked in November 2012 when it became apparent that MMI could no longer achieve the solvent run-off. Rutland County Council's claims paid to date have not yet exceeded the £50,000 threshold and therefore the Council is not liable to pay a levy at present. However this levy (currently set at 15% of the claims value) will be due, when and if, the threshold is exceeded. As the levy also applies to future claims paid, and these cannot be foreseen, there is a potential that a levy may become payable in the future.</w:t>
      </w:r>
    </w:p>
    <w:p w14:paraId="4FCB9E9A" w14:textId="77777777" w:rsidR="007B120B" w:rsidRPr="000127EF" w:rsidRDefault="007B120B" w:rsidP="007B120B">
      <w:pPr>
        <w:pStyle w:val="Heading1"/>
        <w:numPr>
          <w:ilvl w:val="0"/>
          <w:numId w:val="8"/>
        </w:numPr>
        <w:ind w:left="426"/>
        <w:rPr>
          <w:sz w:val="22"/>
          <w:szCs w:val="22"/>
        </w:rPr>
      </w:pPr>
      <w:r w:rsidRPr="000127EF">
        <w:rPr>
          <w:sz w:val="22"/>
          <w:szCs w:val="22"/>
        </w:rPr>
        <w:t xml:space="preserve">Contingent </w:t>
      </w:r>
      <w:r w:rsidR="00393BDB" w:rsidRPr="000127EF">
        <w:rPr>
          <w:sz w:val="22"/>
          <w:szCs w:val="22"/>
        </w:rPr>
        <w:t>Assets</w:t>
      </w:r>
    </w:p>
    <w:p w14:paraId="51905103" w14:textId="0228FE94" w:rsidR="008A28C8" w:rsidRPr="000127EF" w:rsidRDefault="00393BDB" w:rsidP="00CE4257">
      <w:pPr>
        <w:spacing w:before="120" w:after="120"/>
        <w:jc w:val="both"/>
      </w:pPr>
      <w:r w:rsidRPr="00B413A4">
        <w:t>The Council is party to an agreement by which it will receive an amount due to over-performance against a contract. The amount the Council will receive depends on the performance of the supplier, so this cannot be accurately recognised within the Councils accounts.</w:t>
      </w:r>
    </w:p>
    <w:p w14:paraId="2880BC7A" w14:textId="77777777" w:rsidR="00E54C37" w:rsidRPr="000127EF" w:rsidRDefault="00E54C37" w:rsidP="00D162D1">
      <w:pPr>
        <w:pStyle w:val="Heading1"/>
        <w:numPr>
          <w:ilvl w:val="0"/>
          <w:numId w:val="8"/>
        </w:numPr>
        <w:ind w:left="426"/>
        <w:rPr>
          <w:sz w:val="22"/>
          <w:szCs w:val="22"/>
        </w:rPr>
      </w:pPr>
      <w:r w:rsidRPr="000127EF">
        <w:rPr>
          <w:sz w:val="22"/>
          <w:szCs w:val="22"/>
        </w:rPr>
        <w:t>Trust Funds</w:t>
      </w:r>
    </w:p>
    <w:p w14:paraId="6DCB6CBC" w14:textId="77777777" w:rsidR="00E54C37" w:rsidRPr="000127EF" w:rsidRDefault="00E54C37" w:rsidP="003B6783">
      <w:pPr>
        <w:spacing w:after="240"/>
        <w:jc w:val="both"/>
      </w:pPr>
      <w:r w:rsidRPr="000127EF">
        <w:t>The Authority acts as custodian trustee for the Emma Molesworth Trust.  As a custodian trustee the authority holds the investment but takes no decisions on its use.  The funds do not represent the assets of the Authority and therefore have not been included in the Balance Sheet.</w:t>
      </w:r>
    </w:p>
    <w:tbl>
      <w:tblPr>
        <w:tblStyle w:val="TableGrid"/>
        <w:tblW w:w="8622" w:type="dxa"/>
        <w:jc w:val="center"/>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ook w:val="04A0" w:firstRow="1" w:lastRow="0" w:firstColumn="1" w:lastColumn="0" w:noHBand="0" w:noVBand="1"/>
      </w:tblPr>
      <w:tblGrid>
        <w:gridCol w:w="1454"/>
        <w:gridCol w:w="5634"/>
        <w:gridCol w:w="1534"/>
      </w:tblGrid>
      <w:tr w:rsidR="00B062AD" w:rsidRPr="000127EF" w14:paraId="4B5072F6" w14:textId="77777777" w:rsidTr="007A79E7">
        <w:trPr>
          <w:trHeight w:val="283"/>
          <w:jc w:val="center"/>
        </w:trPr>
        <w:tc>
          <w:tcPr>
            <w:tcW w:w="1454" w:type="dxa"/>
          </w:tcPr>
          <w:p w14:paraId="59C3F050" w14:textId="0F3B2DB1" w:rsidR="00B062AD" w:rsidRPr="000127EF" w:rsidRDefault="00D403F1" w:rsidP="007A79E7">
            <w:pPr>
              <w:jc w:val="center"/>
              <w:rPr>
                <w:b/>
                <w:i/>
              </w:rPr>
            </w:pPr>
            <w:r>
              <w:rPr>
                <w:b/>
                <w:i/>
              </w:rPr>
              <w:t>2018/19</w:t>
            </w:r>
          </w:p>
        </w:tc>
        <w:tc>
          <w:tcPr>
            <w:tcW w:w="5634" w:type="dxa"/>
            <w:vAlign w:val="center"/>
          </w:tcPr>
          <w:p w14:paraId="4CE7045A" w14:textId="77777777" w:rsidR="00B062AD" w:rsidRPr="000127EF" w:rsidRDefault="00B062AD" w:rsidP="007A79E7">
            <w:pPr>
              <w:jc w:val="center"/>
              <w:rPr>
                <w:b/>
              </w:rPr>
            </w:pPr>
            <w:r w:rsidRPr="000127EF">
              <w:rPr>
                <w:b/>
              </w:rPr>
              <w:t>Trust Funds</w:t>
            </w:r>
          </w:p>
        </w:tc>
        <w:tc>
          <w:tcPr>
            <w:tcW w:w="1534" w:type="dxa"/>
          </w:tcPr>
          <w:p w14:paraId="559EE1FC" w14:textId="01A14437" w:rsidR="00B062AD" w:rsidRPr="00734E53" w:rsidRDefault="00D403F1" w:rsidP="007A79E7">
            <w:pPr>
              <w:jc w:val="center"/>
              <w:rPr>
                <w:b/>
              </w:rPr>
            </w:pPr>
            <w:r w:rsidRPr="00734E53">
              <w:rPr>
                <w:b/>
              </w:rPr>
              <w:t>2019/20</w:t>
            </w:r>
          </w:p>
        </w:tc>
      </w:tr>
      <w:tr w:rsidR="00B062AD" w:rsidRPr="000127EF" w14:paraId="353FDF8E" w14:textId="77777777" w:rsidTr="007A79E7">
        <w:trPr>
          <w:jc w:val="center"/>
        </w:trPr>
        <w:tc>
          <w:tcPr>
            <w:tcW w:w="1454" w:type="dxa"/>
          </w:tcPr>
          <w:p w14:paraId="68572F37" w14:textId="77777777" w:rsidR="00B062AD" w:rsidRPr="000127EF" w:rsidRDefault="00B062AD" w:rsidP="007A79E7">
            <w:pPr>
              <w:jc w:val="center"/>
              <w:rPr>
                <w:b/>
                <w:i/>
              </w:rPr>
            </w:pPr>
            <w:r w:rsidRPr="000127EF">
              <w:rPr>
                <w:b/>
                <w:i/>
              </w:rPr>
              <w:t>£000</w:t>
            </w:r>
          </w:p>
        </w:tc>
        <w:tc>
          <w:tcPr>
            <w:tcW w:w="5634" w:type="dxa"/>
          </w:tcPr>
          <w:p w14:paraId="73BB47BD" w14:textId="77777777" w:rsidR="00B062AD" w:rsidRPr="000127EF" w:rsidRDefault="00B062AD" w:rsidP="007A79E7">
            <w:pPr>
              <w:jc w:val="center"/>
              <w:rPr>
                <w:b/>
              </w:rPr>
            </w:pPr>
          </w:p>
        </w:tc>
        <w:tc>
          <w:tcPr>
            <w:tcW w:w="1534" w:type="dxa"/>
            <w:shd w:val="clear" w:color="auto" w:fill="C5E0B3" w:themeFill="accent6" w:themeFillTint="66"/>
          </w:tcPr>
          <w:p w14:paraId="72BC1A0A" w14:textId="77777777" w:rsidR="00B062AD" w:rsidRPr="00734E53" w:rsidRDefault="00B062AD" w:rsidP="007A79E7">
            <w:pPr>
              <w:jc w:val="center"/>
              <w:rPr>
                <w:b/>
              </w:rPr>
            </w:pPr>
            <w:r w:rsidRPr="00734E53">
              <w:rPr>
                <w:b/>
              </w:rPr>
              <w:t>£000</w:t>
            </w:r>
          </w:p>
        </w:tc>
      </w:tr>
      <w:tr w:rsidR="00D403F1" w:rsidRPr="000127EF" w14:paraId="3B9AA252" w14:textId="77777777" w:rsidTr="007A79E7">
        <w:trPr>
          <w:jc w:val="center"/>
        </w:trPr>
        <w:tc>
          <w:tcPr>
            <w:tcW w:w="1454" w:type="dxa"/>
          </w:tcPr>
          <w:p w14:paraId="6E70100B" w14:textId="6D733EB8" w:rsidR="00D403F1" w:rsidRPr="00D403F1" w:rsidRDefault="00D403F1" w:rsidP="00D403F1">
            <w:pPr>
              <w:jc w:val="right"/>
              <w:rPr>
                <w:i/>
              </w:rPr>
            </w:pPr>
            <w:r w:rsidRPr="00D403F1">
              <w:rPr>
                <w:i/>
              </w:rPr>
              <w:t>7</w:t>
            </w:r>
          </w:p>
        </w:tc>
        <w:tc>
          <w:tcPr>
            <w:tcW w:w="5634" w:type="dxa"/>
            <w:vAlign w:val="center"/>
          </w:tcPr>
          <w:p w14:paraId="5C245E72" w14:textId="77777777" w:rsidR="00D403F1" w:rsidRPr="000127EF" w:rsidRDefault="00D403F1" w:rsidP="00D403F1">
            <w:pPr>
              <w:rPr>
                <w:rFonts w:cs="Arial"/>
                <w:szCs w:val="22"/>
                <w:lang w:val="en-US"/>
              </w:rPr>
            </w:pPr>
            <w:r w:rsidRPr="000127EF">
              <w:rPr>
                <w:rFonts w:cs="Arial"/>
                <w:szCs w:val="22"/>
                <w:lang w:val="en-US"/>
              </w:rPr>
              <w:t>Income</w:t>
            </w:r>
          </w:p>
        </w:tc>
        <w:tc>
          <w:tcPr>
            <w:tcW w:w="1534" w:type="dxa"/>
            <w:shd w:val="clear" w:color="auto" w:fill="C5E0B3" w:themeFill="accent6" w:themeFillTint="66"/>
          </w:tcPr>
          <w:p w14:paraId="7A481D58" w14:textId="4CE5314A" w:rsidR="00D403F1" w:rsidRPr="00734E53" w:rsidRDefault="00734E53" w:rsidP="00D403F1">
            <w:pPr>
              <w:jc w:val="right"/>
            </w:pPr>
            <w:r w:rsidRPr="00734E53">
              <w:t>7</w:t>
            </w:r>
          </w:p>
        </w:tc>
      </w:tr>
      <w:tr w:rsidR="00D403F1" w:rsidRPr="000127EF" w14:paraId="069E388F" w14:textId="77777777" w:rsidTr="007A79E7">
        <w:trPr>
          <w:jc w:val="center"/>
        </w:trPr>
        <w:tc>
          <w:tcPr>
            <w:tcW w:w="1454" w:type="dxa"/>
            <w:tcBorders>
              <w:bottom w:val="nil"/>
            </w:tcBorders>
          </w:tcPr>
          <w:p w14:paraId="3651E640" w14:textId="40A403F0" w:rsidR="00D403F1" w:rsidRPr="00D403F1" w:rsidRDefault="00D403F1" w:rsidP="00D403F1">
            <w:pPr>
              <w:jc w:val="right"/>
              <w:rPr>
                <w:i/>
              </w:rPr>
            </w:pPr>
            <w:r w:rsidRPr="00D403F1">
              <w:rPr>
                <w:i/>
              </w:rPr>
              <w:t>(8)</w:t>
            </w:r>
          </w:p>
        </w:tc>
        <w:tc>
          <w:tcPr>
            <w:tcW w:w="5634" w:type="dxa"/>
            <w:tcBorders>
              <w:bottom w:val="nil"/>
            </w:tcBorders>
          </w:tcPr>
          <w:p w14:paraId="7EFB0382" w14:textId="77777777" w:rsidR="00D403F1" w:rsidRPr="000127EF" w:rsidRDefault="00D403F1" w:rsidP="00D403F1">
            <w:pPr>
              <w:rPr>
                <w:rFonts w:cs="Arial"/>
                <w:szCs w:val="22"/>
                <w:lang w:val="en-US"/>
              </w:rPr>
            </w:pPr>
            <w:r w:rsidRPr="000127EF">
              <w:rPr>
                <w:rFonts w:cs="Arial"/>
                <w:szCs w:val="22"/>
                <w:lang w:val="en-US"/>
              </w:rPr>
              <w:t>Expenditure</w:t>
            </w:r>
          </w:p>
        </w:tc>
        <w:tc>
          <w:tcPr>
            <w:tcW w:w="1534" w:type="dxa"/>
            <w:tcBorders>
              <w:bottom w:val="nil"/>
            </w:tcBorders>
            <w:shd w:val="clear" w:color="auto" w:fill="C5E0B3" w:themeFill="accent6" w:themeFillTint="66"/>
          </w:tcPr>
          <w:p w14:paraId="7EC27F65" w14:textId="053B8D03" w:rsidR="00D403F1" w:rsidRPr="00734E53" w:rsidRDefault="00734E53" w:rsidP="00D403F1">
            <w:pPr>
              <w:jc w:val="right"/>
            </w:pPr>
            <w:r w:rsidRPr="00734E53">
              <w:t>(13)</w:t>
            </w:r>
          </w:p>
        </w:tc>
      </w:tr>
      <w:tr w:rsidR="00D403F1" w:rsidRPr="000127EF" w14:paraId="4441122D" w14:textId="77777777" w:rsidTr="007A79E7">
        <w:trPr>
          <w:jc w:val="center"/>
        </w:trPr>
        <w:tc>
          <w:tcPr>
            <w:tcW w:w="1454" w:type="dxa"/>
            <w:tcBorders>
              <w:bottom w:val="nil"/>
            </w:tcBorders>
          </w:tcPr>
          <w:p w14:paraId="7EEC8AF4" w14:textId="4DF2B00B" w:rsidR="00D403F1" w:rsidRPr="00D403F1" w:rsidRDefault="00D403F1" w:rsidP="00D403F1">
            <w:pPr>
              <w:jc w:val="right"/>
              <w:rPr>
                <w:i/>
              </w:rPr>
            </w:pPr>
            <w:r w:rsidRPr="00D403F1">
              <w:rPr>
                <w:i/>
              </w:rPr>
              <w:t>223</w:t>
            </w:r>
          </w:p>
        </w:tc>
        <w:tc>
          <w:tcPr>
            <w:tcW w:w="5634" w:type="dxa"/>
            <w:tcBorders>
              <w:bottom w:val="nil"/>
            </w:tcBorders>
          </w:tcPr>
          <w:p w14:paraId="539BBE02" w14:textId="77777777" w:rsidR="00D403F1" w:rsidRPr="000127EF" w:rsidRDefault="00D403F1" w:rsidP="00D403F1">
            <w:pPr>
              <w:rPr>
                <w:rFonts w:cs="Arial"/>
                <w:szCs w:val="22"/>
                <w:lang w:val="en-US"/>
              </w:rPr>
            </w:pPr>
            <w:r w:rsidRPr="000127EF">
              <w:rPr>
                <w:rFonts w:cs="Arial"/>
                <w:szCs w:val="22"/>
                <w:lang w:val="en-US"/>
              </w:rPr>
              <w:t>Assets</w:t>
            </w:r>
          </w:p>
        </w:tc>
        <w:tc>
          <w:tcPr>
            <w:tcW w:w="1534" w:type="dxa"/>
            <w:tcBorders>
              <w:bottom w:val="nil"/>
            </w:tcBorders>
            <w:shd w:val="clear" w:color="auto" w:fill="C5E0B3" w:themeFill="accent6" w:themeFillTint="66"/>
          </w:tcPr>
          <w:p w14:paraId="18D526E0" w14:textId="57185BCA" w:rsidR="00D403F1" w:rsidRPr="00734E53" w:rsidRDefault="00734E53" w:rsidP="00D403F1">
            <w:pPr>
              <w:jc w:val="right"/>
            </w:pPr>
            <w:r w:rsidRPr="00734E53">
              <w:t>212</w:t>
            </w:r>
          </w:p>
        </w:tc>
      </w:tr>
      <w:tr w:rsidR="005F7F74" w:rsidRPr="000127EF" w14:paraId="5B657B58" w14:textId="77777777" w:rsidTr="007A79E7">
        <w:trPr>
          <w:trHeight w:hRule="exact" w:val="142"/>
          <w:jc w:val="center"/>
        </w:trPr>
        <w:tc>
          <w:tcPr>
            <w:tcW w:w="1454" w:type="dxa"/>
            <w:tcBorders>
              <w:top w:val="nil"/>
            </w:tcBorders>
          </w:tcPr>
          <w:p w14:paraId="760626AA" w14:textId="77777777" w:rsidR="005F7F74" w:rsidRPr="000127EF" w:rsidRDefault="005F7F74" w:rsidP="005F7F74">
            <w:pPr>
              <w:jc w:val="right"/>
              <w:rPr>
                <w:i/>
              </w:rPr>
            </w:pPr>
          </w:p>
        </w:tc>
        <w:tc>
          <w:tcPr>
            <w:tcW w:w="5634" w:type="dxa"/>
            <w:tcBorders>
              <w:top w:val="nil"/>
            </w:tcBorders>
          </w:tcPr>
          <w:p w14:paraId="65063E24" w14:textId="77777777" w:rsidR="005F7F74" w:rsidRPr="000127EF" w:rsidRDefault="005F7F74" w:rsidP="005F7F74">
            <w:pPr>
              <w:jc w:val="both"/>
            </w:pPr>
          </w:p>
        </w:tc>
        <w:tc>
          <w:tcPr>
            <w:tcW w:w="1534" w:type="dxa"/>
            <w:tcBorders>
              <w:top w:val="nil"/>
            </w:tcBorders>
          </w:tcPr>
          <w:p w14:paraId="3B8AEAFB" w14:textId="77777777" w:rsidR="005F7F74" w:rsidRPr="000127EF" w:rsidRDefault="005F7F74" w:rsidP="005F7F74">
            <w:pPr>
              <w:jc w:val="right"/>
            </w:pPr>
          </w:p>
        </w:tc>
      </w:tr>
    </w:tbl>
    <w:p w14:paraId="5D4E3C27" w14:textId="77777777" w:rsidR="0069797E" w:rsidRPr="000127EF" w:rsidRDefault="0069797E" w:rsidP="00D162D1">
      <w:pPr>
        <w:pStyle w:val="Heading1"/>
        <w:numPr>
          <w:ilvl w:val="0"/>
          <w:numId w:val="8"/>
        </w:numPr>
        <w:ind w:left="426"/>
        <w:rPr>
          <w:sz w:val="22"/>
          <w:szCs w:val="22"/>
        </w:rPr>
      </w:pPr>
      <w:r w:rsidRPr="000127EF">
        <w:rPr>
          <w:sz w:val="22"/>
          <w:szCs w:val="22"/>
        </w:rPr>
        <w:lastRenderedPageBreak/>
        <w:t>Events After the Balance Sheet Date</w:t>
      </w:r>
    </w:p>
    <w:p w14:paraId="1D668919" w14:textId="101C7EBD" w:rsidR="0069797E" w:rsidRPr="000127EF" w:rsidRDefault="0069797E" w:rsidP="00CE4257">
      <w:pPr>
        <w:spacing w:before="120" w:after="120"/>
        <w:jc w:val="both"/>
      </w:pPr>
      <w:r w:rsidRPr="00E960BE">
        <w:t xml:space="preserve">The Statement of Accounts was authorised for issue by the </w:t>
      </w:r>
      <w:r w:rsidR="007A249D">
        <w:t xml:space="preserve">Strategic Director for Resources </w:t>
      </w:r>
      <w:r w:rsidRPr="00E960BE">
        <w:t xml:space="preserve">on </w:t>
      </w:r>
      <w:r w:rsidR="001B1FC2" w:rsidRPr="00E960BE">
        <w:t>3</w:t>
      </w:r>
      <w:r w:rsidR="00091DE5">
        <w:t>0</w:t>
      </w:r>
      <w:r w:rsidRPr="00E960BE">
        <w:t xml:space="preserve"> </w:t>
      </w:r>
      <w:r w:rsidR="00E960BE" w:rsidRPr="00E960BE">
        <w:t>June 2020</w:t>
      </w:r>
      <w:r w:rsidRPr="00E960BE">
        <w:t>.  Events taking place after this date are not reflected in the financial statements or notes.  Where events taking place before this date provided information about conditions existing at 31 March 20</w:t>
      </w:r>
      <w:r w:rsidR="00E960BE" w:rsidRPr="00E960BE">
        <w:t>20</w:t>
      </w:r>
      <w:r w:rsidRPr="00E960BE">
        <w:t xml:space="preserve"> the figures in the financial statements and notes have been adjusted in all material respects to reflect the impact of this information.</w:t>
      </w:r>
      <w:r w:rsidRPr="000127EF">
        <w:t xml:space="preserve"> </w:t>
      </w:r>
    </w:p>
    <w:p w14:paraId="68DE0B3A" w14:textId="67D1BDC1" w:rsidR="00B8652E" w:rsidRPr="000127EF" w:rsidRDefault="00B8652E" w:rsidP="00B8652E">
      <w:pPr>
        <w:pStyle w:val="Heading1"/>
        <w:numPr>
          <w:ilvl w:val="0"/>
          <w:numId w:val="8"/>
        </w:numPr>
        <w:rPr>
          <w:sz w:val="22"/>
          <w:szCs w:val="22"/>
        </w:rPr>
      </w:pPr>
      <w:r w:rsidRPr="000127EF">
        <w:rPr>
          <w:sz w:val="22"/>
          <w:szCs w:val="22"/>
        </w:rPr>
        <w:t>Accounting Standards Issued Not Yet Adopted</w:t>
      </w:r>
    </w:p>
    <w:p w14:paraId="1FFE39B2" w14:textId="4C604DED" w:rsidR="00B8652E" w:rsidRPr="00E960BE" w:rsidRDefault="00B8652E" w:rsidP="00CE4257">
      <w:pPr>
        <w:spacing w:before="120" w:after="120"/>
        <w:jc w:val="both"/>
      </w:pPr>
      <w:r w:rsidRPr="00E960BE">
        <w:t>At the balance sheet date the following new standards and amendments to existing standards have been published but not yet adopted by the Code of Practice of Local Authority Accounting in the United Kingdom, the table below shows these</w:t>
      </w:r>
    </w:p>
    <w:p w14:paraId="30E2B28B" w14:textId="7B36A387" w:rsidR="004C20CB" w:rsidRPr="00E960BE" w:rsidRDefault="004C20CB" w:rsidP="004C20CB">
      <w:pPr>
        <w:spacing w:before="120" w:after="120"/>
        <w:ind w:left="284"/>
        <w:jc w:val="both"/>
      </w:pPr>
      <w:r w:rsidRPr="00E960BE">
        <w:rPr>
          <w:b/>
        </w:rPr>
        <w:t>IFRS 16 Leases</w:t>
      </w:r>
      <w:r w:rsidRPr="00E960BE">
        <w:t xml:space="preserve"> will require local authorities that are lessees to recognise most leases on their balance sheets as right-of-use assets with corresponding lease liabilities (there is recognition for low-value and short-term leases). CIPFA/LASAAC have deferred implementation of IFRS16 for local government to 1 April 202</w:t>
      </w:r>
      <w:r w:rsidR="00E960BE" w:rsidRPr="00E960BE">
        <w:t>1</w:t>
      </w:r>
      <w:r w:rsidRPr="00E960BE">
        <w:t xml:space="preserve">. </w:t>
      </w:r>
    </w:p>
    <w:p w14:paraId="2FFB927A" w14:textId="03D518B1" w:rsidR="00EA43E7" w:rsidRPr="000127EF" w:rsidRDefault="00EA43E7" w:rsidP="00EA43E7">
      <w:pPr>
        <w:pStyle w:val="Heading1"/>
        <w:numPr>
          <w:ilvl w:val="0"/>
          <w:numId w:val="8"/>
        </w:numPr>
        <w:rPr>
          <w:sz w:val="22"/>
          <w:szCs w:val="22"/>
        </w:rPr>
      </w:pPr>
      <w:r w:rsidRPr="000127EF">
        <w:rPr>
          <w:sz w:val="22"/>
          <w:szCs w:val="22"/>
        </w:rPr>
        <w:t>Critical judgements in applying accounting policies</w:t>
      </w:r>
    </w:p>
    <w:p w14:paraId="212101AA" w14:textId="3C214ED8" w:rsidR="00EA43E7" w:rsidRPr="006C3E19" w:rsidRDefault="00EA43E7" w:rsidP="00EA43E7">
      <w:pPr>
        <w:spacing w:after="120"/>
      </w:pPr>
      <w:r w:rsidRPr="006C3E19">
        <w:t xml:space="preserve">In applying the accounting policies, set out from </w:t>
      </w:r>
      <w:r w:rsidRPr="00B369AA">
        <w:t>page 5</w:t>
      </w:r>
      <w:r w:rsidR="00B369AA" w:rsidRPr="00B369AA">
        <w:t>9</w:t>
      </w:r>
      <w:r w:rsidRPr="006C3E19">
        <w:t>, the Council has had to make certain judgements about complex transactions or those involving uncertainty about future events. The critical judgements made in preparing the Statement of Accounts are:</w:t>
      </w:r>
    </w:p>
    <w:p w14:paraId="5F22ECD9" w14:textId="77777777" w:rsidR="000D3BEB" w:rsidRPr="00D021E2" w:rsidRDefault="000D3BEB" w:rsidP="000D3BEB">
      <w:pPr>
        <w:numPr>
          <w:ilvl w:val="0"/>
          <w:numId w:val="10"/>
        </w:numPr>
        <w:spacing w:before="120" w:after="120"/>
        <w:ind w:left="714" w:hanging="357"/>
        <w:jc w:val="both"/>
        <w:rPr>
          <w:rFonts w:cs="Arial"/>
          <w:szCs w:val="22"/>
        </w:rPr>
      </w:pPr>
      <w:r w:rsidRPr="00D021E2">
        <w:rPr>
          <w:rFonts w:cs="Arial"/>
          <w:szCs w:val="22"/>
        </w:rPr>
        <w:t>COVID-19 - On the 31 March 2020 there were unprecedented circumstances in place due to the physical and economic impact of COVID-19 within the UK and the rest of the world. At the time these financial statements were prepared it was too soon to evaluate the effect of this and to make appropriate and considered adjustments. Measures to alleviate the difficulties businesses and the economy were experiencing were still being announced by Central Government and amendments to legislation were also being considered to alleviate the impact of COVID-19 on the economy. The accounts therefore have been prepared with limited reference to the effect of COVID-19, the major examples are shown below.</w:t>
      </w:r>
    </w:p>
    <w:p w14:paraId="59E525AF" w14:textId="77777777" w:rsidR="000D3BEB" w:rsidRPr="00D021E2" w:rsidRDefault="000D3BEB" w:rsidP="000D3BEB">
      <w:pPr>
        <w:numPr>
          <w:ilvl w:val="1"/>
          <w:numId w:val="8"/>
        </w:numPr>
        <w:spacing w:after="120"/>
        <w:jc w:val="both"/>
        <w:rPr>
          <w:rFonts w:cs="Arial"/>
          <w:szCs w:val="22"/>
        </w:rPr>
      </w:pPr>
      <w:r w:rsidRPr="00D021E2">
        <w:rPr>
          <w:rFonts w:cs="Arial"/>
          <w:szCs w:val="22"/>
        </w:rPr>
        <w:t>The valuations of fixed assets have not been adjusted. Details of the potential impact of a downturn in valuations are shown in note 17.</w:t>
      </w:r>
    </w:p>
    <w:p w14:paraId="46E39725" w14:textId="77777777" w:rsidR="000D3BEB" w:rsidRPr="00D021E2" w:rsidRDefault="000D3BEB" w:rsidP="000D3BEB">
      <w:pPr>
        <w:numPr>
          <w:ilvl w:val="1"/>
          <w:numId w:val="8"/>
        </w:numPr>
        <w:spacing w:after="120"/>
        <w:jc w:val="both"/>
        <w:rPr>
          <w:rFonts w:cs="Arial"/>
          <w:szCs w:val="22"/>
        </w:rPr>
      </w:pPr>
      <w:r w:rsidRPr="00D021E2">
        <w:rPr>
          <w:rFonts w:cs="Arial"/>
          <w:szCs w:val="22"/>
        </w:rPr>
        <w:t>Impact on the Council Financial Investments. The Council has only entered into fixed term investments with rates agreed at the point of execution. At the time of writing the accounts the Council did not foresee any of the investments not being repaid so no impairment allowance has been made. The institutions are all monitored regularly.</w:t>
      </w:r>
    </w:p>
    <w:p w14:paraId="242A47DA" w14:textId="77777777" w:rsidR="000D3BEB" w:rsidRPr="00D021E2" w:rsidRDefault="000D3BEB" w:rsidP="000D3BEB">
      <w:pPr>
        <w:numPr>
          <w:ilvl w:val="1"/>
          <w:numId w:val="8"/>
        </w:numPr>
        <w:spacing w:after="120"/>
        <w:jc w:val="both"/>
        <w:rPr>
          <w:rFonts w:cs="Arial"/>
          <w:szCs w:val="22"/>
        </w:rPr>
      </w:pPr>
      <w:r w:rsidRPr="00D021E2">
        <w:rPr>
          <w:rFonts w:cs="Arial"/>
          <w:szCs w:val="22"/>
        </w:rPr>
        <w:t>Pension returns – the pension liability has been updated with the latest assumptions from the Actuary which takes into account the effect of Covid on the Councils liability.</w:t>
      </w:r>
    </w:p>
    <w:p w14:paraId="05132EC5" w14:textId="77777777" w:rsidR="000D3BEB" w:rsidRPr="00D021E2" w:rsidRDefault="000D3BEB" w:rsidP="000D3BEB">
      <w:pPr>
        <w:numPr>
          <w:ilvl w:val="0"/>
          <w:numId w:val="10"/>
        </w:numPr>
        <w:spacing w:before="120" w:after="120"/>
        <w:ind w:left="714" w:hanging="357"/>
        <w:jc w:val="both"/>
        <w:rPr>
          <w:rFonts w:cs="Arial"/>
          <w:szCs w:val="22"/>
        </w:rPr>
      </w:pPr>
      <w:r w:rsidRPr="00D021E2">
        <w:rPr>
          <w:rFonts w:cs="Arial"/>
          <w:szCs w:val="22"/>
        </w:rPr>
        <w:t xml:space="preserve">The Council collects approximately net £16m in business rates. The assumptions around  the outcome of appeals against the NNDR valuations (either received to date or expected in future years) represent a material and critical judgement applied to the accounts. The appeals provision is derived from the experience with both the 2005 and 2010 lists as well as appeals determinations so far made against the 2017 list which has resulted in the Council allowing 4.7% of net rates payable per year. There is a low number of claims against the 2017 at present mainly due to the new process of Check, Challenge, Appeal. </w:t>
      </w:r>
    </w:p>
    <w:p w14:paraId="57639FA6" w14:textId="77777777" w:rsidR="00783426" w:rsidRPr="00E960BE" w:rsidRDefault="00783426" w:rsidP="00B8652E">
      <w:pPr>
        <w:pStyle w:val="Heading1"/>
        <w:numPr>
          <w:ilvl w:val="0"/>
          <w:numId w:val="8"/>
        </w:numPr>
        <w:rPr>
          <w:sz w:val="22"/>
          <w:szCs w:val="22"/>
        </w:rPr>
      </w:pPr>
      <w:r w:rsidRPr="00E960BE">
        <w:rPr>
          <w:sz w:val="22"/>
          <w:szCs w:val="22"/>
        </w:rPr>
        <w:t>Assumptions made about the future and other major sources of estimation uncertainty</w:t>
      </w:r>
    </w:p>
    <w:p w14:paraId="23F08A68" w14:textId="77777777" w:rsidR="00783426" w:rsidRPr="00E960BE" w:rsidRDefault="00783426" w:rsidP="00CE4257">
      <w:pPr>
        <w:spacing w:before="120" w:after="120"/>
        <w:jc w:val="both"/>
      </w:pPr>
      <w:r w:rsidRPr="00E960BE">
        <w:t xml:space="preserve">The Statement of Accounts contains estimated figures that are based on assumptions made by the </w:t>
      </w:r>
      <w:r w:rsidR="001C0223" w:rsidRPr="00E960BE">
        <w:t xml:space="preserve">Council </w:t>
      </w:r>
      <w:r w:rsidRPr="00E960BE">
        <w:t>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14:paraId="5DFA8F39" w14:textId="20D95BDE" w:rsidR="00E54C37" w:rsidRDefault="00783426" w:rsidP="00CE4257">
      <w:pPr>
        <w:spacing w:before="120" w:after="120"/>
        <w:jc w:val="both"/>
      </w:pPr>
      <w:r w:rsidRPr="00E960BE">
        <w:lastRenderedPageBreak/>
        <w:t>The items in the authority’</w:t>
      </w:r>
      <w:r w:rsidR="00E960BE">
        <w:t>s Balance Sheet at 31 March 2020</w:t>
      </w:r>
      <w:r w:rsidRPr="00E960BE">
        <w:t xml:space="preserve"> for which there is significant risk of material adjustment in the forthcoming financial year are as follows:</w:t>
      </w:r>
    </w:p>
    <w:p w14:paraId="0F586423" w14:textId="77777777" w:rsidR="000C6454" w:rsidRDefault="000C6454" w:rsidP="00CE4257">
      <w:pPr>
        <w:spacing w:before="120" w:after="120"/>
        <w:jc w:val="both"/>
      </w:pPr>
    </w:p>
    <w:p w14:paraId="4D065194" w14:textId="77777777" w:rsidR="000C6454" w:rsidRDefault="000C6454" w:rsidP="00CE4257">
      <w:pPr>
        <w:spacing w:before="120" w:after="120"/>
        <w:jc w:val="both"/>
      </w:pPr>
    </w:p>
    <w:p w14:paraId="3D1B1273" w14:textId="77777777" w:rsidR="00BC4701" w:rsidRDefault="00BC4701" w:rsidP="00CE4257">
      <w:pPr>
        <w:spacing w:before="120" w:after="120"/>
        <w:jc w:val="both"/>
      </w:pPr>
    </w:p>
    <w:p w14:paraId="529FA22A" w14:textId="77777777" w:rsidR="00BC4701" w:rsidRDefault="00BC4701" w:rsidP="00CE4257">
      <w:pPr>
        <w:spacing w:before="120" w:after="120"/>
        <w:jc w:val="both"/>
      </w:pPr>
    </w:p>
    <w:p w14:paraId="511CFDAC" w14:textId="77777777" w:rsidR="00BC4701" w:rsidRPr="000127EF" w:rsidRDefault="00BC4701" w:rsidP="00CE4257">
      <w:pPr>
        <w:spacing w:before="120" w:after="120"/>
        <w:jc w:val="both"/>
      </w:pPr>
    </w:p>
    <w:tbl>
      <w:tblPr>
        <w:tblStyle w:val="TableGrid"/>
        <w:tblW w:w="11341" w:type="dxa"/>
        <w:tblInd w:w="-307"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single" w:sz="8" w:space="0" w:color="auto"/>
          <w:insideV w:val="single" w:sz="8" w:space="0" w:color="auto"/>
        </w:tblBorders>
        <w:tblLook w:val="04A0" w:firstRow="1" w:lastRow="0" w:firstColumn="1" w:lastColumn="0" w:noHBand="0" w:noVBand="1"/>
      </w:tblPr>
      <w:tblGrid>
        <w:gridCol w:w="1277"/>
        <w:gridCol w:w="5953"/>
        <w:gridCol w:w="4111"/>
      </w:tblGrid>
      <w:tr w:rsidR="0018521E" w:rsidRPr="000127EF" w14:paraId="41C41E92" w14:textId="77777777" w:rsidTr="009C79C3">
        <w:tc>
          <w:tcPr>
            <w:tcW w:w="1277" w:type="dxa"/>
            <w:tcBorders>
              <w:top w:val="single" w:sz="18" w:space="0" w:color="A8D08D" w:themeColor="accent6" w:themeTint="99"/>
              <w:bottom w:val="single" w:sz="18" w:space="0" w:color="A8D08D" w:themeColor="accent6" w:themeTint="99"/>
              <w:right w:val="single" w:sz="8" w:space="0" w:color="A8D08D" w:themeColor="accent6" w:themeTint="99"/>
            </w:tcBorders>
          </w:tcPr>
          <w:p w14:paraId="70555692" w14:textId="77777777" w:rsidR="0018521E" w:rsidRPr="000127EF" w:rsidRDefault="0018521E" w:rsidP="0018521E">
            <w:pPr>
              <w:jc w:val="both"/>
              <w:rPr>
                <w:b/>
              </w:rPr>
            </w:pPr>
            <w:r w:rsidRPr="000127EF">
              <w:rPr>
                <w:b/>
              </w:rPr>
              <w:t>Item</w:t>
            </w:r>
          </w:p>
        </w:tc>
        <w:tc>
          <w:tcPr>
            <w:tcW w:w="5953" w:type="dxa"/>
            <w:tcBorders>
              <w:top w:val="single" w:sz="18" w:space="0" w:color="A8D08D" w:themeColor="accent6" w:themeTint="99"/>
              <w:left w:val="single" w:sz="8" w:space="0" w:color="A8D08D" w:themeColor="accent6" w:themeTint="99"/>
              <w:bottom w:val="single" w:sz="18" w:space="0" w:color="A8D08D" w:themeColor="accent6" w:themeTint="99"/>
              <w:right w:val="single" w:sz="8" w:space="0" w:color="A8D08D" w:themeColor="accent6" w:themeTint="99"/>
            </w:tcBorders>
          </w:tcPr>
          <w:p w14:paraId="14E70937" w14:textId="77777777" w:rsidR="0018521E" w:rsidRPr="000127EF" w:rsidRDefault="0018521E" w:rsidP="0018521E">
            <w:pPr>
              <w:jc w:val="both"/>
              <w:rPr>
                <w:b/>
              </w:rPr>
            </w:pPr>
            <w:r w:rsidRPr="000127EF">
              <w:rPr>
                <w:b/>
              </w:rPr>
              <w:t>Uncertainties</w:t>
            </w:r>
          </w:p>
        </w:tc>
        <w:tc>
          <w:tcPr>
            <w:tcW w:w="4111" w:type="dxa"/>
            <w:tcBorders>
              <w:top w:val="single" w:sz="18" w:space="0" w:color="A8D08D" w:themeColor="accent6" w:themeTint="99"/>
              <w:left w:val="single" w:sz="8" w:space="0" w:color="A8D08D" w:themeColor="accent6" w:themeTint="99"/>
              <w:bottom w:val="single" w:sz="18" w:space="0" w:color="A8D08D" w:themeColor="accent6" w:themeTint="99"/>
            </w:tcBorders>
          </w:tcPr>
          <w:p w14:paraId="7E59454A" w14:textId="77777777" w:rsidR="0018521E" w:rsidRPr="000127EF" w:rsidRDefault="0018521E" w:rsidP="0018521E">
            <w:pPr>
              <w:jc w:val="both"/>
              <w:rPr>
                <w:b/>
              </w:rPr>
            </w:pPr>
            <w:r w:rsidRPr="000127EF">
              <w:rPr>
                <w:b/>
              </w:rPr>
              <w:t>Effect if actual results differ from assumptions</w:t>
            </w:r>
          </w:p>
        </w:tc>
      </w:tr>
      <w:tr w:rsidR="0018521E" w:rsidRPr="000127EF" w14:paraId="118F0AE0" w14:textId="77777777" w:rsidTr="009C79C3">
        <w:tc>
          <w:tcPr>
            <w:tcW w:w="1277" w:type="dxa"/>
            <w:tcBorders>
              <w:top w:val="single" w:sz="18" w:space="0" w:color="A8D08D" w:themeColor="accent6" w:themeTint="99"/>
              <w:bottom w:val="single" w:sz="8" w:space="0" w:color="A8D08D" w:themeColor="accent6" w:themeTint="99"/>
              <w:right w:val="single" w:sz="8" w:space="0" w:color="A8D08D" w:themeColor="accent6" w:themeTint="99"/>
            </w:tcBorders>
          </w:tcPr>
          <w:p w14:paraId="1BD59617" w14:textId="77777777" w:rsidR="0018521E" w:rsidRPr="000127EF" w:rsidRDefault="0018521E" w:rsidP="0018521E">
            <w:pPr>
              <w:jc w:val="both"/>
            </w:pPr>
            <w:r w:rsidRPr="000127EF">
              <w:t>Pensions liability</w:t>
            </w:r>
          </w:p>
        </w:tc>
        <w:tc>
          <w:tcPr>
            <w:tcW w:w="5953" w:type="dxa"/>
            <w:tcBorders>
              <w:top w:val="single" w:sz="1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tcBorders>
          </w:tcPr>
          <w:p w14:paraId="7A288E71" w14:textId="77777777" w:rsidR="0018521E" w:rsidRDefault="0018521E" w:rsidP="0018521E">
            <w:pPr>
              <w:jc w:val="both"/>
            </w:pPr>
            <w:r w:rsidRPr="00E960BE">
              <w:t>Estimation of the net liability to pay pensions depends on a number of complex judgements relating to the discount rate used, the rate at which salaries are projected to increase, changes in retirement ages, mortality rates and expected returns on pension fund assets.  A firm of actuaries is engaged to provide the authority with expert advice about the assumptions to be applied.</w:t>
            </w:r>
          </w:p>
          <w:p w14:paraId="10A9B46C" w14:textId="77777777" w:rsidR="0068310D" w:rsidRDefault="0068310D" w:rsidP="0018521E">
            <w:pPr>
              <w:jc w:val="both"/>
            </w:pPr>
          </w:p>
          <w:p w14:paraId="6C557331" w14:textId="77E41126" w:rsidR="0068310D" w:rsidRDefault="0068310D" w:rsidP="0068310D">
            <w:r>
              <w:t>Assets held by the pension fund maybe affected by the Coronavirus (COVID-19) outbreak, declared by the World Health Organisation on the 11th March 2020. As such if the asset where to decrease in value then the liability of the Council would increase.</w:t>
            </w:r>
          </w:p>
          <w:p w14:paraId="6BEBBC08" w14:textId="77777777" w:rsidR="0068310D" w:rsidRPr="000127EF" w:rsidRDefault="0068310D" w:rsidP="0018521E">
            <w:pPr>
              <w:jc w:val="both"/>
            </w:pPr>
          </w:p>
        </w:tc>
        <w:tc>
          <w:tcPr>
            <w:tcW w:w="4111" w:type="dxa"/>
            <w:tcBorders>
              <w:top w:val="single" w:sz="18" w:space="0" w:color="A8D08D" w:themeColor="accent6" w:themeTint="99"/>
              <w:left w:val="single" w:sz="8" w:space="0" w:color="A8D08D" w:themeColor="accent6" w:themeTint="99"/>
              <w:bottom w:val="single" w:sz="8" w:space="0" w:color="A8D08D" w:themeColor="accent6" w:themeTint="99"/>
            </w:tcBorders>
          </w:tcPr>
          <w:p w14:paraId="4D996A47" w14:textId="49206604" w:rsidR="0018521E" w:rsidRPr="00E960BE" w:rsidRDefault="0018521E" w:rsidP="00E960BE">
            <w:pPr>
              <w:jc w:val="both"/>
            </w:pPr>
            <w:r w:rsidRPr="00E960BE">
              <w:t>The effects on the net pension liability of changes in individual assumptions could be measured.  However the assumptions interact in complex ways.  For 201</w:t>
            </w:r>
            <w:r w:rsidR="00E960BE" w:rsidRPr="00E960BE">
              <w:t>9</w:t>
            </w:r>
            <w:r w:rsidRPr="00E960BE">
              <w:t>/</w:t>
            </w:r>
            <w:r w:rsidR="00E960BE" w:rsidRPr="00E960BE">
              <w:t>20</w:t>
            </w:r>
            <w:r w:rsidRPr="00E960BE">
              <w:t xml:space="preserve"> the authority’s actuaries advised that an increase in life expectancy of 1 year would increase the potential benefit liability by </w:t>
            </w:r>
            <w:r w:rsidR="00EF2953" w:rsidRPr="00E960BE">
              <w:t>2</w:t>
            </w:r>
            <w:r w:rsidRPr="00E960BE">
              <w:t>%.</w:t>
            </w:r>
          </w:p>
        </w:tc>
      </w:tr>
      <w:tr w:rsidR="0018521E" w:rsidRPr="000127EF" w14:paraId="566B614E" w14:textId="77777777" w:rsidTr="009C79C3">
        <w:tc>
          <w:tcPr>
            <w:tcW w:w="1277" w:type="dxa"/>
            <w:tcBorders>
              <w:top w:val="single" w:sz="8" w:space="0" w:color="A8D08D" w:themeColor="accent6" w:themeTint="99"/>
              <w:bottom w:val="single" w:sz="8" w:space="0" w:color="A8D08D" w:themeColor="accent6" w:themeTint="99"/>
              <w:right w:val="single" w:sz="8" w:space="0" w:color="A8D08D" w:themeColor="accent6" w:themeTint="99"/>
            </w:tcBorders>
          </w:tcPr>
          <w:p w14:paraId="37A0E820" w14:textId="77777777" w:rsidR="0018521E" w:rsidRPr="000127EF" w:rsidRDefault="0018521E" w:rsidP="0018521E">
            <w:pPr>
              <w:jc w:val="both"/>
            </w:pPr>
            <w:r w:rsidRPr="000127EF">
              <w:t>Arrears</w:t>
            </w:r>
          </w:p>
        </w:tc>
        <w:tc>
          <w:tcPr>
            <w:tcW w:w="5953" w:type="dxa"/>
            <w:tc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tcBorders>
          </w:tcPr>
          <w:p w14:paraId="32F5E8AB" w14:textId="5A16EECC" w:rsidR="0018521E" w:rsidRPr="000127EF" w:rsidRDefault="0018521E" w:rsidP="00E960BE">
            <w:pPr>
              <w:jc w:val="both"/>
            </w:pPr>
            <w:r w:rsidRPr="00E960BE">
              <w:t>At 31 March 20</w:t>
            </w:r>
            <w:r w:rsidR="00E960BE" w:rsidRPr="00E960BE">
              <w:t>20</w:t>
            </w:r>
            <w:r w:rsidRPr="00E960BE">
              <w:t xml:space="preserve"> the authority had a balance of £</w:t>
            </w:r>
            <w:r w:rsidR="00E960BE" w:rsidRPr="00E960BE">
              <w:t>2</w:t>
            </w:r>
            <w:r w:rsidRPr="00E960BE">
              <w:t>.</w:t>
            </w:r>
            <w:r w:rsidR="00E960BE" w:rsidRPr="00E960BE">
              <w:t>9</w:t>
            </w:r>
            <w:r w:rsidRPr="00E960BE">
              <w:t xml:space="preserve"> million for all of its short term debtors.  A review of significant balances suggested that an impairment of doubtful debts of £0.</w:t>
            </w:r>
            <w:r w:rsidR="005855CA" w:rsidRPr="00E960BE">
              <w:t>5</w:t>
            </w:r>
            <w:r w:rsidR="00E960BE" w:rsidRPr="00E960BE">
              <w:t xml:space="preserve"> million was appropriate plus an additional allowance of £167k to cover additional losses in respect of commercial properties due to impact of Covid on the economy.</w:t>
            </w:r>
            <w:r w:rsidRPr="00E960BE">
              <w:t xml:space="preserve">  However in the current economic climate it is not certain that such an allowance would be sufficient.</w:t>
            </w:r>
          </w:p>
        </w:tc>
        <w:tc>
          <w:tcPr>
            <w:tcW w:w="4111" w:type="dxa"/>
            <w:tcBorders>
              <w:top w:val="single" w:sz="8" w:space="0" w:color="A8D08D" w:themeColor="accent6" w:themeTint="99"/>
              <w:left w:val="single" w:sz="8" w:space="0" w:color="A8D08D" w:themeColor="accent6" w:themeTint="99"/>
              <w:bottom w:val="single" w:sz="8" w:space="0" w:color="A8D08D" w:themeColor="accent6" w:themeTint="99"/>
            </w:tcBorders>
          </w:tcPr>
          <w:p w14:paraId="1EEBC82E" w14:textId="30CA2482" w:rsidR="0018521E" w:rsidRPr="009A3034" w:rsidRDefault="0018521E" w:rsidP="005855CA">
            <w:pPr>
              <w:jc w:val="both"/>
              <w:rPr>
                <w:highlight w:val="yellow"/>
              </w:rPr>
            </w:pPr>
            <w:r w:rsidRPr="00E96ECE">
              <w:t>If collection rates were to deteriorate a doubling of the amount of the impairment of doubtful debts would require an additional £</w:t>
            </w:r>
            <w:r w:rsidR="00E236E7" w:rsidRPr="00E96ECE">
              <w:t>0.</w:t>
            </w:r>
            <w:r w:rsidR="005855CA" w:rsidRPr="00E96ECE">
              <w:t xml:space="preserve">5 </w:t>
            </w:r>
            <w:r w:rsidR="00E236E7" w:rsidRPr="00E96ECE">
              <w:t>million</w:t>
            </w:r>
            <w:r w:rsidRPr="00E96ECE">
              <w:t xml:space="preserve"> to be set aside.</w:t>
            </w:r>
          </w:p>
        </w:tc>
      </w:tr>
      <w:tr w:rsidR="00332874" w:rsidRPr="000127EF" w14:paraId="645E7A87" w14:textId="77777777" w:rsidTr="009C79C3">
        <w:tc>
          <w:tcPr>
            <w:tcW w:w="1277" w:type="dxa"/>
            <w:tcBorders>
              <w:top w:val="single" w:sz="8" w:space="0" w:color="A8D08D" w:themeColor="accent6" w:themeTint="99"/>
              <w:bottom w:val="single" w:sz="8" w:space="0" w:color="A8D08D" w:themeColor="accent6" w:themeTint="99"/>
              <w:right w:val="single" w:sz="8" w:space="0" w:color="A8D08D" w:themeColor="accent6" w:themeTint="99"/>
            </w:tcBorders>
          </w:tcPr>
          <w:p w14:paraId="3DC51411" w14:textId="178F7904" w:rsidR="00332874" w:rsidRPr="000127EF" w:rsidRDefault="00332874" w:rsidP="0018521E">
            <w:pPr>
              <w:jc w:val="both"/>
            </w:pPr>
            <w:r>
              <w:t>Asset Valuations</w:t>
            </w:r>
          </w:p>
        </w:tc>
        <w:tc>
          <w:tcPr>
            <w:tcW w:w="5953" w:type="dxa"/>
            <w:tc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tcBorders>
          </w:tcPr>
          <w:p w14:paraId="476EAEAD" w14:textId="77777777" w:rsidR="000C6454" w:rsidRDefault="00332874" w:rsidP="00332874">
            <w:pPr>
              <w:jc w:val="both"/>
            </w:pPr>
            <w:r>
              <w:t>Asset valuations are based on market prices and are periodically reviewed to ensure that the Council does not materially misstate its non-current assets. The Council’s external valuers provided valuations as at 31 March 2020</w:t>
            </w:r>
            <w:r w:rsidR="000C6454">
              <w:t xml:space="preserve"> </w:t>
            </w:r>
            <w:r>
              <w:t>for approximately 20% of its operational portfolio.</w:t>
            </w:r>
          </w:p>
          <w:p w14:paraId="584E39FD" w14:textId="77777777" w:rsidR="000C6454" w:rsidRDefault="000C6454" w:rsidP="00332874">
            <w:pPr>
              <w:jc w:val="both"/>
            </w:pPr>
          </w:p>
          <w:p w14:paraId="4C9FA84A" w14:textId="0157D0DC" w:rsidR="00332874" w:rsidRPr="00E960BE" w:rsidRDefault="00332874" w:rsidP="000C6454">
            <w:pPr>
              <w:jc w:val="both"/>
            </w:pPr>
            <w:r>
              <w:t>The</w:t>
            </w:r>
            <w:r w:rsidR="000C6454">
              <w:t xml:space="preserve"> </w:t>
            </w:r>
            <w:r>
              <w:t>remaining balance of operational properties were also</w:t>
            </w:r>
            <w:r w:rsidR="000C6454">
              <w:t xml:space="preserve"> </w:t>
            </w:r>
            <w:r>
              <w:t>reviewed to ensure values reflect current values.</w:t>
            </w:r>
            <w:r w:rsidR="000C6454">
              <w:t xml:space="preserve"> </w:t>
            </w:r>
            <w:r>
              <w:t>The outbreak of Covid-19 has impacted global financial</w:t>
            </w:r>
            <w:r w:rsidR="000C6454">
              <w:t xml:space="preserve"> </w:t>
            </w:r>
            <w:r>
              <w:t>markets and as at the valuation date, less weight can be</w:t>
            </w:r>
            <w:r w:rsidR="000C6454">
              <w:t xml:space="preserve"> </w:t>
            </w:r>
            <w:r>
              <w:t>attached to previous market evidence to inform opinions</w:t>
            </w:r>
            <w:r w:rsidR="000C6454">
              <w:t xml:space="preserve"> </w:t>
            </w:r>
            <w:r>
              <w:t>of value. There is an unprecedented set of circumstances</w:t>
            </w:r>
            <w:r w:rsidR="000C6454">
              <w:t xml:space="preserve"> </w:t>
            </w:r>
            <w:r>
              <w:t>on which to base a judgement.</w:t>
            </w:r>
            <w:r w:rsidR="000C6454">
              <w:t xml:space="preserve"> </w:t>
            </w:r>
            <w:r>
              <w:t>Valuations are therefore reported on the basis of</w:t>
            </w:r>
            <w:r w:rsidR="000C6454">
              <w:t xml:space="preserve"> </w:t>
            </w:r>
            <w:r>
              <w:t>‘material valuation uncertainty’ as per the RICS Red Book</w:t>
            </w:r>
            <w:r w:rsidR="000C6454">
              <w:t xml:space="preserve"> </w:t>
            </w:r>
            <w:r>
              <w:t>Global. Consequently, less certainty and a higher degree</w:t>
            </w:r>
            <w:r w:rsidR="000C6454">
              <w:t xml:space="preserve"> </w:t>
            </w:r>
            <w:r>
              <w:t>of caution should be attached to the valuation. At the</w:t>
            </w:r>
            <w:r w:rsidR="000C6454">
              <w:t xml:space="preserve"> </w:t>
            </w:r>
            <w:r>
              <w:t>current time, it is not possible to accurately predict the</w:t>
            </w:r>
            <w:r w:rsidR="000C6454">
              <w:t xml:space="preserve"> </w:t>
            </w:r>
            <w:r>
              <w:t>longevity and severity of the impact of Covid-19 on the</w:t>
            </w:r>
            <w:r w:rsidR="000C6454">
              <w:t xml:space="preserve"> </w:t>
            </w:r>
            <w:r>
              <w:t>economy. Therefore, values have been based on the</w:t>
            </w:r>
            <w:r w:rsidR="000C6454">
              <w:t xml:space="preserve"> </w:t>
            </w:r>
            <w:r>
              <w:t>situation prior to Covid-19, on the assumption that</w:t>
            </w:r>
            <w:r w:rsidR="000C6454">
              <w:t xml:space="preserve"> </w:t>
            </w:r>
            <w:r>
              <w:t>values will be restored when the real estate market</w:t>
            </w:r>
            <w:r w:rsidR="000C6454">
              <w:t xml:space="preserve"> </w:t>
            </w:r>
            <w:r>
              <w:t>becomes more fluid.</w:t>
            </w:r>
          </w:p>
        </w:tc>
        <w:tc>
          <w:tcPr>
            <w:tcW w:w="4111" w:type="dxa"/>
            <w:tcBorders>
              <w:top w:val="single" w:sz="8" w:space="0" w:color="A8D08D" w:themeColor="accent6" w:themeTint="99"/>
              <w:left w:val="single" w:sz="8" w:space="0" w:color="A8D08D" w:themeColor="accent6" w:themeTint="99"/>
              <w:bottom w:val="single" w:sz="8" w:space="0" w:color="A8D08D" w:themeColor="accent6" w:themeTint="99"/>
            </w:tcBorders>
          </w:tcPr>
          <w:p w14:paraId="2408101A" w14:textId="395BBC6D" w:rsidR="00332874" w:rsidRPr="00E96ECE" w:rsidRDefault="000C6454" w:rsidP="000C6454">
            <w:pPr>
              <w:jc w:val="both"/>
            </w:pPr>
            <w:r>
              <w:t>A reduction in the estimated valuations would result in reductions to the Revaluation Reserve and / or a loss recorded as appropriate in the Comprehensive Income and Expenditure Statement. The impact of changes in valuations are set out in note 17.</w:t>
            </w:r>
          </w:p>
        </w:tc>
      </w:tr>
      <w:tr w:rsidR="0018521E" w:rsidRPr="000127EF" w14:paraId="646DBEDA" w14:textId="77777777" w:rsidTr="00D53720">
        <w:tc>
          <w:tcPr>
            <w:tcW w:w="1277" w:type="dxa"/>
            <w:tcBorders>
              <w:top w:val="single" w:sz="8" w:space="0" w:color="A8D08D" w:themeColor="accent6" w:themeTint="99"/>
              <w:bottom w:val="single" w:sz="8" w:space="0" w:color="A8D08D" w:themeColor="accent6" w:themeTint="99"/>
              <w:right w:val="single" w:sz="8" w:space="0" w:color="A8D08D" w:themeColor="accent6" w:themeTint="99"/>
            </w:tcBorders>
          </w:tcPr>
          <w:p w14:paraId="35A5A820" w14:textId="77777777" w:rsidR="0018521E" w:rsidRDefault="0018521E" w:rsidP="0018521E">
            <w:pPr>
              <w:jc w:val="both"/>
            </w:pPr>
            <w:r w:rsidRPr="000127EF">
              <w:lastRenderedPageBreak/>
              <w:t>Business Rates</w:t>
            </w:r>
          </w:p>
          <w:p w14:paraId="4B5FAEDD" w14:textId="77777777" w:rsidR="009C79C3" w:rsidRDefault="009C79C3" w:rsidP="0018521E">
            <w:pPr>
              <w:jc w:val="both"/>
            </w:pPr>
          </w:p>
          <w:p w14:paraId="7080C9F2" w14:textId="77777777" w:rsidR="009C79C3" w:rsidRPr="000127EF" w:rsidRDefault="009C79C3" w:rsidP="0018521E">
            <w:pPr>
              <w:jc w:val="both"/>
            </w:pPr>
          </w:p>
        </w:tc>
        <w:tc>
          <w:tcPr>
            <w:tcW w:w="5953" w:type="dxa"/>
            <w:tcBorders>
              <w:top w:val="single" w:sz="8" w:space="0" w:color="A8D08D" w:themeColor="accent6" w:themeTint="99"/>
              <w:left w:val="single" w:sz="8" w:space="0" w:color="A8D08D" w:themeColor="accent6" w:themeTint="99"/>
              <w:bottom w:val="single" w:sz="8" w:space="0" w:color="A8D08D" w:themeColor="accent6" w:themeTint="99"/>
              <w:right w:val="single" w:sz="8" w:space="0" w:color="A8D08D" w:themeColor="accent6" w:themeTint="99"/>
            </w:tcBorders>
          </w:tcPr>
          <w:p w14:paraId="17D0363D" w14:textId="77777777" w:rsidR="0018521E" w:rsidRPr="000127EF" w:rsidRDefault="0018521E" w:rsidP="0018521E">
            <w:pPr>
              <w:jc w:val="both"/>
            </w:pPr>
            <w:r w:rsidRPr="000127EF">
              <w:t>The Business Rates Retention Scheme was introduced from 1 April 2013 and the Council is now liable for its proportionate share of successful business rate appeals.  A provision has been recognised for an estimated amount that may have to be repaid on successful appeals.  The estimate has been calculated using the Valuation Office ratings list of appeals and an analysis of successful appeals to date.</w:t>
            </w:r>
          </w:p>
        </w:tc>
        <w:tc>
          <w:tcPr>
            <w:tcW w:w="4111" w:type="dxa"/>
            <w:tcBorders>
              <w:top w:val="single" w:sz="8" w:space="0" w:color="A8D08D" w:themeColor="accent6" w:themeTint="99"/>
              <w:left w:val="single" w:sz="8" w:space="0" w:color="A8D08D" w:themeColor="accent6" w:themeTint="99"/>
              <w:bottom w:val="single" w:sz="8" w:space="0" w:color="A8D08D" w:themeColor="accent6" w:themeTint="99"/>
            </w:tcBorders>
          </w:tcPr>
          <w:p w14:paraId="29BD763D" w14:textId="5E00CDD1" w:rsidR="00D53720" w:rsidRPr="000127EF" w:rsidRDefault="0018521E" w:rsidP="0018521E">
            <w:pPr>
              <w:jc w:val="both"/>
            </w:pPr>
            <w:r w:rsidRPr="000127EF">
              <w:t>The structure of the appeals is not uniform, there are different classes of business, each of which have had historically different success rates of appeal and the value of each individual appeal can vary considerably. Due to these different criteria and the fact that each class of appeal is provided for separately it would not give the user of the accounts any meaningful information by flexing the provision.</w:t>
            </w:r>
          </w:p>
        </w:tc>
      </w:tr>
    </w:tbl>
    <w:p w14:paraId="23BAB8DF" w14:textId="77777777" w:rsidR="00D53720" w:rsidRDefault="00D53720" w:rsidP="009C79C3">
      <w:pPr>
        <w:pStyle w:val="Heading1"/>
        <w:numPr>
          <w:ilvl w:val="0"/>
          <w:numId w:val="8"/>
        </w:numPr>
        <w:rPr>
          <w:sz w:val="22"/>
          <w:szCs w:val="22"/>
        </w:rPr>
        <w:sectPr w:rsidR="00D53720" w:rsidSect="008C78E8">
          <w:pgSz w:w="11907" w:h="16840" w:code="9"/>
          <w:pgMar w:top="1135" w:right="992" w:bottom="1440" w:left="709" w:header="567" w:footer="851" w:gutter="0"/>
          <w:paperSrc w:first="7" w:other="7"/>
          <w:cols w:space="720"/>
          <w:docGrid w:linePitch="299"/>
        </w:sectPr>
      </w:pPr>
    </w:p>
    <w:p w14:paraId="1B295EB6" w14:textId="5DB51A4D" w:rsidR="009C79C3" w:rsidRPr="00E960BE" w:rsidRDefault="009C79C3" w:rsidP="009C79C3">
      <w:pPr>
        <w:pStyle w:val="Heading1"/>
        <w:numPr>
          <w:ilvl w:val="0"/>
          <w:numId w:val="8"/>
        </w:numPr>
        <w:rPr>
          <w:sz w:val="22"/>
          <w:szCs w:val="22"/>
        </w:rPr>
      </w:pPr>
      <w:r>
        <w:rPr>
          <w:sz w:val="22"/>
          <w:szCs w:val="22"/>
        </w:rPr>
        <w:lastRenderedPageBreak/>
        <w:t>Prior P</w:t>
      </w:r>
      <w:r w:rsidR="00C53116">
        <w:rPr>
          <w:sz w:val="22"/>
          <w:szCs w:val="22"/>
        </w:rPr>
        <w:t>eriod Adjustments</w:t>
      </w:r>
    </w:p>
    <w:p w14:paraId="3C19E3ED" w14:textId="117ADA8F" w:rsidR="009C79C3" w:rsidRDefault="009C79C3" w:rsidP="009C79C3">
      <w:pPr>
        <w:spacing w:after="240"/>
        <w:jc w:val="both"/>
      </w:pPr>
      <w:r>
        <w:t>The Council has had to amend the figures from 2018/19 due to a misclassification error on Internal Recharges. The Income and Expenditure should have been classified the same e.g. both as expenditure. There is no impact on the Council’s Balance Sheet or the level of reserves.</w:t>
      </w:r>
    </w:p>
    <w:p w14:paraId="613F8FFA" w14:textId="52F0D311" w:rsidR="004C3C95" w:rsidRDefault="009C79C3" w:rsidP="009C79C3">
      <w:pPr>
        <w:spacing w:after="240"/>
        <w:jc w:val="both"/>
      </w:pPr>
      <w:r>
        <w:t>The main statement affected is the Comprehensive Income and Expenditure Statement and the impact of the change is shown below</w:t>
      </w:r>
    </w:p>
    <w:tbl>
      <w:tblPr>
        <w:tblW w:w="15134" w:type="dxa"/>
        <w:tblLayout w:type="fixed"/>
        <w:tblLook w:val="04A0" w:firstRow="1" w:lastRow="0" w:firstColumn="1" w:lastColumn="0" w:noHBand="0" w:noVBand="1"/>
      </w:tblPr>
      <w:tblGrid>
        <w:gridCol w:w="2410"/>
        <w:gridCol w:w="1559"/>
        <w:gridCol w:w="993"/>
        <w:gridCol w:w="1559"/>
        <w:gridCol w:w="1603"/>
        <w:gridCol w:w="1220"/>
        <w:gridCol w:w="1571"/>
        <w:gridCol w:w="1559"/>
        <w:gridCol w:w="1057"/>
        <w:gridCol w:w="1603"/>
      </w:tblGrid>
      <w:tr w:rsidR="009C79C3" w:rsidRPr="00583C56" w14:paraId="516A55C1" w14:textId="77777777" w:rsidTr="00583C56">
        <w:trPr>
          <w:trHeight w:val="309"/>
        </w:trPr>
        <w:tc>
          <w:tcPr>
            <w:tcW w:w="2410" w:type="dxa"/>
            <w:tcBorders>
              <w:top w:val="nil"/>
              <w:left w:val="nil"/>
              <w:bottom w:val="single" w:sz="12" w:space="0" w:color="A8D08D"/>
              <w:right w:val="nil"/>
            </w:tcBorders>
            <w:shd w:val="clear" w:color="auto" w:fill="auto"/>
            <w:noWrap/>
            <w:vAlign w:val="bottom"/>
            <w:hideMark/>
          </w:tcPr>
          <w:p w14:paraId="4330ABFC" w14:textId="77777777" w:rsidR="009C79C3" w:rsidRPr="00583C56" w:rsidRDefault="009C79C3" w:rsidP="009C79C3">
            <w:pPr>
              <w:rPr>
                <w:rFonts w:cs="Arial"/>
                <w:szCs w:val="22"/>
                <w:lang w:eastAsia="en-GB"/>
              </w:rPr>
            </w:pPr>
          </w:p>
        </w:tc>
        <w:tc>
          <w:tcPr>
            <w:tcW w:w="4111" w:type="dxa"/>
            <w:gridSpan w:val="3"/>
            <w:tcBorders>
              <w:top w:val="single" w:sz="12" w:space="0" w:color="A8D08D"/>
              <w:left w:val="single" w:sz="12" w:space="0" w:color="A8D08D"/>
              <w:bottom w:val="single" w:sz="12" w:space="0" w:color="A8D08D"/>
              <w:right w:val="nil"/>
            </w:tcBorders>
            <w:shd w:val="clear" w:color="auto" w:fill="auto"/>
            <w:vAlign w:val="center"/>
            <w:hideMark/>
          </w:tcPr>
          <w:p w14:paraId="3D42B21F" w14:textId="77777777" w:rsidR="009C79C3" w:rsidRPr="00583C56" w:rsidRDefault="009C79C3" w:rsidP="009C79C3">
            <w:pPr>
              <w:jc w:val="center"/>
              <w:rPr>
                <w:rFonts w:cs="Arial"/>
                <w:b/>
                <w:bCs/>
                <w:i/>
                <w:iCs/>
                <w:color w:val="000000"/>
                <w:szCs w:val="22"/>
                <w:lang w:eastAsia="en-GB"/>
              </w:rPr>
            </w:pPr>
            <w:r w:rsidRPr="00583C56">
              <w:rPr>
                <w:rFonts w:cs="Arial"/>
                <w:b/>
                <w:bCs/>
                <w:i/>
                <w:iCs/>
                <w:color w:val="000000"/>
                <w:szCs w:val="22"/>
                <w:lang w:eastAsia="en-GB"/>
              </w:rPr>
              <w:t>Original Accounts</w:t>
            </w:r>
          </w:p>
        </w:tc>
        <w:tc>
          <w:tcPr>
            <w:tcW w:w="4394" w:type="dxa"/>
            <w:gridSpan w:val="3"/>
            <w:tcBorders>
              <w:top w:val="single" w:sz="12" w:space="0" w:color="A8D08D"/>
              <w:left w:val="single" w:sz="12" w:space="0" w:color="A8D08D"/>
              <w:bottom w:val="single" w:sz="12" w:space="0" w:color="A8D08D"/>
              <w:right w:val="nil"/>
            </w:tcBorders>
            <w:shd w:val="clear" w:color="auto" w:fill="auto"/>
            <w:vAlign w:val="center"/>
            <w:hideMark/>
          </w:tcPr>
          <w:p w14:paraId="42B8255B" w14:textId="77777777" w:rsidR="009C79C3" w:rsidRPr="00583C56" w:rsidRDefault="009C79C3" w:rsidP="009C79C3">
            <w:pPr>
              <w:jc w:val="center"/>
              <w:rPr>
                <w:rFonts w:cs="Arial"/>
                <w:b/>
                <w:bCs/>
                <w:i/>
                <w:iCs/>
                <w:color w:val="000000"/>
                <w:szCs w:val="22"/>
                <w:lang w:eastAsia="en-GB"/>
              </w:rPr>
            </w:pPr>
            <w:r w:rsidRPr="00583C56">
              <w:rPr>
                <w:rFonts w:cs="Arial"/>
                <w:b/>
                <w:bCs/>
                <w:i/>
                <w:iCs/>
                <w:color w:val="000000"/>
                <w:szCs w:val="22"/>
                <w:lang w:eastAsia="en-GB"/>
              </w:rPr>
              <w:t>Adjustments</w:t>
            </w:r>
          </w:p>
        </w:tc>
        <w:tc>
          <w:tcPr>
            <w:tcW w:w="4219" w:type="dxa"/>
            <w:gridSpan w:val="3"/>
            <w:tcBorders>
              <w:top w:val="single" w:sz="12" w:space="0" w:color="A8D08D"/>
              <w:left w:val="single" w:sz="12" w:space="0" w:color="A8D08D"/>
              <w:bottom w:val="single" w:sz="12" w:space="0" w:color="A8D08D"/>
              <w:right w:val="single" w:sz="12" w:space="0" w:color="A8D08D"/>
            </w:tcBorders>
            <w:shd w:val="clear" w:color="auto" w:fill="auto"/>
            <w:vAlign w:val="center"/>
            <w:hideMark/>
          </w:tcPr>
          <w:p w14:paraId="2D7DE296" w14:textId="77777777" w:rsidR="009C79C3" w:rsidRPr="00583C56" w:rsidRDefault="009C79C3" w:rsidP="009C79C3">
            <w:pPr>
              <w:jc w:val="center"/>
              <w:rPr>
                <w:rFonts w:cs="Arial"/>
                <w:b/>
                <w:bCs/>
                <w:i/>
                <w:iCs/>
                <w:color w:val="000000"/>
                <w:szCs w:val="22"/>
                <w:lang w:eastAsia="en-GB"/>
              </w:rPr>
            </w:pPr>
            <w:r w:rsidRPr="00583C56">
              <w:rPr>
                <w:rFonts w:cs="Arial"/>
                <w:b/>
                <w:bCs/>
                <w:i/>
                <w:iCs/>
                <w:color w:val="000000"/>
                <w:szCs w:val="22"/>
                <w:lang w:eastAsia="en-GB"/>
              </w:rPr>
              <w:t>Restated Accounts</w:t>
            </w:r>
          </w:p>
        </w:tc>
      </w:tr>
      <w:tr w:rsidR="00D53720" w:rsidRPr="00583C56" w14:paraId="23F13647" w14:textId="77777777" w:rsidTr="00583C56">
        <w:trPr>
          <w:trHeight w:val="300"/>
        </w:trPr>
        <w:tc>
          <w:tcPr>
            <w:tcW w:w="2410" w:type="dxa"/>
            <w:vMerge w:val="restart"/>
            <w:tcBorders>
              <w:top w:val="single" w:sz="12" w:space="0" w:color="A8D08D"/>
              <w:left w:val="single" w:sz="12" w:space="0" w:color="A8D08D"/>
              <w:right w:val="nil"/>
            </w:tcBorders>
            <w:shd w:val="clear" w:color="auto" w:fill="auto"/>
            <w:vAlign w:val="center"/>
            <w:hideMark/>
          </w:tcPr>
          <w:p w14:paraId="7768AEF7" w14:textId="29F81E22" w:rsidR="00D53720" w:rsidRPr="00583C56" w:rsidRDefault="00D53720" w:rsidP="00D53720">
            <w:pPr>
              <w:rPr>
                <w:rFonts w:cs="Arial"/>
                <w:color w:val="000000"/>
                <w:szCs w:val="22"/>
                <w:lang w:eastAsia="en-GB"/>
              </w:rPr>
            </w:pPr>
            <w:r w:rsidRPr="00583C56">
              <w:rPr>
                <w:rFonts w:cs="Arial"/>
                <w:b/>
                <w:bCs/>
                <w:color w:val="000000"/>
                <w:szCs w:val="22"/>
                <w:lang w:eastAsia="en-GB"/>
              </w:rPr>
              <w:t>Comprehensive Income &amp; Expenditure Statement (CIES)</w:t>
            </w:r>
          </w:p>
        </w:tc>
        <w:tc>
          <w:tcPr>
            <w:tcW w:w="4111" w:type="dxa"/>
            <w:gridSpan w:val="3"/>
            <w:tcBorders>
              <w:top w:val="single" w:sz="12" w:space="0" w:color="A8D08D"/>
              <w:left w:val="single" w:sz="12" w:space="0" w:color="A8D08D"/>
              <w:bottom w:val="nil"/>
              <w:right w:val="nil"/>
            </w:tcBorders>
            <w:shd w:val="clear" w:color="auto" w:fill="auto"/>
            <w:vAlign w:val="center"/>
            <w:hideMark/>
          </w:tcPr>
          <w:p w14:paraId="060D427A" w14:textId="77777777" w:rsidR="00D53720" w:rsidRPr="00583C56" w:rsidRDefault="00D53720" w:rsidP="009C79C3">
            <w:pPr>
              <w:jc w:val="center"/>
              <w:rPr>
                <w:rFonts w:cs="Arial"/>
                <w:b/>
                <w:bCs/>
                <w:i/>
                <w:iCs/>
                <w:color w:val="000000"/>
                <w:szCs w:val="22"/>
                <w:lang w:eastAsia="en-GB"/>
              </w:rPr>
            </w:pPr>
            <w:r w:rsidRPr="00583C56">
              <w:rPr>
                <w:rFonts w:cs="Arial"/>
                <w:b/>
                <w:bCs/>
                <w:i/>
                <w:iCs/>
                <w:color w:val="000000"/>
                <w:szCs w:val="22"/>
                <w:lang w:eastAsia="en-GB"/>
              </w:rPr>
              <w:t>2018/19</w:t>
            </w:r>
          </w:p>
        </w:tc>
        <w:tc>
          <w:tcPr>
            <w:tcW w:w="4394" w:type="dxa"/>
            <w:gridSpan w:val="3"/>
            <w:tcBorders>
              <w:top w:val="single" w:sz="12" w:space="0" w:color="A8D08D"/>
              <w:left w:val="single" w:sz="12" w:space="0" w:color="A8D08D"/>
              <w:bottom w:val="nil"/>
              <w:right w:val="nil"/>
            </w:tcBorders>
            <w:shd w:val="clear" w:color="auto" w:fill="auto"/>
            <w:vAlign w:val="center"/>
            <w:hideMark/>
          </w:tcPr>
          <w:p w14:paraId="45BC08D4" w14:textId="77777777" w:rsidR="00D53720" w:rsidRPr="00583C56" w:rsidRDefault="00D53720" w:rsidP="00D53720">
            <w:pPr>
              <w:ind w:right="66"/>
              <w:jc w:val="center"/>
              <w:rPr>
                <w:rFonts w:cs="Arial"/>
                <w:b/>
                <w:bCs/>
                <w:i/>
                <w:iCs/>
                <w:color w:val="000000"/>
                <w:szCs w:val="22"/>
                <w:lang w:eastAsia="en-GB"/>
              </w:rPr>
            </w:pPr>
            <w:r w:rsidRPr="00583C56">
              <w:rPr>
                <w:rFonts w:cs="Arial"/>
                <w:b/>
                <w:bCs/>
                <w:i/>
                <w:iCs/>
                <w:color w:val="000000"/>
                <w:szCs w:val="22"/>
                <w:lang w:eastAsia="en-GB"/>
              </w:rPr>
              <w:t>2018/19</w:t>
            </w:r>
          </w:p>
        </w:tc>
        <w:tc>
          <w:tcPr>
            <w:tcW w:w="4219" w:type="dxa"/>
            <w:gridSpan w:val="3"/>
            <w:tcBorders>
              <w:top w:val="single" w:sz="12" w:space="0" w:color="A8D08D"/>
              <w:left w:val="single" w:sz="12" w:space="0" w:color="A8D08D"/>
              <w:bottom w:val="nil"/>
              <w:right w:val="single" w:sz="12" w:space="0" w:color="A8D08D"/>
            </w:tcBorders>
            <w:shd w:val="clear" w:color="auto" w:fill="auto"/>
            <w:vAlign w:val="center"/>
            <w:hideMark/>
          </w:tcPr>
          <w:p w14:paraId="59AB83EE" w14:textId="77777777" w:rsidR="00D53720" w:rsidRPr="00583C56" w:rsidRDefault="00D53720" w:rsidP="009C79C3">
            <w:pPr>
              <w:jc w:val="center"/>
              <w:rPr>
                <w:rFonts w:cs="Arial"/>
                <w:b/>
                <w:bCs/>
                <w:i/>
                <w:iCs/>
                <w:color w:val="000000"/>
                <w:szCs w:val="22"/>
                <w:lang w:eastAsia="en-GB"/>
              </w:rPr>
            </w:pPr>
            <w:r w:rsidRPr="00583C56">
              <w:rPr>
                <w:rFonts w:cs="Arial"/>
                <w:b/>
                <w:bCs/>
                <w:i/>
                <w:iCs/>
                <w:color w:val="000000"/>
                <w:szCs w:val="22"/>
                <w:lang w:eastAsia="en-GB"/>
              </w:rPr>
              <w:t>2018/19</w:t>
            </w:r>
          </w:p>
        </w:tc>
      </w:tr>
      <w:tr w:rsidR="00D53720" w:rsidRPr="00583C56" w14:paraId="7B75D435" w14:textId="77777777" w:rsidTr="00583C56">
        <w:trPr>
          <w:trHeight w:val="583"/>
        </w:trPr>
        <w:tc>
          <w:tcPr>
            <w:tcW w:w="2410" w:type="dxa"/>
            <w:vMerge/>
            <w:tcBorders>
              <w:left w:val="single" w:sz="12" w:space="0" w:color="A8D08D"/>
              <w:bottom w:val="nil"/>
              <w:right w:val="nil"/>
            </w:tcBorders>
            <w:shd w:val="clear" w:color="auto" w:fill="auto"/>
            <w:vAlign w:val="center"/>
            <w:hideMark/>
          </w:tcPr>
          <w:p w14:paraId="77BBFC16" w14:textId="4A26B8C1" w:rsidR="00D53720" w:rsidRPr="00583C56" w:rsidRDefault="00D53720" w:rsidP="009C79C3">
            <w:pPr>
              <w:jc w:val="center"/>
              <w:rPr>
                <w:rFonts w:cs="Arial"/>
                <w:b/>
                <w:bCs/>
                <w:color w:val="000000"/>
                <w:szCs w:val="22"/>
                <w:lang w:eastAsia="en-GB"/>
              </w:rPr>
            </w:pPr>
          </w:p>
        </w:tc>
        <w:tc>
          <w:tcPr>
            <w:tcW w:w="1559" w:type="dxa"/>
            <w:tcBorders>
              <w:top w:val="nil"/>
              <w:left w:val="single" w:sz="12" w:space="0" w:color="A8D08D"/>
              <w:bottom w:val="nil"/>
              <w:right w:val="nil"/>
            </w:tcBorders>
            <w:shd w:val="clear" w:color="auto" w:fill="auto"/>
            <w:vAlign w:val="center"/>
            <w:hideMark/>
          </w:tcPr>
          <w:p w14:paraId="01C2BDF9" w14:textId="77777777" w:rsidR="00D53720" w:rsidRPr="00583C56" w:rsidRDefault="00D53720" w:rsidP="009C79C3">
            <w:pPr>
              <w:jc w:val="center"/>
              <w:rPr>
                <w:rFonts w:cs="Arial"/>
                <w:b/>
                <w:bCs/>
                <w:i/>
                <w:iCs/>
                <w:color w:val="000000"/>
                <w:szCs w:val="22"/>
                <w:lang w:eastAsia="en-GB"/>
              </w:rPr>
            </w:pPr>
            <w:r w:rsidRPr="00583C56">
              <w:rPr>
                <w:rFonts w:cs="Arial"/>
                <w:b/>
                <w:bCs/>
                <w:i/>
                <w:iCs/>
                <w:color w:val="000000"/>
                <w:szCs w:val="22"/>
                <w:lang w:eastAsia="en-GB"/>
              </w:rPr>
              <w:t>Gross Expenditure</w:t>
            </w:r>
          </w:p>
        </w:tc>
        <w:tc>
          <w:tcPr>
            <w:tcW w:w="993" w:type="dxa"/>
            <w:tcBorders>
              <w:top w:val="nil"/>
              <w:left w:val="nil"/>
              <w:bottom w:val="nil"/>
              <w:right w:val="nil"/>
            </w:tcBorders>
            <w:shd w:val="clear" w:color="auto" w:fill="auto"/>
            <w:vAlign w:val="center"/>
            <w:hideMark/>
          </w:tcPr>
          <w:p w14:paraId="26FEB52D" w14:textId="77777777" w:rsidR="00D53720" w:rsidRPr="00583C56" w:rsidRDefault="00D53720" w:rsidP="009C79C3">
            <w:pPr>
              <w:jc w:val="center"/>
              <w:rPr>
                <w:rFonts w:cs="Arial"/>
                <w:b/>
                <w:bCs/>
                <w:i/>
                <w:iCs/>
                <w:color w:val="000000"/>
                <w:szCs w:val="22"/>
                <w:lang w:eastAsia="en-GB"/>
              </w:rPr>
            </w:pPr>
            <w:r w:rsidRPr="00583C56">
              <w:rPr>
                <w:rFonts w:cs="Arial"/>
                <w:b/>
                <w:bCs/>
                <w:i/>
                <w:iCs/>
                <w:color w:val="000000"/>
                <w:szCs w:val="22"/>
                <w:lang w:eastAsia="en-GB"/>
              </w:rPr>
              <w:t>Gross Income</w:t>
            </w:r>
          </w:p>
        </w:tc>
        <w:tc>
          <w:tcPr>
            <w:tcW w:w="1559" w:type="dxa"/>
            <w:tcBorders>
              <w:top w:val="nil"/>
              <w:left w:val="nil"/>
              <w:bottom w:val="nil"/>
              <w:right w:val="nil"/>
            </w:tcBorders>
            <w:shd w:val="clear" w:color="auto" w:fill="auto"/>
            <w:vAlign w:val="center"/>
            <w:hideMark/>
          </w:tcPr>
          <w:p w14:paraId="14795047" w14:textId="77777777" w:rsidR="00D53720" w:rsidRPr="00583C56" w:rsidRDefault="00D53720" w:rsidP="009C79C3">
            <w:pPr>
              <w:jc w:val="center"/>
              <w:rPr>
                <w:rFonts w:cs="Arial"/>
                <w:b/>
                <w:bCs/>
                <w:i/>
                <w:iCs/>
                <w:color w:val="000000"/>
                <w:szCs w:val="22"/>
                <w:lang w:eastAsia="en-GB"/>
              </w:rPr>
            </w:pPr>
            <w:r w:rsidRPr="00583C56">
              <w:rPr>
                <w:rFonts w:cs="Arial"/>
                <w:b/>
                <w:bCs/>
                <w:i/>
                <w:iCs/>
                <w:color w:val="000000"/>
                <w:szCs w:val="22"/>
                <w:lang w:eastAsia="en-GB"/>
              </w:rPr>
              <w:t>Net Expenditure</w:t>
            </w:r>
          </w:p>
        </w:tc>
        <w:tc>
          <w:tcPr>
            <w:tcW w:w="1603" w:type="dxa"/>
            <w:tcBorders>
              <w:top w:val="nil"/>
              <w:left w:val="single" w:sz="12" w:space="0" w:color="A8D08D"/>
              <w:bottom w:val="nil"/>
              <w:right w:val="nil"/>
            </w:tcBorders>
            <w:shd w:val="clear" w:color="auto" w:fill="auto"/>
            <w:vAlign w:val="center"/>
            <w:hideMark/>
          </w:tcPr>
          <w:p w14:paraId="0D095E81" w14:textId="77777777" w:rsidR="00D53720" w:rsidRPr="00583C56" w:rsidRDefault="00D53720" w:rsidP="009C79C3">
            <w:pPr>
              <w:jc w:val="center"/>
              <w:rPr>
                <w:rFonts w:cs="Arial"/>
                <w:b/>
                <w:bCs/>
                <w:i/>
                <w:iCs/>
                <w:color w:val="000000"/>
                <w:szCs w:val="22"/>
                <w:lang w:eastAsia="en-GB"/>
              </w:rPr>
            </w:pPr>
            <w:r w:rsidRPr="00583C56">
              <w:rPr>
                <w:rFonts w:cs="Arial"/>
                <w:b/>
                <w:bCs/>
                <w:i/>
                <w:iCs/>
                <w:color w:val="000000"/>
                <w:szCs w:val="22"/>
                <w:lang w:eastAsia="en-GB"/>
              </w:rPr>
              <w:t>Gross Expenditure</w:t>
            </w:r>
          </w:p>
        </w:tc>
        <w:tc>
          <w:tcPr>
            <w:tcW w:w="1220" w:type="dxa"/>
            <w:tcBorders>
              <w:top w:val="nil"/>
              <w:left w:val="nil"/>
              <w:bottom w:val="nil"/>
              <w:right w:val="nil"/>
            </w:tcBorders>
            <w:shd w:val="clear" w:color="auto" w:fill="auto"/>
            <w:vAlign w:val="center"/>
            <w:hideMark/>
          </w:tcPr>
          <w:p w14:paraId="3B7B42DF" w14:textId="77777777" w:rsidR="00D53720" w:rsidRPr="00583C56" w:rsidRDefault="00D53720" w:rsidP="009C79C3">
            <w:pPr>
              <w:jc w:val="center"/>
              <w:rPr>
                <w:rFonts w:cs="Arial"/>
                <w:b/>
                <w:bCs/>
                <w:i/>
                <w:iCs/>
                <w:color w:val="000000"/>
                <w:szCs w:val="22"/>
                <w:lang w:eastAsia="en-GB"/>
              </w:rPr>
            </w:pPr>
            <w:r w:rsidRPr="00583C56">
              <w:rPr>
                <w:rFonts w:cs="Arial"/>
                <w:b/>
                <w:bCs/>
                <w:i/>
                <w:iCs/>
                <w:color w:val="000000"/>
                <w:szCs w:val="22"/>
                <w:lang w:eastAsia="en-GB"/>
              </w:rPr>
              <w:t>Gross Income</w:t>
            </w:r>
          </w:p>
        </w:tc>
        <w:tc>
          <w:tcPr>
            <w:tcW w:w="1571" w:type="dxa"/>
            <w:tcBorders>
              <w:top w:val="nil"/>
              <w:left w:val="nil"/>
              <w:bottom w:val="nil"/>
              <w:right w:val="nil"/>
            </w:tcBorders>
            <w:shd w:val="clear" w:color="auto" w:fill="auto"/>
            <w:vAlign w:val="center"/>
            <w:hideMark/>
          </w:tcPr>
          <w:p w14:paraId="02C12DD9" w14:textId="77777777" w:rsidR="00D53720" w:rsidRPr="00583C56" w:rsidRDefault="00D53720" w:rsidP="009C79C3">
            <w:pPr>
              <w:jc w:val="center"/>
              <w:rPr>
                <w:rFonts w:cs="Arial"/>
                <w:b/>
                <w:bCs/>
                <w:i/>
                <w:iCs/>
                <w:color w:val="000000"/>
                <w:szCs w:val="22"/>
                <w:lang w:eastAsia="en-GB"/>
              </w:rPr>
            </w:pPr>
            <w:r w:rsidRPr="00583C56">
              <w:rPr>
                <w:rFonts w:cs="Arial"/>
                <w:b/>
                <w:bCs/>
                <w:i/>
                <w:iCs/>
                <w:color w:val="000000"/>
                <w:szCs w:val="22"/>
                <w:lang w:eastAsia="en-GB"/>
              </w:rPr>
              <w:t>Net Expenditure</w:t>
            </w:r>
          </w:p>
        </w:tc>
        <w:tc>
          <w:tcPr>
            <w:tcW w:w="1559" w:type="dxa"/>
            <w:tcBorders>
              <w:top w:val="nil"/>
              <w:left w:val="single" w:sz="12" w:space="0" w:color="A8D08D"/>
              <w:bottom w:val="nil"/>
              <w:right w:val="nil"/>
            </w:tcBorders>
            <w:shd w:val="clear" w:color="auto" w:fill="auto"/>
            <w:vAlign w:val="center"/>
            <w:hideMark/>
          </w:tcPr>
          <w:p w14:paraId="48088039" w14:textId="77777777" w:rsidR="00D53720" w:rsidRPr="00583C56" w:rsidRDefault="00D53720" w:rsidP="009C79C3">
            <w:pPr>
              <w:jc w:val="center"/>
              <w:rPr>
                <w:rFonts w:cs="Arial"/>
                <w:b/>
                <w:bCs/>
                <w:i/>
                <w:iCs/>
                <w:color w:val="000000"/>
                <w:szCs w:val="22"/>
                <w:lang w:eastAsia="en-GB"/>
              </w:rPr>
            </w:pPr>
            <w:r w:rsidRPr="00583C56">
              <w:rPr>
                <w:rFonts w:cs="Arial"/>
                <w:b/>
                <w:bCs/>
                <w:i/>
                <w:iCs/>
                <w:color w:val="000000"/>
                <w:szCs w:val="22"/>
                <w:lang w:eastAsia="en-GB"/>
              </w:rPr>
              <w:t>Gross Expenditure</w:t>
            </w:r>
          </w:p>
        </w:tc>
        <w:tc>
          <w:tcPr>
            <w:tcW w:w="1057" w:type="dxa"/>
            <w:tcBorders>
              <w:top w:val="nil"/>
              <w:left w:val="nil"/>
              <w:bottom w:val="nil"/>
              <w:right w:val="nil"/>
            </w:tcBorders>
            <w:shd w:val="clear" w:color="auto" w:fill="auto"/>
            <w:vAlign w:val="center"/>
            <w:hideMark/>
          </w:tcPr>
          <w:p w14:paraId="092BF2DD" w14:textId="77777777" w:rsidR="00D53720" w:rsidRPr="00583C56" w:rsidRDefault="00D53720" w:rsidP="009C79C3">
            <w:pPr>
              <w:jc w:val="center"/>
              <w:rPr>
                <w:rFonts w:cs="Arial"/>
                <w:b/>
                <w:bCs/>
                <w:i/>
                <w:iCs/>
                <w:color w:val="000000"/>
                <w:szCs w:val="22"/>
                <w:lang w:eastAsia="en-GB"/>
              </w:rPr>
            </w:pPr>
            <w:r w:rsidRPr="00583C56">
              <w:rPr>
                <w:rFonts w:cs="Arial"/>
                <w:b/>
                <w:bCs/>
                <w:i/>
                <w:iCs/>
                <w:color w:val="000000"/>
                <w:szCs w:val="22"/>
                <w:lang w:eastAsia="en-GB"/>
              </w:rPr>
              <w:t>Gross Income</w:t>
            </w:r>
          </w:p>
        </w:tc>
        <w:tc>
          <w:tcPr>
            <w:tcW w:w="1603" w:type="dxa"/>
            <w:tcBorders>
              <w:top w:val="nil"/>
              <w:left w:val="nil"/>
              <w:bottom w:val="nil"/>
              <w:right w:val="single" w:sz="12" w:space="0" w:color="A8D08D"/>
            </w:tcBorders>
            <w:shd w:val="clear" w:color="auto" w:fill="auto"/>
            <w:vAlign w:val="center"/>
            <w:hideMark/>
          </w:tcPr>
          <w:p w14:paraId="7610BED4" w14:textId="77777777" w:rsidR="00D53720" w:rsidRPr="00583C56" w:rsidRDefault="00D53720" w:rsidP="009C79C3">
            <w:pPr>
              <w:jc w:val="center"/>
              <w:rPr>
                <w:rFonts w:cs="Arial"/>
                <w:b/>
                <w:bCs/>
                <w:i/>
                <w:iCs/>
                <w:color w:val="000000"/>
                <w:szCs w:val="22"/>
                <w:lang w:eastAsia="en-GB"/>
              </w:rPr>
            </w:pPr>
            <w:r w:rsidRPr="00583C56">
              <w:rPr>
                <w:rFonts w:cs="Arial"/>
                <w:b/>
                <w:bCs/>
                <w:i/>
                <w:iCs/>
                <w:color w:val="000000"/>
                <w:szCs w:val="22"/>
                <w:lang w:eastAsia="en-GB"/>
              </w:rPr>
              <w:t>Net Expenditure</w:t>
            </w:r>
          </w:p>
        </w:tc>
      </w:tr>
      <w:tr w:rsidR="009C79C3" w:rsidRPr="00583C56" w14:paraId="411B03CC" w14:textId="77777777" w:rsidTr="00583C56">
        <w:trPr>
          <w:trHeight w:val="292"/>
        </w:trPr>
        <w:tc>
          <w:tcPr>
            <w:tcW w:w="2410" w:type="dxa"/>
            <w:tcBorders>
              <w:top w:val="nil"/>
              <w:left w:val="single" w:sz="12" w:space="0" w:color="A8D08D"/>
              <w:bottom w:val="nil"/>
              <w:right w:val="nil"/>
            </w:tcBorders>
            <w:shd w:val="clear" w:color="auto" w:fill="auto"/>
            <w:vAlign w:val="center"/>
            <w:hideMark/>
          </w:tcPr>
          <w:p w14:paraId="725AE592" w14:textId="77777777" w:rsidR="009C79C3" w:rsidRPr="00583C56" w:rsidRDefault="009C79C3" w:rsidP="009C79C3">
            <w:pPr>
              <w:jc w:val="center"/>
              <w:rPr>
                <w:rFonts w:cs="Arial"/>
                <w:b/>
                <w:bCs/>
                <w:i/>
                <w:iCs/>
                <w:color w:val="000000"/>
                <w:szCs w:val="22"/>
                <w:lang w:eastAsia="en-GB"/>
              </w:rPr>
            </w:pPr>
          </w:p>
        </w:tc>
        <w:tc>
          <w:tcPr>
            <w:tcW w:w="1559" w:type="dxa"/>
            <w:tcBorders>
              <w:top w:val="nil"/>
              <w:left w:val="single" w:sz="12" w:space="0" w:color="A8D08D"/>
              <w:bottom w:val="nil"/>
              <w:right w:val="nil"/>
            </w:tcBorders>
            <w:shd w:val="clear" w:color="auto" w:fill="auto"/>
            <w:vAlign w:val="center"/>
            <w:hideMark/>
          </w:tcPr>
          <w:p w14:paraId="2425F6AB" w14:textId="2EA8D3EC" w:rsidR="009C79C3" w:rsidRPr="00583C56" w:rsidRDefault="009C79C3" w:rsidP="009C79C3">
            <w:pPr>
              <w:jc w:val="center"/>
              <w:rPr>
                <w:rFonts w:cs="Arial"/>
                <w:i/>
                <w:iCs/>
                <w:color w:val="000000"/>
                <w:szCs w:val="22"/>
                <w:lang w:eastAsia="en-GB"/>
              </w:rPr>
            </w:pPr>
            <w:r w:rsidRPr="00583C56">
              <w:rPr>
                <w:rFonts w:cs="Arial"/>
                <w:i/>
                <w:iCs/>
                <w:color w:val="000000"/>
                <w:szCs w:val="22"/>
                <w:lang w:eastAsia="en-GB"/>
              </w:rPr>
              <w:t>£0</w:t>
            </w:r>
            <w:r w:rsidR="00D53720" w:rsidRPr="00583C56">
              <w:rPr>
                <w:rFonts w:cs="Arial"/>
                <w:i/>
                <w:iCs/>
                <w:color w:val="000000"/>
                <w:szCs w:val="22"/>
                <w:lang w:eastAsia="en-GB"/>
              </w:rPr>
              <w:t>00</w:t>
            </w:r>
          </w:p>
        </w:tc>
        <w:tc>
          <w:tcPr>
            <w:tcW w:w="993" w:type="dxa"/>
            <w:tcBorders>
              <w:top w:val="nil"/>
              <w:left w:val="nil"/>
              <w:bottom w:val="nil"/>
              <w:right w:val="nil"/>
            </w:tcBorders>
            <w:shd w:val="clear" w:color="auto" w:fill="auto"/>
            <w:vAlign w:val="center"/>
            <w:hideMark/>
          </w:tcPr>
          <w:p w14:paraId="5F74D5DC" w14:textId="1DD6C8D9" w:rsidR="009C79C3" w:rsidRPr="00583C56" w:rsidRDefault="009C79C3" w:rsidP="009C79C3">
            <w:pPr>
              <w:jc w:val="center"/>
              <w:rPr>
                <w:rFonts w:cs="Arial"/>
                <w:i/>
                <w:iCs/>
                <w:color w:val="000000"/>
                <w:szCs w:val="22"/>
                <w:lang w:eastAsia="en-GB"/>
              </w:rPr>
            </w:pPr>
            <w:r w:rsidRPr="00583C56">
              <w:rPr>
                <w:rFonts w:cs="Arial"/>
                <w:i/>
                <w:iCs/>
                <w:color w:val="000000"/>
                <w:szCs w:val="22"/>
                <w:lang w:eastAsia="en-GB"/>
              </w:rPr>
              <w:t>£0</w:t>
            </w:r>
            <w:r w:rsidR="00D53720" w:rsidRPr="00583C56">
              <w:rPr>
                <w:rFonts w:cs="Arial"/>
                <w:i/>
                <w:iCs/>
                <w:color w:val="000000"/>
                <w:szCs w:val="22"/>
                <w:lang w:eastAsia="en-GB"/>
              </w:rPr>
              <w:t>00</w:t>
            </w:r>
          </w:p>
        </w:tc>
        <w:tc>
          <w:tcPr>
            <w:tcW w:w="1559" w:type="dxa"/>
            <w:tcBorders>
              <w:top w:val="nil"/>
              <w:left w:val="nil"/>
              <w:bottom w:val="nil"/>
              <w:right w:val="nil"/>
            </w:tcBorders>
            <w:shd w:val="clear" w:color="auto" w:fill="auto"/>
            <w:vAlign w:val="center"/>
            <w:hideMark/>
          </w:tcPr>
          <w:p w14:paraId="203D4DAA" w14:textId="53E3E494" w:rsidR="009C79C3" w:rsidRPr="00583C56" w:rsidRDefault="009C79C3" w:rsidP="009C79C3">
            <w:pPr>
              <w:jc w:val="center"/>
              <w:rPr>
                <w:rFonts w:cs="Arial"/>
                <w:i/>
                <w:iCs/>
                <w:color w:val="000000"/>
                <w:szCs w:val="22"/>
                <w:lang w:eastAsia="en-GB"/>
              </w:rPr>
            </w:pPr>
            <w:r w:rsidRPr="00583C56">
              <w:rPr>
                <w:rFonts w:cs="Arial"/>
                <w:i/>
                <w:iCs/>
                <w:color w:val="000000"/>
                <w:szCs w:val="22"/>
                <w:lang w:eastAsia="en-GB"/>
              </w:rPr>
              <w:t>£0</w:t>
            </w:r>
            <w:r w:rsidR="00D53720" w:rsidRPr="00583C56">
              <w:rPr>
                <w:rFonts w:cs="Arial"/>
                <w:i/>
                <w:iCs/>
                <w:color w:val="000000"/>
                <w:szCs w:val="22"/>
                <w:lang w:eastAsia="en-GB"/>
              </w:rPr>
              <w:t>00</w:t>
            </w:r>
          </w:p>
        </w:tc>
        <w:tc>
          <w:tcPr>
            <w:tcW w:w="1603" w:type="dxa"/>
            <w:tcBorders>
              <w:top w:val="nil"/>
              <w:left w:val="single" w:sz="12" w:space="0" w:color="A8D08D"/>
              <w:bottom w:val="nil"/>
              <w:right w:val="nil"/>
            </w:tcBorders>
            <w:shd w:val="clear" w:color="auto" w:fill="auto"/>
            <w:vAlign w:val="center"/>
            <w:hideMark/>
          </w:tcPr>
          <w:p w14:paraId="6AD92615" w14:textId="68C4E0FF" w:rsidR="009C79C3" w:rsidRPr="00583C56" w:rsidRDefault="009C79C3" w:rsidP="009C79C3">
            <w:pPr>
              <w:jc w:val="center"/>
              <w:rPr>
                <w:rFonts w:cs="Arial"/>
                <w:i/>
                <w:iCs/>
                <w:color w:val="000000"/>
                <w:szCs w:val="22"/>
                <w:lang w:eastAsia="en-GB"/>
              </w:rPr>
            </w:pPr>
            <w:r w:rsidRPr="00583C56">
              <w:rPr>
                <w:rFonts w:cs="Arial"/>
                <w:i/>
                <w:iCs/>
                <w:color w:val="000000"/>
                <w:szCs w:val="22"/>
                <w:lang w:eastAsia="en-GB"/>
              </w:rPr>
              <w:t>£0</w:t>
            </w:r>
            <w:r w:rsidR="00D53720" w:rsidRPr="00583C56">
              <w:rPr>
                <w:rFonts w:cs="Arial"/>
                <w:i/>
                <w:iCs/>
                <w:color w:val="000000"/>
                <w:szCs w:val="22"/>
                <w:lang w:eastAsia="en-GB"/>
              </w:rPr>
              <w:t>00</w:t>
            </w:r>
          </w:p>
        </w:tc>
        <w:tc>
          <w:tcPr>
            <w:tcW w:w="1220" w:type="dxa"/>
            <w:tcBorders>
              <w:top w:val="nil"/>
              <w:left w:val="nil"/>
              <w:bottom w:val="nil"/>
              <w:right w:val="nil"/>
            </w:tcBorders>
            <w:shd w:val="clear" w:color="auto" w:fill="auto"/>
            <w:vAlign w:val="center"/>
            <w:hideMark/>
          </w:tcPr>
          <w:p w14:paraId="2796DDBB" w14:textId="63F891AB" w:rsidR="009C79C3" w:rsidRPr="00583C56" w:rsidRDefault="009C79C3" w:rsidP="009C79C3">
            <w:pPr>
              <w:jc w:val="center"/>
              <w:rPr>
                <w:rFonts w:cs="Arial"/>
                <w:i/>
                <w:iCs/>
                <w:color w:val="000000"/>
                <w:szCs w:val="22"/>
                <w:lang w:eastAsia="en-GB"/>
              </w:rPr>
            </w:pPr>
            <w:r w:rsidRPr="00583C56">
              <w:rPr>
                <w:rFonts w:cs="Arial"/>
                <w:i/>
                <w:iCs/>
                <w:color w:val="000000"/>
                <w:szCs w:val="22"/>
                <w:lang w:eastAsia="en-GB"/>
              </w:rPr>
              <w:t>£0</w:t>
            </w:r>
            <w:r w:rsidR="00D53720" w:rsidRPr="00583C56">
              <w:rPr>
                <w:rFonts w:cs="Arial"/>
                <w:i/>
                <w:iCs/>
                <w:color w:val="000000"/>
                <w:szCs w:val="22"/>
                <w:lang w:eastAsia="en-GB"/>
              </w:rPr>
              <w:t>00</w:t>
            </w:r>
          </w:p>
        </w:tc>
        <w:tc>
          <w:tcPr>
            <w:tcW w:w="1571" w:type="dxa"/>
            <w:tcBorders>
              <w:top w:val="nil"/>
              <w:left w:val="nil"/>
              <w:bottom w:val="nil"/>
              <w:right w:val="nil"/>
            </w:tcBorders>
            <w:shd w:val="clear" w:color="auto" w:fill="auto"/>
            <w:vAlign w:val="center"/>
            <w:hideMark/>
          </w:tcPr>
          <w:p w14:paraId="61C50A33" w14:textId="51F930B3" w:rsidR="009C79C3" w:rsidRPr="00583C56" w:rsidRDefault="009C79C3" w:rsidP="009C79C3">
            <w:pPr>
              <w:jc w:val="center"/>
              <w:rPr>
                <w:rFonts w:cs="Arial"/>
                <w:i/>
                <w:iCs/>
                <w:color w:val="000000"/>
                <w:szCs w:val="22"/>
                <w:lang w:eastAsia="en-GB"/>
              </w:rPr>
            </w:pPr>
            <w:r w:rsidRPr="00583C56">
              <w:rPr>
                <w:rFonts w:cs="Arial"/>
                <w:i/>
                <w:iCs/>
                <w:color w:val="000000"/>
                <w:szCs w:val="22"/>
                <w:lang w:eastAsia="en-GB"/>
              </w:rPr>
              <w:t>£0</w:t>
            </w:r>
            <w:r w:rsidR="00D53720" w:rsidRPr="00583C56">
              <w:rPr>
                <w:rFonts w:cs="Arial"/>
                <w:i/>
                <w:iCs/>
                <w:color w:val="000000"/>
                <w:szCs w:val="22"/>
                <w:lang w:eastAsia="en-GB"/>
              </w:rPr>
              <w:t>00</w:t>
            </w:r>
          </w:p>
        </w:tc>
        <w:tc>
          <w:tcPr>
            <w:tcW w:w="1559" w:type="dxa"/>
            <w:tcBorders>
              <w:top w:val="nil"/>
              <w:left w:val="single" w:sz="12" w:space="0" w:color="A8D08D"/>
              <w:bottom w:val="nil"/>
              <w:right w:val="nil"/>
            </w:tcBorders>
            <w:shd w:val="clear" w:color="auto" w:fill="auto"/>
            <w:vAlign w:val="center"/>
            <w:hideMark/>
          </w:tcPr>
          <w:p w14:paraId="5F253A5D" w14:textId="5FCE2C3A" w:rsidR="009C79C3" w:rsidRPr="00583C56" w:rsidRDefault="009C79C3" w:rsidP="009C79C3">
            <w:pPr>
              <w:jc w:val="center"/>
              <w:rPr>
                <w:rFonts w:cs="Arial"/>
                <w:i/>
                <w:iCs/>
                <w:color w:val="000000"/>
                <w:szCs w:val="22"/>
                <w:lang w:eastAsia="en-GB"/>
              </w:rPr>
            </w:pPr>
            <w:r w:rsidRPr="00583C56">
              <w:rPr>
                <w:rFonts w:cs="Arial"/>
                <w:i/>
                <w:iCs/>
                <w:color w:val="000000"/>
                <w:szCs w:val="22"/>
                <w:lang w:eastAsia="en-GB"/>
              </w:rPr>
              <w:t>£0</w:t>
            </w:r>
            <w:r w:rsidR="00D53720" w:rsidRPr="00583C56">
              <w:rPr>
                <w:rFonts w:cs="Arial"/>
                <w:i/>
                <w:iCs/>
                <w:color w:val="000000"/>
                <w:szCs w:val="22"/>
                <w:lang w:eastAsia="en-GB"/>
              </w:rPr>
              <w:t>00</w:t>
            </w:r>
          </w:p>
        </w:tc>
        <w:tc>
          <w:tcPr>
            <w:tcW w:w="1057" w:type="dxa"/>
            <w:tcBorders>
              <w:top w:val="nil"/>
              <w:left w:val="nil"/>
              <w:bottom w:val="nil"/>
              <w:right w:val="nil"/>
            </w:tcBorders>
            <w:shd w:val="clear" w:color="auto" w:fill="auto"/>
            <w:vAlign w:val="center"/>
            <w:hideMark/>
          </w:tcPr>
          <w:p w14:paraId="323CFAF2" w14:textId="038387D0" w:rsidR="009C79C3" w:rsidRPr="00583C56" w:rsidRDefault="009C79C3" w:rsidP="009C79C3">
            <w:pPr>
              <w:jc w:val="center"/>
              <w:rPr>
                <w:rFonts w:cs="Arial"/>
                <w:i/>
                <w:iCs/>
                <w:color w:val="000000"/>
                <w:szCs w:val="22"/>
                <w:lang w:eastAsia="en-GB"/>
              </w:rPr>
            </w:pPr>
            <w:r w:rsidRPr="00583C56">
              <w:rPr>
                <w:rFonts w:cs="Arial"/>
                <w:i/>
                <w:iCs/>
                <w:color w:val="000000"/>
                <w:szCs w:val="22"/>
                <w:lang w:eastAsia="en-GB"/>
              </w:rPr>
              <w:t>£0</w:t>
            </w:r>
            <w:r w:rsidR="00D53720" w:rsidRPr="00583C56">
              <w:rPr>
                <w:rFonts w:cs="Arial"/>
                <w:i/>
                <w:iCs/>
                <w:color w:val="000000"/>
                <w:szCs w:val="22"/>
                <w:lang w:eastAsia="en-GB"/>
              </w:rPr>
              <w:t>00</w:t>
            </w:r>
          </w:p>
        </w:tc>
        <w:tc>
          <w:tcPr>
            <w:tcW w:w="1603" w:type="dxa"/>
            <w:tcBorders>
              <w:top w:val="nil"/>
              <w:left w:val="nil"/>
              <w:bottom w:val="nil"/>
              <w:right w:val="single" w:sz="12" w:space="0" w:color="A8D08D"/>
            </w:tcBorders>
            <w:shd w:val="clear" w:color="auto" w:fill="auto"/>
            <w:vAlign w:val="center"/>
            <w:hideMark/>
          </w:tcPr>
          <w:p w14:paraId="6873E4BD" w14:textId="67FDE8C3" w:rsidR="009C79C3" w:rsidRPr="00583C56" w:rsidRDefault="009C79C3" w:rsidP="009C79C3">
            <w:pPr>
              <w:jc w:val="center"/>
              <w:rPr>
                <w:rFonts w:cs="Arial"/>
                <w:i/>
                <w:iCs/>
                <w:color w:val="000000"/>
                <w:szCs w:val="22"/>
                <w:lang w:eastAsia="en-GB"/>
              </w:rPr>
            </w:pPr>
            <w:r w:rsidRPr="00583C56">
              <w:rPr>
                <w:rFonts w:cs="Arial"/>
                <w:i/>
                <w:iCs/>
                <w:color w:val="000000"/>
                <w:szCs w:val="22"/>
                <w:lang w:eastAsia="en-GB"/>
              </w:rPr>
              <w:t>£0</w:t>
            </w:r>
            <w:r w:rsidR="00D53720" w:rsidRPr="00583C56">
              <w:rPr>
                <w:rFonts w:cs="Arial"/>
                <w:i/>
                <w:iCs/>
                <w:color w:val="000000"/>
                <w:szCs w:val="22"/>
                <w:lang w:eastAsia="en-GB"/>
              </w:rPr>
              <w:t>00</w:t>
            </w:r>
          </w:p>
        </w:tc>
      </w:tr>
      <w:tr w:rsidR="009C79C3" w:rsidRPr="00583C56" w14:paraId="08785FD0" w14:textId="77777777" w:rsidTr="00583C56">
        <w:trPr>
          <w:trHeight w:val="292"/>
        </w:trPr>
        <w:tc>
          <w:tcPr>
            <w:tcW w:w="2410" w:type="dxa"/>
            <w:tcBorders>
              <w:top w:val="nil"/>
              <w:left w:val="single" w:sz="12" w:space="0" w:color="A8D08D"/>
              <w:bottom w:val="nil"/>
              <w:right w:val="nil"/>
            </w:tcBorders>
            <w:shd w:val="clear" w:color="auto" w:fill="auto"/>
            <w:vAlign w:val="center"/>
            <w:hideMark/>
          </w:tcPr>
          <w:p w14:paraId="446D7A7B" w14:textId="77777777" w:rsidR="009C79C3" w:rsidRPr="00583C56" w:rsidRDefault="009C79C3" w:rsidP="009C79C3">
            <w:pPr>
              <w:rPr>
                <w:rFonts w:cs="Arial"/>
                <w:color w:val="000000"/>
                <w:szCs w:val="22"/>
                <w:lang w:eastAsia="en-GB"/>
              </w:rPr>
            </w:pPr>
            <w:r w:rsidRPr="00583C56">
              <w:rPr>
                <w:rFonts w:cs="Arial"/>
                <w:color w:val="000000"/>
                <w:szCs w:val="22"/>
                <w:lang w:eastAsia="en-GB"/>
              </w:rPr>
              <w:t>People</w:t>
            </w:r>
          </w:p>
        </w:tc>
        <w:tc>
          <w:tcPr>
            <w:tcW w:w="1559" w:type="dxa"/>
            <w:tcBorders>
              <w:top w:val="nil"/>
              <w:left w:val="single" w:sz="12" w:space="0" w:color="A8D08D"/>
              <w:bottom w:val="nil"/>
              <w:right w:val="nil"/>
            </w:tcBorders>
            <w:shd w:val="clear" w:color="auto" w:fill="auto"/>
            <w:vAlign w:val="center"/>
            <w:hideMark/>
          </w:tcPr>
          <w:p w14:paraId="3700A490"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35,267</w:t>
            </w:r>
          </w:p>
        </w:tc>
        <w:tc>
          <w:tcPr>
            <w:tcW w:w="993" w:type="dxa"/>
            <w:tcBorders>
              <w:top w:val="nil"/>
              <w:left w:val="nil"/>
              <w:bottom w:val="nil"/>
              <w:right w:val="nil"/>
            </w:tcBorders>
            <w:shd w:val="clear" w:color="auto" w:fill="auto"/>
            <w:vAlign w:val="center"/>
            <w:hideMark/>
          </w:tcPr>
          <w:p w14:paraId="2EB60706"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-16,557</w:t>
            </w:r>
          </w:p>
        </w:tc>
        <w:tc>
          <w:tcPr>
            <w:tcW w:w="1559" w:type="dxa"/>
            <w:tcBorders>
              <w:top w:val="nil"/>
              <w:left w:val="nil"/>
              <w:bottom w:val="nil"/>
              <w:right w:val="nil"/>
            </w:tcBorders>
            <w:shd w:val="clear" w:color="auto" w:fill="auto"/>
            <w:vAlign w:val="center"/>
            <w:hideMark/>
          </w:tcPr>
          <w:p w14:paraId="18383B70"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18,710</w:t>
            </w:r>
          </w:p>
        </w:tc>
        <w:tc>
          <w:tcPr>
            <w:tcW w:w="1603" w:type="dxa"/>
            <w:tcBorders>
              <w:top w:val="nil"/>
              <w:left w:val="single" w:sz="12" w:space="0" w:color="A8D08D"/>
              <w:bottom w:val="nil"/>
              <w:right w:val="nil"/>
            </w:tcBorders>
            <w:shd w:val="clear" w:color="auto" w:fill="auto"/>
            <w:vAlign w:val="center"/>
            <w:hideMark/>
          </w:tcPr>
          <w:p w14:paraId="404CEB63"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-1,557</w:t>
            </w:r>
          </w:p>
        </w:tc>
        <w:tc>
          <w:tcPr>
            <w:tcW w:w="1220" w:type="dxa"/>
            <w:tcBorders>
              <w:top w:val="nil"/>
              <w:left w:val="nil"/>
              <w:bottom w:val="nil"/>
              <w:right w:val="nil"/>
            </w:tcBorders>
            <w:shd w:val="clear" w:color="auto" w:fill="auto"/>
            <w:vAlign w:val="center"/>
            <w:hideMark/>
          </w:tcPr>
          <w:p w14:paraId="61EF1B8A"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1,557</w:t>
            </w:r>
          </w:p>
        </w:tc>
        <w:tc>
          <w:tcPr>
            <w:tcW w:w="1571" w:type="dxa"/>
            <w:tcBorders>
              <w:top w:val="nil"/>
              <w:left w:val="nil"/>
              <w:bottom w:val="nil"/>
              <w:right w:val="nil"/>
            </w:tcBorders>
            <w:shd w:val="clear" w:color="auto" w:fill="auto"/>
            <w:vAlign w:val="center"/>
            <w:hideMark/>
          </w:tcPr>
          <w:p w14:paraId="2D007086"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0</w:t>
            </w:r>
          </w:p>
        </w:tc>
        <w:tc>
          <w:tcPr>
            <w:tcW w:w="1559" w:type="dxa"/>
            <w:tcBorders>
              <w:top w:val="nil"/>
              <w:left w:val="single" w:sz="12" w:space="0" w:color="A8D08D"/>
              <w:bottom w:val="nil"/>
              <w:right w:val="nil"/>
            </w:tcBorders>
            <w:shd w:val="clear" w:color="auto" w:fill="auto"/>
            <w:vAlign w:val="center"/>
            <w:hideMark/>
          </w:tcPr>
          <w:p w14:paraId="04E99408"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33,710</w:t>
            </w:r>
          </w:p>
        </w:tc>
        <w:tc>
          <w:tcPr>
            <w:tcW w:w="1057" w:type="dxa"/>
            <w:tcBorders>
              <w:top w:val="nil"/>
              <w:left w:val="nil"/>
              <w:bottom w:val="nil"/>
              <w:right w:val="nil"/>
            </w:tcBorders>
            <w:shd w:val="clear" w:color="auto" w:fill="auto"/>
            <w:vAlign w:val="center"/>
            <w:hideMark/>
          </w:tcPr>
          <w:p w14:paraId="0FE0B819"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-15,000</w:t>
            </w:r>
          </w:p>
        </w:tc>
        <w:tc>
          <w:tcPr>
            <w:tcW w:w="1603" w:type="dxa"/>
            <w:tcBorders>
              <w:top w:val="nil"/>
              <w:left w:val="nil"/>
              <w:bottom w:val="nil"/>
              <w:right w:val="single" w:sz="12" w:space="0" w:color="A8D08D"/>
            </w:tcBorders>
            <w:shd w:val="clear" w:color="auto" w:fill="auto"/>
            <w:vAlign w:val="center"/>
            <w:hideMark/>
          </w:tcPr>
          <w:p w14:paraId="3B034B9B"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18,710</w:t>
            </w:r>
          </w:p>
        </w:tc>
      </w:tr>
      <w:tr w:rsidR="009C79C3" w:rsidRPr="00583C56" w14:paraId="67D588A9" w14:textId="77777777" w:rsidTr="00583C56">
        <w:trPr>
          <w:trHeight w:val="292"/>
        </w:trPr>
        <w:tc>
          <w:tcPr>
            <w:tcW w:w="2410" w:type="dxa"/>
            <w:tcBorders>
              <w:top w:val="nil"/>
              <w:left w:val="single" w:sz="12" w:space="0" w:color="A8D08D"/>
              <w:bottom w:val="nil"/>
              <w:right w:val="nil"/>
            </w:tcBorders>
            <w:shd w:val="clear" w:color="auto" w:fill="auto"/>
            <w:vAlign w:val="center"/>
            <w:hideMark/>
          </w:tcPr>
          <w:p w14:paraId="0D0074A0" w14:textId="77777777" w:rsidR="009C79C3" w:rsidRPr="00583C56" w:rsidRDefault="009C79C3" w:rsidP="009C79C3">
            <w:pPr>
              <w:rPr>
                <w:rFonts w:cs="Arial"/>
                <w:color w:val="000000"/>
                <w:szCs w:val="22"/>
                <w:lang w:eastAsia="en-GB"/>
              </w:rPr>
            </w:pPr>
            <w:r w:rsidRPr="00583C56">
              <w:rPr>
                <w:rFonts w:cs="Arial"/>
                <w:color w:val="000000"/>
                <w:szCs w:val="22"/>
                <w:lang w:eastAsia="en-GB"/>
              </w:rPr>
              <w:t>Places</w:t>
            </w:r>
          </w:p>
        </w:tc>
        <w:tc>
          <w:tcPr>
            <w:tcW w:w="1559" w:type="dxa"/>
            <w:tcBorders>
              <w:top w:val="nil"/>
              <w:left w:val="single" w:sz="12" w:space="0" w:color="A8D08D"/>
              <w:bottom w:val="nil"/>
              <w:right w:val="nil"/>
            </w:tcBorders>
            <w:shd w:val="clear" w:color="auto" w:fill="auto"/>
            <w:vAlign w:val="center"/>
            <w:hideMark/>
          </w:tcPr>
          <w:p w14:paraId="6586CB3B"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16,406</w:t>
            </w:r>
          </w:p>
        </w:tc>
        <w:tc>
          <w:tcPr>
            <w:tcW w:w="993" w:type="dxa"/>
            <w:tcBorders>
              <w:top w:val="nil"/>
              <w:left w:val="nil"/>
              <w:bottom w:val="nil"/>
              <w:right w:val="nil"/>
            </w:tcBorders>
            <w:shd w:val="clear" w:color="auto" w:fill="auto"/>
            <w:vAlign w:val="center"/>
            <w:hideMark/>
          </w:tcPr>
          <w:p w14:paraId="7F2F7D9B"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-4,340</w:t>
            </w:r>
          </w:p>
        </w:tc>
        <w:tc>
          <w:tcPr>
            <w:tcW w:w="1559" w:type="dxa"/>
            <w:tcBorders>
              <w:top w:val="nil"/>
              <w:left w:val="nil"/>
              <w:bottom w:val="nil"/>
              <w:right w:val="nil"/>
            </w:tcBorders>
            <w:shd w:val="clear" w:color="auto" w:fill="auto"/>
            <w:vAlign w:val="center"/>
            <w:hideMark/>
          </w:tcPr>
          <w:p w14:paraId="5BF2A815"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12,066</w:t>
            </w:r>
          </w:p>
        </w:tc>
        <w:tc>
          <w:tcPr>
            <w:tcW w:w="1603" w:type="dxa"/>
            <w:tcBorders>
              <w:top w:val="nil"/>
              <w:left w:val="single" w:sz="12" w:space="0" w:color="A8D08D"/>
              <w:bottom w:val="nil"/>
              <w:right w:val="nil"/>
            </w:tcBorders>
            <w:shd w:val="clear" w:color="auto" w:fill="auto"/>
            <w:vAlign w:val="center"/>
            <w:hideMark/>
          </w:tcPr>
          <w:p w14:paraId="07270260"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-487</w:t>
            </w:r>
          </w:p>
        </w:tc>
        <w:tc>
          <w:tcPr>
            <w:tcW w:w="1220" w:type="dxa"/>
            <w:tcBorders>
              <w:top w:val="nil"/>
              <w:left w:val="nil"/>
              <w:bottom w:val="nil"/>
              <w:right w:val="nil"/>
            </w:tcBorders>
            <w:shd w:val="clear" w:color="auto" w:fill="auto"/>
            <w:vAlign w:val="center"/>
            <w:hideMark/>
          </w:tcPr>
          <w:p w14:paraId="7E92E10E"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487</w:t>
            </w:r>
          </w:p>
        </w:tc>
        <w:tc>
          <w:tcPr>
            <w:tcW w:w="1571" w:type="dxa"/>
            <w:tcBorders>
              <w:top w:val="nil"/>
              <w:left w:val="nil"/>
              <w:bottom w:val="nil"/>
              <w:right w:val="nil"/>
            </w:tcBorders>
            <w:shd w:val="clear" w:color="auto" w:fill="auto"/>
            <w:vAlign w:val="center"/>
            <w:hideMark/>
          </w:tcPr>
          <w:p w14:paraId="63D0E187"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0</w:t>
            </w:r>
          </w:p>
        </w:tc>
        <w:tc>
          <w:tcPr>
            <w:tcW w:w="1559" w:type="dxa"/>
            <w:tcBorders>
              <w:top w:val="nil"/>
              <w:left w:val="single" w:sz="12" w:space="0" w:color="A8D08D"/>
              <w:bottom w:val="nil"/>
              <w:right w:val="nil"/>
            </w:tcBorders>
            <w:shd w:val="clear" w:color="auto" w:fill="auto"/>
            <w:vAlign w:val="center"/>
            <w:hideMark/>
          </w:tcPr>
          <w:p w14:paraId="5F68D33B"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15,919</w:t>
            </w:r>
          </w:p>
        </w:tc>
        <w:tc>
          <w:tcPr>
            <w:tcW w:w="1057" w:type="dxa"/>
            <w:tcBorders>
              <w:top w:val="nil"/>
              <w:left w:val="nil"/>
              <w:bottom w:val="nil"/>
              <w:right w:val="nil"/>
            </w:tcBorders>
            <w:shd w:val="clear" w:color="auto" w:fill="auto"/>
            <w:vAlign w:val="center"/>
            <w:hideMark/>
          </w:tcPr>
          <w:p w14:paraId="537C5A72"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-3,853</w:t>
            </w:r>
          </w:p>
        </w:tc>
        <w:tc>
          <w:tcPr>
            <w:tcW w:w="1603" w:type="dxa"/>
            <w:tcBorders>
              <w:top w:val="nil"/>
              <w:left w:val="nil"/>
              <w:bottom w:val="nil"/>
              <w:right w:val="single" w:sz="12" w:space="0" w:color="A8D08D"/>
            </w:tcBorders>
            <w:shd w:val="clear" w:color="auto" w:fill="auto"/>
            <w:vAlign w:val="center"/>
            <w:hideMark/>
          </w:tcPr>
          <w:p w14:paraId="64A6A359"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12,066</w:t>
            </w:r>
          </w:p>
        </w:tc>
      </w:tr>
      <w:tr w:rsidR="009C79C3" w:rsidRPr="00583C56" w14:paraId="323477FC" w14:textId="77777777" w:rsidTr="00583C56">
        <w:trPr>
          <w:trHeight w:val="292"/>
        </w:trPr>
        <w:tc>
          <w:tcPr>
            <w:tcW w:w="2410" w:type="dxa"/>
            <w:tcBorders>
              <w:top w:val="nil"/>
              <w:left w:val="single" w:sz="12" w:space="0" w:color="A8D08D"/>
              <w:bottom w:val="nil"/>
              <w:right w:val="nil"/>
            </w:tcBorders>
            <w:shd w:val="clear" w:color="auto" w:fill="auto"/>
            <w:vAlign w:val="center"/>
            <w:hideMark/>
          </w:tcPr>
          <w:p w14:paraId="05E8BADA" w14:textId="77777777" w:rsidR="009C79C3" w:rsidRPr="00583C56" w:rsidRDefault="009C79C3" w:rsidP="009C79C3">
            <w:pPr>
              <w:rPr>
                <w:rFonts w:cs="Arial"/>
                <w:color w:val="000000"/>
                <w:szCs w:val="22"/>
                <w:lang w:eastAsia="en-GB"/>
              </w:rPr>
            </w:pPr>
            <w:r w:rsidRPr="00583C56">
              <w:rPr>
                <w:rFonts w:cs="Arial"/>
                <w:color w:val="000000"/>
                <w:szCs w:val="22"/>
                <w:lang w:eastAsia="en-GB"/>
              </w:rPr>
              <w:t>Resources</w:t>
            </w:r>
          </w:p>
        </w:tc>
        <w:tc>
          <w:tcPr>
            <w:tcW w:w="1559" w:type="dxa"/>
            <w:tcBorders>
              <w:top w:val="nil"/>
              <w:left w:val="single" w:sz="12" w:space="0" w:color="A8D08D"/>
              <w:bottom w:val="nil"/>
              <w:right w:val="nil"/>
            </w:tcBorders>
            <w:shd w:val="clear" w:color="auto" w:fill="auto"/>
            <w:vAlign w:val="center"/>
            <w:hideMark/>
          </w:tcPr>
          <w:p w14:paraId="4C54EF8C"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11,707</w:t>
            </w:r>
          </w:p>
        </w:tc>
        <w:tc>
          <w:tcPr>
            <w:tcW w:w="993" w:type="dxa"/>
            <w:tcBorders>
              <w:top w:val="nil"/>
              <w:left w:val="nil"/>
              <w:bottom w:val="nil"/>
              <w:right w:val="nil"/>
            </w:tcBorders>
            <w:shd w:val="clear" w:color="auto" w:fill="auto"/>
            <w:vAlign w:val="center"/>
            <w:hideMark/>
          </w:tcPr>
          <w:p w14:paraId="7176AA18"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-5,467</w:t>
            </w:r>
          </w:p>
        </w:tc>
        <w:tc>
          <w:tcPr>
            <w:tcW w:w="1559" w:type="dxa"/>
            <w:tcBorders>
              <w:top w:val="nil"/>
              <w:left w:val="nil"/>
              <w:bottom w:val="nil"/>
              <w:right w:val="nil"/>
            </w:tcBorders>
            <w:shd w:val="clear" w:color="auto" w:fill="auto"/>
            <w:vAlign w:val="center"/>
            <w:hideMark/>
          </w:tcPr>
          <w:p w14:paraId="70684B8F"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6,240</w:t>
            </w:r>
          </w:p>
        </w:tc>
        <w:tc>
          <w:tcPr>
            <w:tcW w:w="1603" w:type="dxa"/>
            <w:tcBorders>
              <w:top w:val="nil"/>
              <w:left w:val="single" w:sz="12" w:space="0" w:color="A8D08D"/>
              <w:bottom w:val="nil"/>
              <w:right w:val="nil"/>
            </w:tcBorders>
            <w:shd w:val="clear" w:color="auto" w:fill="auto"/>
            <w:vAlign w:val="center"/>
            <w:hideMark/>
          </w:tcPr>
          <w:p w14:paraId="6C279C11"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-23</w:t>
            </w:r>
          </w:p>
        </w:tc>
        <w:tc>
          <w:tcPr>
            <w:tcW w:w="1220" w:type="dxa"/>
            <w:tcBorders>
              <w:top w:val="nil"/>
              <w:left w:val="nil"/>
              <w:bottom w:val="nil"/>
              <w:right w:val="nil"/>
            </w:tcBorders>
            <w:shd w:val="clear" w:color="auto" w:fill="auto"/>
            <w:vAlign w:val="center"/>
            <w:hideMark/>
          </w:tcPr>
          <w:p w14:paraId="469B2067"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23</w:t>
            </w:r>
          </w:p>
        </w:tc>
        <w:tc>
          <w:tcPr>
            <w:tcW w:w="1571" w:type="dxa"/>
            <w:tcBorders>
              <w:top w:val="nil"/>
              <w:left w:val="nil"/>
              <w:bottom w:val="nil"/>
              <w:right w:val="nil"/>
            </w:tcBorders>
            <w:shd w:val="clear" w:color="auto" w:fill="auto"/>
            <w:vAlign w:val="center"/>
            <w:hideMark/>
          </w:tcPr>
          <w:p w14:paraId="4836DC5F"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0</w:t>
            </w:r>
          </w:p>
        </w:tc>
        <w:tc>
          <w:tcPr>
            <w:tcW w:w="1559" w:type="dxa"/>
            <w:tcBorders>
              <w:top w:val="nil"/>
              <w:left w:val="single" w:sz="12" w:space="0" w:color="A8D08D"/>
              <w:bottom w:val="nil"/>
              <w:right w:val="nil"/>
            </w:tcBorders>
            <w:shd w:val="clear" w:color="auto" w:fill="auto"/>
            <w:vAlign w:val="center"/>
            <w:hideMark/>
          </w:tcPr>
          <w:p w14:paraId="7BB0F0E4"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11,684</w:t>
            </w:r>
          </w:p>
        </w:tc>
        <w:tc>
          <w:tcPr>
            <w:tcW w:w="1057" w:type="dxa"/>
            <w:tcBorders>
              <w:top w:val="nil"/>
              <w:left w:val="nil"/>
              <w:bottom w:val="nil"/>
              <w:right w:val="nil"/>
            </w:tcBorders>
            <w:shd w:val="clear" w:color="auto" w:fill="auto"/>
            <w:vAlign w:val="center"/>
            <w:hideMark/>
          </w:tcPr>
          <w:p w14:paraId="4E164680"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-5,444</w:t>
            </w:r>
          </w:p>
        </w:tc>
        <w:tc>
          <w:tcPr>
            <w:tcW w:w="1603" w:type="dxa"/>
            <w:tcBorders>
              <w:top w:val="nil"/>
              <w:left w:val="nil"/>
              <w:bottom w:val="nil"/>
              <w:right w:val="single" w:sz="12" w:space="0" w:color="A8D08D"/>
            </w:tcBorders>
            <w:shd w:val="clear" w:color="auto" w:fill="auto"/>
            <w:vAlign w:val="center"/>
            <w:hideMark/>
          </w:tcPr>
          <w:p w14:paraId="479B7717"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6,240</w:t>
            </w:r>
          </w:p>
        </w:tc>
      </w:tr>
      <w:tr w:rsidR="009C79C3" w:rsidRPr="00583C56" w14:paraId="0418043C" w14:textId="77777777" w:rsidTr="00583C56">
        <w:trPr>
          <w:trHeight w:val="292"/>
        </w:trPr>
        <w:tc>
          <w:tcPr>
            <w:tcW w:w="2410" w:type="dxa"/>
            <w:tcBorders>
              <w:top w:val="nil"/>
              <w:left w:val="single" w:sz="12" w:space="0" w:color="A8D08D"/>
              <w:bottom w:val="nil"/>
              <w:right w:val="nil"/>
            </w:tcBorders>
            <w:shd w:val="clear" w:color="auto" w:fill="auto"/>
            <w:vAlign w:val="center"/>
            <w:hideMark/>
          </w:tcPr>
          <w:p w14:paraId="33382E80" w14:textId="77777777" w:rsidR="009C79C3" w:rsidRPr="00583C56" w:rsidRDefault="009C79C3" w:rsidP="009C79C3">
            <w:pPr>
              <w:rPr>
                <w:rFonts w:cs="Arial"/>
                <w:b/>
                <w:bCs/>
                <w:color w:val="000000"/>
                <w:szCs w:val="22"/>
                <w:lang w:eastAsia="en-GB"/>
              </w:rPr>
            </w:pPr>
            <w:r w:rsidRPr="00583C56">
              <w:rPr>
                <w:rFonts w:cs="Arial"/>
                <w:b/>
                <w:bCs/>
                <w:color w:val="000000"/>
                <w:szCs w:val="22"/>
                <w:lang w:eastAsia="en-GB"/>
              </w:rPr>
              <w:t>Cost of Services</w:t>
            </w:r>
          </w:p>
        </w:tc>
        <w:tc>
          <w:tcPr>
            <w:tcW w:w="1559" w:type="dxa"/>
            <w:tcBorders>
              <w:top w:val="nil"/>
              <w:left w:val="single" w:sz="12" w:space="0" w:color="A8D08D"/>
              <w:bottom w:val="nil"/>
              <w:right w:val="nil"/>
            </w:tcBorders>
            <w:shd w:val="clear" w:color="auto" w:fill="auto"/>
            <w:vAlign w:val="center"/>
            <w:hideMark/>
          </w:tcPr>
          <w:p w14:paraId="0D5CA3D1"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63,380</w:t>
            </w:r>
          </w:p>
        </w:tc>
        <w:tc>
          <w:tcPr>
            <w:tcW w:w="993" w:type="dxa"/>
            <w:tcBorders>
              <w:top w:val="nil"/>
              <w:left w:val="nil"/>
              <w:bottom w:val="nil"/>
              <w:right w:val="nil"/>
            </w:tcBorders>
            <w:shd w:val="clear" w:color="auto" w:fill="auto"/>
            <w:vAlign w:val="center"/>
            <w:hideMark/>
          </w:tcPr>
          <w:p w14:paraId="36054F0F"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-26,364</w:t>
            </w:r>
          </w:p>
        </w:tc>
        <w:tc>
          <w:tcPr>
            <w:tcW w:w="1559" w:type="dxa"/>
            <w:tcBorders>
              <w:top w:val="nil"/>
              <w:left w:val="nil"/>
              <w:bottom w:val="nil"/>
              <w:right w:val="nil"/>
            </w:tcBorders>
            <w:shd w:val="clear" w:color="auto" w:fill="auto"/>
            <w:vAlign w:val="center"/>
            <w:hideMark/>
          </w:tcPr>
          <w:p w14:paraId="04B6CCE4"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37,016</w:t>
            </w:r>
          </w:p>
        </w:tc>
        <w:tc>
          <w:tcPr>
            <w:tcW w:w="1603" w:type="dxa"/>
            <w:tcBorders>
              <w:top w:val="nil"/>
              <w:left w:val="single" w:sz="12" w:space="0" w:color="A8D08D"/>
              <w:bottom w:val="nil"/>
              <w:right w:val="nil"/>
            </w:tcBorders>
            <w:shd w:val="clear" w:color="auto" w:fill="auto"/>
            <w:vAlign w:val="center"/>
            <w:hideMark/>
          </w:tcPr>
          <w:p w14:paraId="73DF0384"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-2,067</w:t>
            </w:r>
          </w:p>
        </w:tc>
        <w:tc>
          <w:tcPr>
            <w:tcW w:w="1220" w:type="dxa"/>
            <w:tcBorders>
              <w:top w:val="nil"/>
              <w:left w:val="nil"/>
              <w:bottom w:val="nil"/>
              <w:right w:val="nil"/>
            </w:tcBorders>
            <w:shd w:val="clear" w:color="auto" w:fill="auto"/>
            <w:vAlign w:val="center"/>
            <w:hideMark/>
          </w:tcPr>
          <w:p w14:paraId="4D96E41A"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2,067</w:t>
            </w:r>
          </w:p>
        </w:tc>
        <w:tc>
          <w:tcPr>
            <w:tcW w:w="1571" w:type="dxa"/>
            <w:tcBorders>
              <w:top w:val="nil"/>
              <w:left w:val="nil"/>
              <w:bottom w:val="nil"/>
              <w:right w:val="nil"/>
            </w:tcBorders>
            <w:shd w:val="clear" w:color="auto" w:fill="auto"/>
            <w:vAlign w:val="center"/>
            <w:hideMark/>
          </w:tcPr>
          <w:p w14:paraId="30B98ABE"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0</w:t>
            </w:r>
          </w:p>
        </w:tc>
        <w:tc>
          <w:tcPr>
            <w:tcW w:w="1559" w:type="dxa"/>
            <w:tcBorders>
              <w:top w:val="nil"/>
              <w:left w:val="single" w:sz="12" w:space="0" w:color="A8D08D"/>
              <w:bottom w:val="nil"/>
              <w:right w:val="nil"/>
            </w:tcBorders>
            <w:shd w:val="clear" w:color="auto" w:fill="auto"/>
            <w:vAlign w:val="center"/>
            <w:hideMark/>
          </w:tcPr>
          <w:p w14:paraId="590C77EF"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61,313</w:t>
            </w:r>
          </w:p>
        </w:tc>
        <w:tc>
          <w:tcPr>
            <w:tcW w:w="1057" w:type="dxa"/>
            <w:tcBorders>
              <w:top w:val="nil"/>
              <w:left w:val="nil"/>
              <w:bottom w:val="nil"/>
              <w:right w:val="nil"/>
            </w:tcBorders>
            <w:shd w:val="clear" w:color="auto" w:fill="auto"/>
            <w:vAlign w:val="center"/>
            <w:hideMark/>
          </w:tcPr>
          <w:p w14:paraId="4E61EEA7"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-24,297</w:t>
            </w:r>
          </w:p>
        </w:tc>
        <w:tc>
          <w:tcPr>
            <w:tcW w:w="1603" w:type="dxa"/>
            <w:tcBorders>
              <w:top w:val="nil"/>
              <w:left w:val="nil"/>
              <w:bottom w:val="nil"/>
              <w:right w:val="single" w:sz="12" w:space="0" w:color="A8D08D"/>
            </w:tcBorders>
            <w:shd w:val="clear" w:color="auto" w:fill="auto"/>
            <w:vAlign w:val="center"/>
            <w:hideMark/>
          </w:tcPr>
          <w:p w14:paraId="1E0D6CEA"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37,016</w:t>
            </w:r>
          </w:p>
        </w:tc>
      </w:tr>
      <w:tr w:rsidR="009C79C3" w:rsidRPr="00583C56" w14:paraId="4072BB36" w14:textId="77777777" w:rsidTr="00583C56">
        <w:trPr>
          <w:trHeight w:val="142"/>
        </w:trPr>
        <w:tc>
          <w:tcPr>
            <w:tcW w:w="2410" w:type="dxa"/>
            <w:tcBorders>
              <w:top w:val="nil"/>
              <w:left w:val="single" w:sz="12" w:space="0" w:color="A8D08D"/>
              <w:bottom w:val="nil"/>
              <w:right w:val="nil"/>
            </w:tcBorders>
            <w:shd w:val="clear" w:color="auto" w:fill="auto"/>
            <w:vAlign w:val="center"/>
            <w:hideMark/>
          </w:tcPr>
          <w:p w14:paraId="28672041" w14:textId="77777777" w:rsidR="009C79C3" w:rsidRPr="00583C56" w:rsidRDefault="009C79C3" w:rsidP="009C79C3">
            <w:pPr>
              <w:jc w:val="right"/>
              <w:rPr>
                <w:rFonts w:cs="Arial"/>
                <w:b/>
                <w:bCs/>
                <w:i/>
                <w:iCs/>
                <w:color w:val="000000"/>
                <w:szCs w:val="22"/>
                <w:lang w:eastAsia="en-GB"/>
              </w:rPr>
            </w:pPr>
          </w:p>
        </w:tc>
        <w:tc>
          <w:tcPr>
            <w:tcW w:w="1559" w:type="dxa"/>
            <w:tcBorders>
              <w:top w:val="nil"/>
              <w:left w:val="single" w:sz="12" w:space="0" w:color="A8D08D"/>
              <w:bottom w:val="nil"/>
              <w:right w:val="nil"/>
            </w:tcBorders>
            <w:shd w:val="clear" w:color="auto" w:fill="auto"/>
            <w:vAlign w:val="center"/>
            <w:hideMark/>
          </w:tcPr>
          <w:p w14:paraId="174D28C5" w14:textId="77777777" w:rsidR="009C79C3" w:rsidRPr="00583C56" w:rsidRDefault="009C79C3" w:rsidP="009C79C3">
            <w:pPr>
              <w:rPr>
                <w:rFonts w:cs="Arial"/>
                <w:i/>
                <w:iCs/>
                <w:color w:val="000000"/>
                <w:szCs w:val="22"/>
                <w:lang w:eastAsia="en-GB"/>
              </w:rPr>
            </w:pPr>
            <w:r w:rsidRPr="00583C56">
              <w:rPr>
                <w:rFonts w:cs="Arial"/>
                <w:i/>
                <w:iCs/>
                <w:color w:val="000000"/>
                <w:szCs w:val="22"/>
                <w:lang w:eastAsia="en-GB"/>
              </w:rPr>
              <w:t> </w:t>
            </w:r>
          </w:p>
        </w:tc>
        <w:tc>
          <w:tcPr>
            <w:tcW w:w="993" w:type="dxa"/>
            <w:tcBorders>
              <w:top w:val="nil"/>
              <w:left w:val="nil"/>
              <w:bottom w:val="nil"/>
              <w:right w:val="nil"/>
            </w:tcBorders>
            <w:shd w:val="clear" w:color="auto" w:fill="auto"/>
            <w:vAlign w:val="center"/>
            <w:hideMark/>
          </w:tcPr>
          <w:p w14:paraId="0621C82A" w14:textId="77777777" w:rsidR="009C79C3" w:rsidRPr="00583C56" w:rsidRDefault="009C79C3" w:rsidP="009C79C3">
            <w:pPr>
              <w:rPr>
                <w:rFonts w:cs="Arial"/>
                <w:i/>
                <w:iCs/>
                <w:color w:val="000000"/>
                <w:szCs w:val="22"/>
                <w:lang w:eastAsia="en-GB"/>
              </w:rPr>
            </w:pPr>
          </w:p>
        </w:tc>
        <w:tc>
          <w:tcPr>
            <w:tcW w:w="1559" w:type="dxa"/>
            <w:tcBorders>
              <w:top w:val="nil"/>
              <w:left w:val="nil"/>
              <w:bottom w:val="nil"/>
              <w:right w:val="nil"/>
            </w:tcBorders>
            <w:shd w:val="clear" w:color="auto" w:fill="auto"/>
            <w:vAlign w:val="center"/>
            <w:hideMark/>
          </w:tcPr>
          <w:p w14:paraId="5908A861" w14:textId="77777777" w:rsidR="009C79C3" w:rsidRPr="00583C56" w:rsidRDefault="009C79C3" w:rsidP="009C79C3">
            <w:pPr>
              <w:rPr>
                <w:rFonts w:cs="Arial"/>
                <w:szCs w:val="22"/>
                <w:lang w:eastAsia="en-GB"/>
              </w:rPr>
            </w:pPr>
          </w:p>
        </w:tc>
        <w:tc>
          <w:tcPr>
            <w:tcW w:w="1603" w:type="dxa"/>
            <w:tcBorders>
              <w:top w:val="nil"/>
              <w:left w:val="single" w:sz="12" w:space="0" w:color="A8D08D"/>
              <w:bottom w:val="nil"/>
              <w:right w:val="nil"/>
            </w:tcBorders>
            <w:shd w:val="clear" w:color="auto" w:fill="auto"/>
            <w:vAlign w:val="center"/>
            <w:hideMark/>
          </w:tcPr>
          <w:p w14:paraId="3C308920" w14:textId="77777777" w:rsidR="009C79C3" w:rsidRPr="00583C56" w:rsidRDefault="009C79C3" w:rsidP="009C79C3">
            <w:pPr>
              <w:rPr>
                <w:rFonts w:cs="Arial"/>
                <w:i/>
                <w:iCs/>
                <w:color w:val="000000"/>
                <w:szCs w:val="22"/>
                <w:lang w:eastAsia="en-GB"/>
              </w:rPr>
            </w:pPr>
            <w:r w:rsidRPr="00583C56">
              <w:rPr>
                <w:rFonts w:cs="Arial"/>
                <w:i/>
                <w:iCs/>
                <w:color w:val="000000"/>
                <w:szCs w:val="22"/>
                <w:lang w:eastAsia="en-GB"/>
              </w:rPr>
              <w:t> </w:t>
            </w:r>
          </w:p>
        </w:tc>
        <w:tc>
          <w:tcPr>
            <w:tcW w:w="1220" w:type="dxa"/>
            <w:tcBorders>
              <w:top w:val="nil"/>
              <w:left w:val="nil"/>
              <w:bottom w:val="nil"/>
              <w:right w:val="nil"/>
            </w:tcBorders>
            <w:shd w:val="clear" w:color="auto" w:fill="auto"/>
            <w:vAlign w:val="center"/>
            <w:hideMark/>
          </w:tcPr>
          <w:p w14:paraId="2D095C14" w14:textId="77777777" w:rsidR="009C79C3" w:rsidRPr="00583C56" w:rsidRDefault="009C79C3" w:rsidP="009C79C3">
            <w:pPr>
              <w:rPr>
                <w:rFonts w:cs="Arial"/>
                <w:i/>
                <w:iCs/>
                <w:color w:val="000000"/>
                <w:szCs w:val="22"/>
                <w:lang w:eastAsia="en-GB"/>
              </w:rPr>
            </w:pPr>
          </w:p>
        </w:tc>
        <w:tc>
          <w:tcPr>
            <w:tcW w:w="1571" w:type="dxa"/>
            <w:tcBorders>
              <w:top w:val="nil"/>
              <w:left w:val="nil"/>
              <w:bottom w:val="nil"/>
              <w:right w:val="nil"/>
            </w:tcBorders>
            <w:shd w:val="clear" w:color="auto" w:fill="auto"/>
            <w:vAlign w:val="center"/>
            <w:hideMark/>
          </w:tcPr>
          <w:p w14:paraId="5B1E41BB" w14:textId="77777777" w:rsidR="009C79C3" w:rsidRPr="00583C56" w:rsidRDefault="009C79C3" w:rsidP="009C79C3">
            <w:pPr>
              <w:rPr>
                <w:rFonts w:cs="Arial"/>
                <w:szCs w:val="22"/>
                <w:lang w:eastAsia="en-GB"/>
              </w:rPr>
            </w:pPr>
          </w:p>
        </w:tc>
        <w:tc>
          <w:tcPr>
            <w:tcW w:w="1559" w:type="dxa"/>
            <w:tcBorders>
              <w:top w:val="nil"/>
              <w:left w:val="single" w:sz="12" w:space="0" w:color="A8D08D"/>
              <w:bottom w:val="nil"/>
              <w:right w:val="nil"/>
            </w:tcBorders>
            <w:shd w:val="clear" w:color="auto" w:fill="auto"/>
            <w:vAlign w:val="center"/>
            <w:hideMark/>
          </w:tcPr>
          <w:p w14:paraId="32CC944D" w14:textId="77777777" w:rsidR="009C79C3" w:rsidRPr="00583C56" w:rsidRDefault="009C79C3" w:rsidP="009C79C3">
            <w:pPr>
              <w:rPr>
                <w:rFonts w:cs="Arial"/>
                <w:i/>
                <w:iCs/>
                <w:color w:val="000000"/>
                <w:szCs w:val="22"/>
                <w:lang w:eastAsia="en-GB"/>
              </w:rPr>
            </w:pPr>
            <w:r w:rsidRPr="00583C56">
              <w:rPr>
                <w:rFonts w:cs="Arial"/>
                <w:i/>
                <w:iCs/>
                <w:color w:val="000000"/>
                <w:szCs w:val="22"/>
                <w:lang w:eastAsia="en-GB"/>
              </w:rPr>
              <w:t> </w:t>
            </w:r>
          </w:p>
        </w:tc>
        <w:tc>
          <w:tcPr>
            <w:tcW w:w="1057" w:type="dxa"/>
            <w:tcBorders>
              <w:top w:val="nil"/>
              <w:left w:val="nil"/>
              <w:bottom w:val="nil"/>
              <w:right w:val="nil"/>
            </w:tcBorders>
            <w:shd w:val="clear" w:color="auto" w:fill="auto"/>
            <w:vAlign w:val="center"/>
            <w:hideMark/>
          </w:tcPr>
          <w:p w14:paraId="6D6220FE" w14:textId="77777777" w:rsidR="009C79C3" w:rsidRPr="00583C56" w:rsidRDefault="009C79C3" w:rsidP="009C79C3">
            <w:pPr>
              <w:rPr>
                <w:rFonts w:cs="Arial"/>
                <w:i/>
                <w:iCs/>
                <w:color w:val="000000"/>
                <w:szCs w:val="22"/>
                <w:lang w:eastAsia="en-GB"/>
              </w:rPr>
            </w:pPr>
          </w:p>
        </w:tc>
        <w:tc>
          <w:tcPr>
            <w:tcW w:w="1603" w:type="dxa"/>
            <w:tcBorders>
              <w:top w:val="nil"/>
              <w:left w:val="nil"/>
              <w:bottom w:val="nil"/>
              <w:right w:val="single" w:sz="12" w:space="0" w:color="A8D08D"/>
            </w:tcBorders>
            <w:shd w:val="clear" w:color="auto" w:fill="auto"/>
            <w:vAlign w:val="center"/>
            <w:hideMark/>
          </w:tcPr>
          <w:p w14:paraId="68989400" w14:textId="77777777" w:rsidR="009C79C3" w:rsidRPr="00583C56" w:rsidRDefault="009C79C3" w:rsidP="009C79C3">
            <w:pPr>
              <w:rPr>
                <w:rFonts w:cs="Arial"/>
                <w:i/>
                <w:iCs/>
                <w:color w:val="000000"/>
                <w:szCs w:val="22"/>
                <w:lang w:eastAsia="en-GB"/>
              </w:rPr>
            </w:pPr>
            <w:r w:rsidRPr="00583C56">
              <w:rPr>
                <w:rFonts w:cs="Arial"/>
                <w:i/>
                <w:iCs/>
                <w:color w:val="000000"/>
                <w:szCs w:val="22"/>
                <w:lang w:eastAsia="en-GB"/>
              </w:rPr>
              <w:t> </w:t>
            </w:r>
          </w:p>
        </w:tc>
      </w:tr>
      <w:tr w:rsidR="009C79C3" w:rsidRPr="00583C56" w14:paraId="4B4A842A" w14:textId="77777777" w:rsidTr="00583C56">
        <w:trPr>
          <w:trHeight w:val="292"/>
        </w:trPr>
        <w:tc>
          <w:tcPr>
            <w:tcW w:w="2410" w:type="dxa"/>
            <w:tcBorders>
              <w:top w:val="nil"/>
              <w:left w:val="single" w:sz="12" w:space="0" w:color="A8D08D"/>
              <w:bottom w:val="nil"/>
              <w:right w:val="nil"/>
            </w:tcBorders>
            <w:shd w:val="clear" w:color="auto" w:fill="auto"/>
            <w:vAlign w:val="center"/>
            <w:hideMark/>
          </w:tcPr>
          <w:p w14:paraId="0C84E016" w14:textId="77777777" w:rsidR="009C79C3" w:rsidRPr="00583C56" w:rsidRDefault="009C79C3" w:rsidP="009C79C3">
            <w:pPr>
              <w:rPr>
                <w:rFonts w:cs="Arial"/>
                <w:color w:val="000000"/>
                <w:szCs w:val="22"/>
                <w:lang w:eastAsia="en-GB"/>
              </w:rPr>
            </w:pPr>
            <w:r w:rsidRPr="00583C56">
              <w:rPr>
                <w:rFonts w:cs="Arial"/>
                <w:color w:val="000000"/>
                <w:szCs w:val="22"/>
                <w:lang w:eastAsia="en-GB"/>
              </w:rPr>
              <w:t>Other Operating Expenditure</w:t>
            </w:r>
          </w:p>
        </w:tc>
        <w:tc>
          <w:tcPr>
            <w:tcW w:w="1559" w:type="dxa"/>
            <w:tcBorders>
              <w:top w:val="nil"/>
              <w:left w:val="single" w:sz="12" w:space="0" w:color="A8D08D"/>
              <w:bottom w:val="nil"/>
              <w:right w:val="nil"/>
            </w:tcBorders>
            <w:shd w:val="clear" w:color="auto" w:fill="auto"/>
            <w:vAlign w:val="center"/>
            <w:hideMark/>
          </w:tcPr>
          <w:p w14:paraId="60955AD2"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5,961</w:t>
            </w:r>
          </w:p>
        </w:tc>
        <w:tc>
          <w:tcPr>
            <w:tcW w:w="993" w:type="dxa"/>
            <w:tcBorders>
              <w:top w:val="nil"/>
              <w:left w:val="nil"/>
              <w:bottom w:val="nil"/>
              <w:right w:val="nil"/>
            </w:tcBorders>
            <w:shd w:val="clear" w:color="auto" w:fill="auto"/>
            <w:vAlign w:val="center"/>
            <w:hideMark/>
          </w:tcPr>
          <w:p w14:paraId="5CCA1848"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-119</w:t>
            </w:r>
          </w:p>
        </w:tc>
        <w:tc>
          <w:tcPr>
            <w:tcW w:w="1559" w:type="dxa"/>
            <w:tcBorders>
              <w:top w:val="nil"/>
              <w:left w:val="nil"/>
              <w:bottom w:val="nil"/>
              <w:right w:val="nil"/>
            </w:tcBorders>
            <w:shd w:val="clear" w:color="auto" w:fill="auto"/>
            <w:vAlign w:val="center"/>
            <w:hideMark/>
          </w:tcPr>
          <w:p w14:paraId="501274DF"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5,842</w:t>
            </w:r>
          </w:p>
        </w:tc>
        <w:tc>
          <w:tcPr>
            <w:tcW w:w="1603" w:type="dxa"/>
            <w:tcBorders>
              <w:top w:val="nil"/>
              <w:left w:val="single" w:sz="12" w:space="0" w:color="A8D08D"/>
              <w:bottom w:val="nil"/>
              <w:right w:val="nil"/>
            </w:tcBorders>
            <w:shd w:val="clear" w:color="auto" w:fill="auto"/>
            <w:vAlign w:val="center"/>
            <w:hideMark/>
          </w:tcPr>
          <w:p w14:paraId="6F1A6C5F"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0</w:t>
            </w:r>
          </w:p>
        </w:tc>
        <w:tc>
          <w:tcPr>
            <w:tcW w:w="1220" w:type="dxa"/>
            <w:tcBorders>
              <w:top w:val="nil"/>
              <w:left w:val="nil"/>
              <w:bottom w:val="nil"/>
              <w:right w:val="nil"/>
            </w:tcBorders>
            <w:shd w:val="clear" w:color="auto" w:fill="auto"/>
            <w:vAlign w:val="center"/>
            <w:hideMark/>
          </w:tcPr>
          <w:p w14:paraId="63BC5EC9"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0</w:t>
            </w:r>
          </w:p>
        </w:tc>
        <w:tc>
          <w:tcPr>
            <w:tcW w:w="1571" w:type="dxa"/>
            <w:tcBorders>
              <w:top w:val="nil"/>
              <w:left w:val="nil"/>
              <w:bottom w:val="nil"/>
              <w:right w:val="nil"/>
            </w:tcBorders>
            <w:shd w:val="clear" w:color="auto" w:fill="auto"/>
            <w:vAlign w:val="center"/>
            <w:hideMark/>
          </w:tcPr>
          <w:p w14:paraId="4C8D42F9"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0</w:t>
            </w:r>
          </w:p>
        </w:tc>
        <w:tc>
          <w:tcPr>
            <w:tcW w:w="1559" w:type="dxa"/>
            <w:tcBorders>
              <w:top w:val="nil"/>
              <w:left w:val="single" w:sz="12" w:space="0" w:color="A8D08D"/>
              <w:bottom w:val="nil"/>
              <w:right w:val="nil"/>
            </w:tcBorders>
            <w:shd w:val="clear" w:color="auto" w:fill="auto"/>
            <w:vAlign w:val="center"/>
            <w:hideMark/>
          </w:tcPr>
          <w:p w14:paraId="624F3142"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5,961</w:t>
            </w:r>
          </w:p>
        </w:tc>
        <w:tc>
          <w:tcPr>
            <w:tcW w:w="1057" w:type="dxa"/>
            <w:tcBorders>
              <w:top w:val="nil"/>
              <w:left w:val="nil"/>
              <w:bottom w:val="nil"/>
              <w:right w:val="nil"/>
            </w:tcBorders>
            <w:shd w:val="clear" w:color="auto" w:fill="auto"/>
            <w:vAlign w:val="center"/>
            <w:hideMark/>
          </w:tcPr>
          <w:p w14:paraId="132192E9"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-119</w:t>
            </w:r>
          </w:p>
        </w:tc>
        <w:tc>
          <w:tcPr>
            <w:tcW w:w="1603" w:type="dxa"/>
            <w:tcBorders>
              <w:top w:val="nil"/>
              <w:left w:val="nil"/>
              <w:bottom w:val="nil"/>
              <w:right w:val="single" w:sz="12" w:space="0" w:color="A8D08D"/>
            </w:tcBorders>
            <w:shd w:val="clear" w:color="auto" w:fill="auto"/>
            <w:vAlign w:val="center"/>
            <w:hideMark/>
          </w:tcPr>
          <w:p w14:paraId="0A0DB7A2"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5,842</w:t>
            </w:r>
          </w:p>
        </w:tc>
      </w:tr>
      <w:tr w:rsidR="009C79C3" w:rsidRPr="00583C56" w14:paraId="20642950" w14:textId="77777777" w:rsidTr="00583C56">
        <w:trPr>
          <w:trHeight w:val="583"/>
        </w:trPr>
        <w:tc>
          <w:tcPr>
            <w:tcW w:w="2410" w:type="dxa"/>
            <w:tcBorders>
              <w:top w:val="nil"/>
              <w:left w:val="single" w:sz="12" w:space="0" w:color="A8D08D"/>
              <w:bottom w:val="nil"/>
              <w:right w:val="nil"/>
            </w:tcBorders>
            <w:shd w:val="clear" w:color="auto" w:fill="auto"/>
            <w:vAlign w:val="center"/>
            <w:hideMark/>
          </w:tcPr>
          <w:p w14:paraId="04BD0F96" w14:textId="77777777" w:rsidR="009C79C3" w:rsidRPr="00583C56" w:rsidRDefault="009C79C3" w:rsidP="009C79C3">
            <w:pPr>
              <w:rPr>
                <w:rFonts w:cs="Arial"/>
                <w:color w:val="000000"/>
                <w:szCs w:val="22"/>
                <w:lang w:eastAsia="en-GB"/>
              </w:rPr>
            </w:pPr>
            <w:r w:rsidRPr="00583C56">
              <w:rPr>
                <w:rFonts w:cs="Arial"/>
                <w:color w:val="000000"/>
                <w:szCs w:val="22"/>
                <w:lang w:eastAsia="en-GB"/>
              </w:rPr>
              <w:t>Financing &amp; Investment Income &amp; Expenditure</w:t>
            </w:r>
          </w:p>
        </w:tc>
        <w:tc>
          <w:tcPr>
            <w:tcW w:w="1559" w:type="dxa"/>
            <w:tcBorders>
              <w:top w:val="nil"/>
              <w:left w:val="single" w:sz="12" w:space="0" w:color="A8D08D"/>
              <w:bottom w:val="nil"/>
              <w:right w:val="nil"/>
            </w:tcBorders>
            <w:shd w:val="clear" w:color="auto" w:fill="auto"/>
            <w:vAlign w:val="center"/>
            <w:hideMark/>
          </w:tcPr>
          <w:p w14:paraId="640B962D"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2,790</w:t>
            </w:r>
          </w:p>
        </w:tc>
        <w:tc>
          <w:tcPr>
            <w:tcW w:w="993" w:type="dxa"/>
            <w:tcBorders>
              <w:top w:val="nil"/>
              <w:left w:val="nil"/>
              <w:bottom w:val="nil"/>
              <w:right w:val="nil"/>
            </w:tcBorders>
            <w:shd w:val="clear" w:color="auto" w:fill="auto"/>
            <w:vAlign w:val="center"/>
            <w:hideMark/>
          </w:tcPr>
          <w:p w14:paraId="2B8D2E64"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-312</w:t>
            </w:r>
          </w:p>
        </w:tc>
        <w:tc>
          <w:tcPr>
            <w:tcW w:w="1559" w:type="dxa"/>
            <w:tcBorders>
              <w:top w:val="nil"/>
              <w:left w:val="nil"/>
              <w:bottom w:val="nil"/>
              <w:right w:val="nil"/>
            </w:tcBorders>
            <w:shd w:val="clear" w:color="auto" w:fill="auto"/>
            <w:vAlign w:val="center"/>
            <w:hideMark/>
          </w:tcPr>
          <w:p w14:paraId="62397756"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2,478</w:t>
            </w:r>
          </w:p>
        </w:tc>
        <w:tc>
          <w:tcPr>
            <w:tcW w:w="1603" w:type="dxa"/>
            <w:tcBorders>
              <w:top w:val="nil"/>
              <w:left w:val="single" w:sz="12" w:space="0" w:color="A8D08D"/>
              <w:bottom w:val="nil"/>
              <w:right w:val="nil"/>
            </w:tcBorders>
            <w:shd w:val="clear" w:color="auto" w:fill="auto"/>
            <w:vAlign w:val="center"/>
            <w:hideMark/>
          </w:tcPr>
          <w:p w14:paraId="51A4033F"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0</w:t>
            </w:r>
          </w:p>
        </w:tc>
        <w:tc>
          <w:tcPr>
            <w:tcW w:w="1220" w:type="dxa"/>
            <w:tcBorders>
              <w:top w:val="nil"/>
              <w:left w:val="nil"/>
              <w:bottom w:val="nil"/>
              <w:right w:val="nil"/>
            </w:tcBorders>
            <w:shd w:val="clear" w:color="auto" w:fill="auto"/>
            <w:vAlign w:val="center"/>
            <w:hideMark/>
          </w:tcPr>
          <w:p w14:paraId="1C1D5C09"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0</w:t>
            </w:r>
          </w:p>
        </w:tc>
        <w:tc>
          <w:tcPr>
            <w:tcW w:w="1571" w:type="dxa"/>
            <w:tcBorders>
              <w:top w:val="nil"/>
              <w:left w:val="nil"/>
              <w:bottom w:val="nil"/>
              <w:right w:val="nil"/>
            </w:tcBorders>
            <w:shd w:val="clear" w:color="auto" w:fill="auto"/>
            <w:vAlign w:val="center"/>
            <w:hideMark/>
          </w:tcPr>
          <w:p w14:paraId="2D607813"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0</w:t>
            </w:r>
          </w:p>
        </w:tc>
        <w:tc>
          <w:tcPr>
            <w:tcW w:w="1559" w:type="dxa"/>
            <w:tcBorders>
              <w:top w:val="nil"/>
              <w:left w:val="single" w:sz="12" w:space="0" w:color="A8D08D"/>
              <w:bottom w:val="nil"/>
              <w:right w:val="nil"/>
            </w:tcBorders>
            <w:shd w:val="clear" w:color="auto" w:fill="auto"/>
            <w:vAlign w:val="center"/>
            <w:hideMark/>
          </w:tcPr>
          <w:p w14:paraId="68EB2A38"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2,790</w:t>
            </w:r>
          </w:p>
        </w:tc>
        <w:tc>
          <w:tcPr>
            <w:tcW w:w="1057" w:type="dxa"/>
            <w:tcBorders>
              <w:top w:val="nil"/>
              <w:left w:val="nil"/>
              <w:bottom w:val="nil"/>
              <w:right w:val="nil"/>
            </w:tcBorders>
            <w:shd w:val="clear" w:color="auto" w:fill="auto"/>
            <w:vAlign w:val="center"/>
            <w:hideMark/>
          </w:tcPr>
          <w:p w14:paraId="20BFA4D3"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-312</w:t>
            </w:r>
          </w:p>
        </w:tc>
        <w:tc>
          <w:tcPr>
            <w:tcW w:w="1603" w:type="dxa"/>
            <w:tcBorders>
              <w:top w:val="nil"/>
              <w:left w:val="nil"/>
              <w:bottom w:val="nil"/>
              <w:right w:val="single" w:sz="12" w:space="0" w:color="A8D08D"/>
            </w:tcBorders>
            <w:shd w:val="clear" w:color="auto" w:fill="auto"/>
            <w:vAlign w:val="center"/>
            <w:hideMark/>
          </w:tcPr>
          <w:p w14:paraId="7322FD81"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2,478</w:t>
            </w:r>
          </w:p>
        </w:tc>
      </w:tr>
      <w:tr w:rsidR="009C79C3" w:rsidRPr="00583C56" w14:paraId="0CBF2E09" w14:textId="77777777" w:rsidTr="00583C56">
        <w:trPr>
          <w:trHeight w:val="592"/>
        </w:trPr>
        <w:tc>
          <w:tcPr>
            <w:tcW w:w="2410" w:type="dxa"/>
            <w:tcBorders>
              <w:top w:val="nil"/>
              <w:left w:val="single" w:sz="12" w:space="0" w:color="A8D08D"/>
              <w:bottom w:val="nil"/>
              <w:right w:val="nil"/>
            </w:tcBorders>
            <w:shd w:val="clear" w:color="auto" w:fill="auto"/>
            <w:vAlign w:val="center"/>
            <w:hideMark/>
          </w:tcPr>
          <w:p w14:paraId="3D91A7D2" w14:textId="77777777" w:rsidR="009C79C3" w:rsidRPr="00583C56" w:rsidRDefault="009C79C3" w:rsidP="009C79C3">
            <w:pPr>
              <w:rPr>
                <w:rFonts w:cs="Arial"/>
                <w:color w:val="000000"/>
                <w:szCs w:val="22"/>
                <w:lang w:eastAsia="en-GB"/>
              </w:rPr>
            </w:pPr>
            <w:r w:rsidRPr="00583C56">
              <w:rPr>
                <w:rFonts w:cs="Arial"/>
                <w:color w:val="000000"/>
                <w:szCs w:val="22"/>
                <w:lang w:eastAsia="en-GB"/>
              </w:rPr>
              <w:t>Taxation &amp; Non-Specific Grant Income</w:t>
            </w:r>
          </w:p>
        </w:tc>
        <w:tc>
          <w:tcPr>
            <w:tcW w:w="1559" w:type="dxa"/>
            <w:tcBorders>
              <w:top w:val="nil"/>
              <w:left w:val="single" w:sz="12" w:space="0" w:color="A8D08D"/>
              <w:bottom w:val="single" w:sz="8" w:space="0" w:color="auto"/>
              <w:right w:val="nil"/>
            </w:tcBorders>
            <w:shd w:val="clear" w:color="auto" w:fill="auto"/>
            <w:vAlign w:val="center"/>
            <w:hideMark/>
          </w:tcPr>
          <w:p w14:paraId="17E00140"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169</w:t>
            </w:r>
          </w:p>
        </w:tc>
        <w:tc>
          <w:tcPr>
            <w:tcW w:w="993" w:type="dxa"/>
            <w:tcBorders>
              <w:top w:val="nil"/>
              <w:left w:val="nil"/>
              <w:bottom w:val="single" w:sz="8" w:space="0" w:color="auto"/>
              <w:right w:val="nil"/>
            </w:tcBorders>
            <w:shd w:val="clear" w:color="auto" w:fill="auto"/>
            <w:vAlign w:val="center"/>
            <w:hideMark/>
          </w:tcPr>
          <w:p w14:paraId="079CC58D"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-41,633</w:t>
            </w:r>
          </w:p>
        </w:tc>
        <w:tc>
          <w:tcPr>
            <w:tcW w:w="1559" w:type="dxa"/>
            <w:tcBorders>
              <w:top w:val="nil"/>
              <w:left w:val="nil"/>
              <w:bottom w:val="single" w:sz="8" w:space="0" w:color="auto"/>
              <w:right w:val="nil"/>
            </w:tcBorders>
            <w:shd w:val="clear" w:color="auto" w:fill="auto"/>
            <w:vAlign w:val="center"/>
            <w:hideMark/>
          </w:tcPr>
          <w:p w14:paraId="245368C6"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-41,464</w:t>
            </w:r>
          </w:p>
        </w:tc>
        <w:tc>
          <w:tcPr>
            <w:tcW w:w="1603" w:type="dxa"/>
            <w:tcBorders>
              <w:top w:val="nil"/>
              <w:left w:val="single" w:sz="12" w:space="0" w:color="A8D08D"/>
              <w:bottom w:val="single" w:sz="8" w:space="0" w:color="auto"/>
              <w:right w:val="nil"/>
            </w:tcBorders>
            <w:shd w:val="clear" w:color="auto" w:fill="auto"/>
            <w:vAlign w:val="center"/>
            <w:hideMark/>
          </w:tcPr>
          <w:p w14:paraId="2EE73066"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0</w:t>
            </w:r>
          </w:p>
        </w:tc>
        <w:tc>
          <w:tcPr>
            <w:tcW w:w="1220" w:type="dxa"/>
            <w:tcBorders>
              <w:top w:val="nil"/>
              <w:left w:val="nil"/>
              <w:bottom w:val="single" w:sz="8" w:space="0" w:color="auto"/>
              <w:right w:val="nil"/>
            </w:tcBorders>
            <w:shd w:val="clear" w:color="auto" w:fill="auto"/>
            <w:vAlign w:val="center"/>
            <w:hideMark/>
          </w:tcPr>
          <w:p w14:paraId="763882EE"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0</w:t>
            </w:r>
          </w:p>
        </w:tc>
        <w:tc>
          <w:tcPr>
            <w:tcW w:w="1571" w:type="dxa"/>
            <w:tcBorders>
              <w:top w:val="nil"/>
              <w:left w:val="nil"/>
              <w:bottom w:val="single" w:sz="8" w:space="0" w:color="auto"/>
              <w:right w:val="nil"/>
            </w:tcBorders>
            <w:shd w:val="clear" w:color="auto" w:fill="auto"/>
            <w:vAlign w:val="center"/>
            <w:hideMark/>
          </w:tcPr>
          <w:p w14:paraId="7103E868"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0</w:t>
            </w:r>
          </w:p>
        </w:tc>
        <w:tc>
          <w:tcPr>
            <w:tcW w:w="1559" w:type="dxa"/>
            <w:tcBorders>
              <w:top w:val="nil"/>
              <w:left w:val="single" w:sz="12" w:space="0" w:color="A8D08D"/>
              <w:bottom w:val="single" w:sz="8" w:space="0" w:color="auto"/>
              <w:right w:val="nil"/>
            </w:tcBorders>
            <w:shd w:val="clear" w:color="auto" w:fill="auto"/>
            <w:vAlign w:val="center"/>
            <w:hideMark/>
          </w:tcPr>
          <w:p w14:paraId="3DF7D90A"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169</w:t>
            </w:r>
          </w:p>
        </w:tc>
        <w:tc>
          <w:tcPr>
            <w:tcW w:w="1057" w:type="dxa"/>
            <w:tcBorders>
              <w:top w:val="nil"/>
              <w:left w:val="nil"/>
              <w:bottom w:val="single" w:sz="8" w:space="0" w:color="auto"/>
              <w:right w:val="nil"/>
            </w:tcBorders>
            <w:shd w:val="clear" w:color="auto" w:fill="auto"/>
            <w:vAlign w:val="center"/>
            <w:hideMark/>
          </w:tcPr>
          <w:p w14:paraId="684E26D4"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-41,633</w:t>
            </w:r>
          </w:p>
        </w:tc>
        <w:tc>
          <w:tcPr>
            <w:tcW w:w="1603" w:type="dxa"/>
            <w:tcBorders>
              <w:top w:val="nil"/>
              <w:left w:val="nil"/>
              <w:bottom w:val="single" w:sz="8" w:space="0" w:color="auto"/>
              <w:right w:val="single" w:sz="12" w:space="0" w:color="A8D08D"/>
            </w:tcBorders>
            <w:shd w:val="clear" w:color="auto" w:fill="auto"/>
            <w:vAlign w:val="center"/>
            <w:hideMark/>
          </w:tcPr>
          <w:p w14:paraId="193476D3" w14:textId="77777777" w:rsidR="009C79C3" w:rsidRPr="00583C56" w:rsidRDefault="009C79C3" w:rsidP="009C79C3">
            <w:pPr>
              <w:jc w:val="right"/>
              <w:rPr>
                <w:rFonts w:cs="Arial"/>
                <w:i/>
                <w:iCs/>
                <w:color w:val="000000"/>
                <w:szCs w:val="22"/>
                <w:lang w:eastAsia="en-GB"/>
              </w:rPr>
            </w:pPr>
            <w:r w:rsidRPr="00583C56">
              <w:rPr>
                <w:rFonts w:cs="Arial"/>
                <w:i/>
                <w:iCs/>
                <w:color w:val="000000"/>
                <w:szCs w:val="22"/>
                <w:lang w:eastAsia="en-GB"/>
              </w:rPr>
              <w:t>-41,464</w:t>
            </w:r>
          </w:p>
        </w:tc>
      </w:tr>
      <w:tr w:rsidR="009C79C3" w:rsidRPr="00583C56" w14:paraId="0963463E" w14:textId="77777777" w:rsidTr="00583C56">
        <w:trPr>
          <w:trHeight w:val="583"/>
        </w:trPr>
        <w:tc>
          <w:tcPr>
            <w:tcW w:w="2410" w:type="dxa"/>
            <w:tcBorders>
              <w:top w:val="nil"/>
              <w:left w:val="single" w:sz="12" w:space="0" w:color="A8D08D"/>
              <w:bottom w:val="single" w:sz="12" w:space="0" w:color="A8D08D"/>
              <w:right w:val="nil"/>
            </w:tcBorders>
            <w:shd w:val="clear" w:color="auto" w:fill="auto"/>
            <w:vAlign w:val="center"/>
            <w:hideMark/>
          </w:tcPr>
          <w:p w14:paraId="1D55B749" w14:textId="77777777" w:rsidR="009C79C3" w:rsidRPr="00583C56" w:rsidRDefault="009C79C3" w:rsidP="009C79C3">
            <w:pPr>
              <w:rPr>
                <w:rFonts w:cs="Arial"/>
                <w:b/>
                <w:bCs/>
                <w:color w:val="000000"/>
                <w:szCs w:val="22"/>
                <w:lang w:eastAsia="en-GB"/>
              </w:rPr>
            </w:pPr>
            <w:r w:rsidRPr="00583C56">
              <w:rPr>
                <w:rFonts w:cs="Arial"/>
                <w:b/>
                <w:bCs/>
                <w:color w:val="000000"/>
                <w:szCs w:val="22"/>
                <w:lang w:eastAsia="en-GB"/>
              </w:rPr>
              <w:t>(Surplus) / Deficit on Provision of Services</w:t>
            </w:r>
          </w:p>
        </w:tc>
        <w:tc>
          <w:tcPr>
            <w:tcW w:w="1559" w:type="dxa"/>
            <w:tcBorders>
              <w:top w:val="nil"/>
              <w:left w:val="single" w:sz="12" w:space="0" w:color="A8D08D"/>
              <w:bottom w:val="single" w:sz="12" w:space="0" w:color="A8D08D"/>
              <w:right w:val="nil"/>
            </w:tcBorders>
            <w:shd w:val="clear" w:color="auto" w:fill="auto"/>
            <w:vAlign w:val="center"/>
            <w:hideMark/>
          </w:tcPr>
          <w:p w14:paraId="7C651ED8"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72,300</w:t>
            </w:r>
          </w:p>
        </w:tc>
        <w:tc>
          <w:tcPr>
            <w:tcW w:w="993" w:type="dxa"/>
            <w:tcBorders>
              <w:top w:val="nil"/>
              <w:left w:val="nil"/>
              <w:bottom w:val="single" w:sz="12" w:space="0" w:color="A8D08D"/>
              <w:right w:val="nil"/>
            </w:tcBorders>
            <w:shd w:val="clear" w:color="auto" w:fill="auto"/>
            <w:vAlign w:val="center"/>
            <w:hideMark/>
          </w:tcPr>
          <w:p w14:paraId="4E5D2E91"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-68,428</w:t>
            </w:r>
          </w:p>
        </w:tc>
        <w:tc>
          <w:tcPr>
            <w:tcW w:w="1559" w:type="dxa"/>
            <w:tcBorders>
              <w:top w:val="nil"/>
              <w:left w:val="nil"/>
              <w:bottom w:val="single" w:sz="12" w:space="0" w:color="A8D08D"/>
              <w:right w:val="nil"/>
            </w:tcBorders>
            <w:shd w:val="clear" w:color="auto" w:fill="auto"/>
            <w:vAlign w:val="center"/>
            <w:hideMark/>
          </w:tcPr>
          <w:p w14:paraId="67D0524E"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3,872</w:t>
            </w:r>
          </w:p>
        </w:tc>
        <w:tc>
          <w:tcPr>
            <w:tcW w:w="1603" w:type="dxa"/>
            <w:tcBorders>
              <w:top w:val="nil"/>
              <w:left w:val="single" w:sz="12" w:space="0" w:color="A8D08D"/>
              <w:bottom w:val="single" w:sz="12" w:space="0" w:color="A8D08D"/>
              <w:right w:val="nil"/>
            </w:tcBorders>
            <w:shd w:val="clear" w:color="auto" w:fill="auto"/>
            <w:vAlign w:val="center"/>
            <w:hideMark/>
          </w:tcPr>
          <w:p w14:paraId="3DF26E2D"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-2,067</w:t>
            </w:r>
          </w:p>
        </w:tc>
        <w:tc>
          <w:tcPr>
            <w:tcW w:w="1220" w:type="dxa"/>
            <w:tcBorders>
              <w:top w:val="nil"/>
              <w:left w:val="nil"/>
              <w:bottom w:val="single" w:sz="12" w:space="0" w:color="A8D08D"/>
              <w:right w:val="nil"/>
            </w:tcBorders>
            <w:shd w:val="clear" w:color="auto" w:fill="auto"/>
            <w:vAlign w:val="center"/>
            <w:hideMark/>
          </w:tcPr>
          <w:p w14:paraId="18798725"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2,067</w:t>
            </w:r>
          </w:p>
        </w:tc>
        <w:tc>
          <w:tcPr>
            <w:tcW w:w="1571" w:type="dxa"/>
            <w:tcBorders>
              <w:top w:val="nil"/>
              <w:left w:val="nil"/>
              <w:bottom w:val="single" w:sz="12" w:space="0" w:color="A8D08D"/>
              <w:right w:val="nil"/>
            </w:tcBorders>
            <w:shd w:val="clear" w:color="auto" w:fill="auto"/>
            <w:vAlign w:val="center"/>
            <w:hideMark/>
          </w:tcPr>
          <w:p w14:paraId="09426545"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0</w:t>
            </w:r>
          </w:p>
        </w:tc>
        <w:tc>
          <w:tcPr>
            <w:tcW w:w="1559" w:type="dxa"/>
            <w:tcBorders>
              <w:top w:val="nil"/>
              <w:left w:val="single" w:sz="12" w:space="0" w:color="A8D08D"/>
              <w:bottom w:val="single" w:sz="12" w:space="0" w:color="A8D08D"/>
              <w:right w:val="nil"/>
            </w:tcBorders>
            <w:shd w:val="clear" w:color="auto" w:fill="auto"/>
            <w:vAlign w:val="center"/>
            <w:hideMark/>
          </w:tcPr>
          <w:p w14:paraId="5333BED7"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70,233</w:t>
            </w:r>
          </w:p>
        </w:tc>
        <w:tc>
          <w:tcPr>
            <w:tcW w:w="1057" w:type="dxa"/>
            <w:tcBorders>
              <w:top w:val="nil"/>
              <w:left w:val="nil"/>
              <w:bottom w:val="single" w:sz="12" w:space="0" w:color="A8D08D"/>
              <w:right w:val="nil"/>
            </w:tcBorders>
            <w:shd w:val="clear" w:color="auto" w:fill="auto"/>
            <w:vAlign w:val="center"/>
            <w:hideMark/>
          </w:tcPr>
          <w:p w14:paraId="032D0F7B"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-66,361</w:t>
            </w:r>
          </w:p>
        </w:tc>
        <w:tc>
          <w:tcPr>
            <w:tcW w:w="1603" w:type="dxa"/>
            <w:tcBorders>
              <w:top w:val="nil"/>
              <w:left w:val="nil"/>
              <w:bottom w:val="single" w:sz="12" w:space="0" w:color="A8D08D"/>
              <w:right w:val="single" w:sz="12" w:space="0" w:color="A8D08D"/>
            </w:tcBorders>
            <w:shd w:val="clear" w:color="auto" w:fill="auto"/>
            <w:vAlign w:val="center"/>
            <w:hideMark/>
          </w:tcPr>
          <w:p w14:paraId="72B79F32" w14:textId="77777777" w:rsidR="009C79C3" w:rsidRPr="00583C56" w:rsidRDefault="009C79C3" w:rsidP="009C79C3">
            <w:pPr>
              <w:jc w:val="right"/>
              <w:rPr>
                <w:rFonts w:cs="Arial"/>
                <w:b/>
                <w:bCs/>
                <w:i/>
                <w:iCs/>
                <w:color w:val="000000"/>
                <w:szCs w:val="22"/>
                <w:lang w:eastAsia="en-GB"/>
              </w:rPr>
            </w:pPr>
            <w:r w:rsidRPr="00583C56">
              <w:rPr>
                <w:rFonts w:cs="Arial"/>
                <w:b/>
                <w:bCs/>
                <w:i/>
                <w:iCs/>
                <w:color w:val="000000"/>
                <w:szCs w:val="22"/>
                <w:lang w:eastAsia="en-GB"/>
              </w:rPr>
              <w:t>3,872</w:t>
            </w:r>
          </w:p>
        </w:tc>
      </w:tr>
      <w:tr w:rsidR="009C79C3" w:rsidRPr="00583C56" w14:paraId="4B503AC7" w14:textId="77777777" w:rsidTr="00583C56">
        <w:trPr>
          <w:trHeight w:val="300"/>
        </w:trPr>
        <w:tc>
          <w:tcPr>
            <w:tcW w:w="2410" w:type="dxa"/>
            <w:tcBorders>
              <w:top w:val="single" w:sz="12" w:space="0" w:color="A8D08D"/>
              <w:left w:val="nil"/>
              <w:bottom w:val="nil"/>
              <w:right w:val="nil"/>
            </w:tcBorders>
            <w:shd w:val="clear" w:color="auto" w:fill="auto"/>
            <w:noWrap/>
            <w:vAlign w:val="bottom"/>
            <w:hideMark/>
          </w:tcPr>
          <w:p w14:paraId="1C38813C" w14:textId="77777777" w:rsidR="009C79C3" w:rsidRPr="00583C56" w:rsidRDefault="009C79C3" w:rsidP="009C79C3">
            <w:pPr>
              <w:rPr>
                <w:rFonts w:cs="Arial"/>
                <w:i/>
                <w:iCs/>
                <w:color w:val="000000"/>
                <w:szCs w:val="22"/>
                <w:lang w:eastAsia="en-GB"/>
              </w:rPr>
            </w:pPr>
          </w:p>
        </w:tc>
        <w:tc>
          <w:tcPr>
            <w:tcW w:w="1559" w:type="dxa"/>
            <w:tcBorders>
              <w:top w:val="single" w:sz="12" w:space="0" w:color="A8D08D"/>
              <w:left w:val="nil"/>
              <w:bottom w:val="nil"/>
              <w:right w:val="nil"/>
            </w:tcBorders>
            <w:shd w:val="clear" w:color="auto" w:fill="auto"/>
            <w:noWrap/>
            <w:vAlign w:val="bottom"/>
            <w:hideMark/>
          </w:tcPr>
          <w:p w14:paraId="3EC28B20" w14:textId="77777777" w:rsidR="009C79C3" w:rsidRPr="00583C56" w:rsidRDefault="009C79C3" w:rsidP="009C79C3">
            <w:pPr>
              <w:rPr>
                <w:rFonts w:cs="Arial"/>
                <w:szCs w:val="22"/>
                <w:lang w:eastAsia="en-GB"/>
              </w:rPr>
            </w:pPr>
          </w:p>
        </w:tc>
        <w:tc>
          <w:tcPr>
            <w:tcW w:w="993" w:type="dxa"/>
            <w:tcBorders>
              <w:top w:val="single" w:sz="12" w:space="0" w:color="A8D08D"/>
              <w:left w:val="nil"/>
              <w:bottom w:val="nil"/>
              <w:right w:val="nil"/>
            </w:tcBorders>
            <w:shd w:val="clear" w:color="auto" w:fill="auto"/>
            <w:noWrap/>
            <w:vAlign w:val="bottom"/>
            <w:hideMark/>
          </w:tcPr>
          <w:p w14:paraId="48602A88" w14:textId="77777777" w:rsidR="009C79C3" w:rsidRPr="00583C56" w:rsidRDefault="009C79C3" w:rsidP="009C79C3">
            <w:pPr>
              <w:rPr>
                <w:rFonts w:cs="Arial"/>
                <w:szCs w:val="22"/>
                <w:lang w:eastAsia="en-GB"/>
              </w:rPr>
            </w:pPr>
          </w:p>
        </w:tc>
        <w:tc>
          <w:tcPr>
            <w:tcW w:w="1559" w:type="dxa"/>
            <w:tcBorders>
              <w:top w:val="single" w:sz="12" w:space="0" w:color="A8D08D"/>
              <w:left w:val="nil"/>
              <w:bottom w:val="nil"/>
              <w:right w:val="nil"/>
            </w:tcBorders>
            <w:shd w:val="clear" w:color="auto" w:fill="auto"/>
            <w:noWrap/>
            <w:vAlign w:val="bottom"/>
            <w:hideMark/>
          </w:tcPr>
          <w:p w14:paraId="2C4C906E" w14:textId="77777777" w:rsidR="009C79C3" w:rsidRPr="00583C56" w:rsidRDefault="009C79C3" w:rsidP="009C79C3">
            <w:pPr>
              <w:rPr>
                <w:rFonts w:cs="Arial"/>
                <w:szCs w:val="22"/>
                <w:lang w:eastAsia="en-GB"/>
              </w:rPr>
            </w:pPr>
          </w:p>
        </w:tc>
        <w:tc>
          <w:tcPr>
            <w:tcW w:w="1603" w:type="dxa"/>
            <w:tcBorders>
              <w:top w:val="single" w:sz="12" w:space="0" w:color="A8D08D"/>
              <w:left w:val="nil"/>
              <w:bottom w:val="nil"/>
              <w:right w:val="nil"/>
            </w:tcBorders>
            <w:shd w:val="clear" w:color="auto" w:fill="auto"/>
            <w:noWrap/>
            <w:vAlign w:val="bottom"/>
            <w:hideMark/>
          </w:tcPr>
          <w:p w14:paraId="104D8A74" w14:textId="77777777" w:rsidR="009C79C3" w:rsidRPr="00583C56" w:rsidRDefault="009C79C3" w:rsidP="009C79C3">
            <w:pPr>
              <w:rPr>
                <w:rFonts w:cs="Arial"/>
                <w:szCs w:val="22"/>
                <w:lang w:eastAsia="en-GB"/>
              </w:rPr>
            </w:pPr>
          </w:p>
        </w:tc>
        <w:tc>
          <w:tcPr>
            <w:tcW w:w="1220" w:type="dxa"/>
            <w:tcBorders>
              <w:top w:val="single" w:sz="12" w:space="0" w:color="A8D08D"/>
              <w:left w:val="nil"/>
              <w:bottom w:val="nil"/>
              <w:right w:val="nil"/>
            </w:tcBorders>
            <w:shd w:val="clear" w:color="auto" w:fill="auto"/>
            <w:noWrap/>
            <w:vAlign w:val="bottom"/>
            <w:hideMark/>
          </w:tcPr>
          <w:p w14:paraId="09C54A5A" w14:textId="77777777" w:rsidR="009C79C3" w:rsidRPr="00583C56" w:rsidRDefault="009C79C3" w:rsidP="009C79C3">
            <w:pPr>
              <w:rPr>
                <w:rFonts w:cs="Arial"/>
                <w:szCs w:val="22"/>
                <w:lang w:eastAsia="en-GB"/>
              </w:rPr>
            </w:pPr>
          </w:p>
        </w:tc>
        <w:tc>
          <w:tcPr>
            <w:tcW w:w="1571" w:type="dxa"/>
            <w:tcBorders>
              <w:top w:val="single" w:sz="12" w:space="0" w:color="A8D08D"/>
              <w:left w:val="nil"/>
              <w:bottom w:val="nil"/>
              <w:right w:val="nil"/>
            </w:tcBorders>
            <w:shd w:val="clear" w:color="auto" w:fill="auto"/>
            <w:noWrap/>
            <w:vAlign w:val="bottom"/>
            <w:hideMark/>
          </w:tcPr>
          <w:p w14:paraId="70C219BC" w14:textId="77777777" w:rsidR="009C79C3" w:rsidRPr="00583C56" w:rsidRDefault="009C79C3" w:rsidP="009C79C3">
            <w:pPr>
              <w:rPr>
                <w:rFonts w:cs="Arial"/>
                <w:szCs w:val="22"/>
                <w:lang w:eastAsia="en-GB"/>
              </w:rPr>
            </w:pPr>
          </w:p>
        </w:tc>
        <w:tc>
          <w:tcPr>
            <w:tcW w:w="1559" w:type="dxa"/>
            <w:tcBorders>
              <w:top w:val="single" w:sz="12" w:space="0" w:color="A8D08D"/>
              <w:left w:val="nil"/>
              <w:bottom w:val="nil"/>
              <w:right w:val="nil"/>
            </w:tcBorders>
            <w:shd w:val="clear" w:color="auto" w:fill="auto"/>
            <w:noWrap/>
            <w:vAlign w:val="bottom"/>
            <w:hideMark/>
          </w:tcPr>
          <w:p w14:paraId="61624698" w14:textId="77777777" w:rsidR="009C79C3" w:rsidRPr="00583C56" w:rsidRDefault="009C79C3" w:rsidP="009C79C3">
            <w:pPr>
              <w:rPr>
                <w:rFonts w:cs="Arial"/>
                <w:szCs w:val="22"/>
                <w:lang w:eastAsia="en-GB"/>
              </w:rPr>
            </w:pPr>
          </w:p>
        </w:tc>
        <w:tc>
          <w:tcPr>
            <w:tcW w:w="1057" w:type="dxa"/>
            <w:tcBorders>
              <w:top w:val="single" w:sz="12" w:space="0" w:color="A8D08D"/>
              <w:left w:val="nil"/>
              <w:bottom w:val="nil"/>
              <w:right w:val="nil"/>
            </w:tcBorders>
            <w:shd w:val="clear" w:color="auto" w:fill="auto"/>
            <w:noWrap/>
            <w:vAlign w:val="bottom"/>
            <w:hideMark/>
          </w:tcPr>
          <w:p w14:paraId="123B1475" w14:textId="77777777" w:rsidR="009C79C3" w:rsidRPr="00583C56" w:rsidRDefault="009C79C3" w:rsidP="009C79C3">
            <w:pPr>
              <w:rPr>
                <w:rFonts w:cs="Arial"/>
                <w:szCs w:val="22"/>
                <w:lang w:eastAsia="en-GB"/>
              </w:rPr>
            </w:pPr>
          </w:p>
        </w:tc>
        <w:tc>
          <w:tcPr>
            <w:tcW w:w="1603" w:type="dxa"/>
            <w:tcBorders>
              <w:top w:val="single" w:sz="12" w:space="0" w:color="A8D08D"/>
              <w:left w:val="nil"/>
              <w:bottom w:val="nil"/>
              <w:right w:val="nil"/>
            </w:tcBorders>
            <w:shd w:val="clear" w:color="auto" w:fill="auto"/>
            <w:noWrap/>
            <w:vAlign w:val="bottom"/>
            <w:hideMark/>
          </w:tcPr>
          <w:p w14:paraId="7F8C7ACE" w14:textId="77777777" w:rsidR="009C79C3" w:rsidRPr="00583C56" w:rsidRDefault="009C79C3" w:rsidP="009C79C3">
            <w:pPr>
              <w:rPr>
                <w:rFonts w:cs="Arial"/>
                <w:szCs w:val="22"/>
                <w:lang w:eastAsia="en-GB"/>
              </w:rPr>
            </w:pPr>
          </w:p>
        </w:tc>
      </w:tr>
      <w:tr w:rsidR="009C79C3" w:rsidRPr="00583C56" w14:paraId="743A1561" w14:textId="77777777" w:rsidTr="00D53720">
        <w:trPr>
          <w:trHeight w:val="292"/>
        </w:trPr>
        <w:tc>
          <w:tcPr>
            <w:tcW w:w="15134" w:type="dxa"/>
            <w:gridSpan w:val="10"/>
            <w:tcBorders>
              <w:top w:val="nil"/>
              <w:left w:val="nil"/>
              <w:bottom w:val="nil"/>
              <w:right w:val="nil"/>
            </w:tcBorders>
            <w:shd w:val="clear" w:color="auto" w:fill="auto"/>
            <w:noWrap/>
            <w:vAlign w:val="bottom"/>
            <w:hideMark/>
          </w:tcPr>
          <w:p w14:paraId="0AB6B9FE" w14:textId="77777777" w:rsidR="009C79C3" w:rsidRDefault="009C79C3" w:rsidP="009C79C3">
            <w:pPr>
              <w:rPr>
                <w:rFonts w:cs="Arial"/>
                <w:color w:val="000000"/>
                <w:szCs w:val="22"/>
                <w:lang w:eastAsia="en-GB"/>
              </w:rPr>
            </w:pPr>
            <w:r w:rsidRPr="00583C56">
              <w:rPr>
                <w:rFonts w:cs="Arial"/>
                <w:color w:val="000000"/>
                <w:szCs w:val="22"/>
                <w:lang w:eastAsia="en-GB"/>
              </w:rPr>
              <w:t>the only other note affected by this restatement is Note 2 to the Expenditure Funding Analysis (Note 1). The impact on this note is shown below</w:t>
            </w:r>
          </w:p>
          <w:p w14:paraId="1F09FA1A" w14:textId="77777777" w:rsidR="00583C56" w:rsidRDefault="00583C56" w:rsidP="009C79C3">
            <w:pPr>
              <w:rPr>
                <w:rFonts w:cs="Arial"/>
                <w:color w:val="000000"/>
                <w:szCs w:val="22"/>
                <w:lang w:eastAsia="en-GB"/>
              </w:rPr>
            </w:pPr>
          </w:p>
          <w:p w14:paraId="11FEFEF8" w14:textId="77777777" w:rsidR="00583C56" w:rsidRDefault="00583C56" w:rsidP="009C79C3">
            <w:pPr>
              <w:rPr>
                <w:rFonts w:cs="Arial"/>
                <w:color w:val="000000"/>
                <w:szCs w:val="22"/>
                <w:lang w:eastAsia="en-GB"/>
              </w:rPr>
            </w:pPr>
          </w:p>
          <w:p w14:paraId="7E882E95" w14:textId="77777777" w:rsidR="00583C56" w:rsidRDefault="00583C56" w:rsidP="009C79C3">
            <w:pPr>
              <w:rPr>
                <w:rFonts w:cs="Arial"/>
                <w:color w:val="000000"/>
                <w:szCs w:val="22"/>
                <w:lang w:eastAsia="en-GB"/>
              </w:rPr>
            </w:pPr>
          </w:p>
          <w:p w14:paraId="496FF6B3" w14:textId="77777777" w:rsidR="00583C56" w:rsidRDefault="00583C56" w:rsidP="009C79C3">
            <w:pPr>
              <w:rPr>
                <w:rFonts w:cs="Arial"/>
                <w:color w:val="000000"/>
                <w:szCs w:val="22"/>
                <w:lang w:eastAsia="en-GB"/>
              </w:rPr>
            </w:pPr>
          </w:p>
          <w:p w14:paraId="5FEBCD91" w14:textId="77777777" w:rsidR="00583C56" w:rsidRPr="00583C56" w:rsidRDefault="00583C56" w:rsidP="009C79C3">
            <w:pPr>
              <w:rPr>
                <w:rFonts w:cs="Arial"/>
                <w:color w:val="000000"/>
                <w:szCs w:val="22"/>
                <w:lang w:eastAsia="en-GB"/>
              </w:rPr>
            </w:pPr>
          </w:p>
        </w:tc>
      </w:tr>
      <w:tr w:rsidR="009C79C3" w:rsidRPr="00583C56" w14:paraId="0D5AB3FE" w14:textId="77777777" w:rsidTr="00583C56">
        <w:trPr>
          <w:trHeight w:val="583"/>
        </w:trPr>
        <w:tc>
          <w:tcPr>
            <w:tcW w:w="2410" w:type="dxa"/>
            <w:tcBorders>
              <w:top w:val="single" w:sz="12" w:space="0" w:color="A8D08D"/>
              <w:left w:val="single" w:sz="12" w:space="0" w:color="A8D08D"/>
              <w:bottom w:val="nil"/>
              <w:right w:val="nil"/>
            </w:tcBorders>
            <w:shd w:val="clear" w:color="auto" w:fill="auto"/>
            <w:noWrap/>
            <w:vAlign w:val="bottom"/>
            <w:hideMark/>
          </w:tcPr>
          <w:p w14:paraId="3B7B6198" w14:textId="77777777" w:rsidR="009C79C3" w:rsidRPr="00583C56" w:rsidRDefault="009C79C3" w:rsidP="009C79C3">
            <w:pPr>
              <w:rPr>
                <w:rFonts w:cs="Arial"/>
                <w:b/>
                <w:bCs/>
                <w:color w:val="000000"/>
                <w:szCs w:val="22"/>
                <w:lang w:eastAsia="en-GB"/>
              </w:rPr>
            </w:pPr>
            <w:r w:rsidRPr="00583C56">
              <w:rPr>
                <w:rFonts w:cs="Arial"/>
                <w:b/>
                <w:bCs/>
                <w:color w:val="000000"/>
                <w:szCs w:val="22"/>
                <w:lang w:eastAsia="en-GB"/>
              </w:rPr>
              <w:t>Expenditure / Income</w:t>
            </w:r>
          </w:p>
        </w:tc>
        <w:tc>
          <w:tcPr>
            <w:tcW w:w="1559" w:type="dxa"/>
            <w:tcBorders>
              <w:top w:val="single" w:sz="12" w:space="0" w:color="A8D08D"/>
              <w:left w:val="nil"/>
              <w:bottom w:val="nil"/>
              <w:right w:val="nil"/>
            </w:tcBorders>
            <w:shd w:val="clear" w:color="auto" w:fill="auto"/>
            <w:vAlign w:val="bottom"/>
            <w:hideMark/>
          </w:tcPr>
          <w:p w14:paraId="075BE4A8" w14:textId="77777777" w:rsidR="009C79C3" w:rsidRPr="00583C56" w:rsidRDefault="009C79C3" w:rsidP="009C79C3">
            <w:pPr>
              <w:rPr>
                <w:rFonts w:cs="Arial"/>
                <w:b/>
                <w:bCs/>
                <w:color w:val="000000"/>
                <w:szCs w:val="22"/>
                <w:lang w:eastAsia="en-GB"/>
              </w:rPr>
            </w:pPr>
            <w:r w:rsidRPr="00583C56">
              <w:rPr>
                <w:rFonts w:cs="Arial"/>
                <w:b/>
                <w:bCs/>
                <w:color w:val="000000"/>
                <w:szCs w:val="22"/>
                <w:lang w:eastAsia="en-GB"/>
              </w:rPr>
              <w:t>Original Accounts</w:t>
            </w:r>
          </w:p>
        </w:tc>
        <w:tc>
          <w:tcPr>
            <w:tcW w:w="993" w:type="dxa"/>
            <w:tcBorders>
              <w:top w:val="single" w:sz="12" w:space="0" w:color="A8D08D"/>
              <w:left w:val="nil"/>
              <w:bottom w:val="nil"/>
              <w:right w:val="nil"/>
            </w:tcBorders>
            <w:shd w:val="clear" w:color="auto" w:fill="auto"/>
            <w:vAlign w:val="bottom"/>
            <w:hideMark/>
          </w:tcPr>
          <w:p w14:paraId="6B5FABBD" w14:textId="77777777" w:rsidR="009C79C3" w:rsidRPr="00583C56" w:rsidRDefault="009C79C3" w:rsidP="009C79C3">
            <w:pPr>
              <w:rPr>
                <w:rFonts w:cs="Arial"/>
                <w:b/>
                <w:bCs/>
                <w:color w:val="000000"/>
                <w:szCs w:val="22"/>
                <w:lang w:eastAsia="en-GB"/>
              </w:rPr>
            </w:pPr>
            <w:r w:rsidRPr="00583C56">
              <w:rPr>
                <w:rFonts w:cs="Arial"/>
                <w:b/>
                <w:bCs/>
                <w:color w:val="000000"/>
                <w:szCs w:val="22"/>
                <w:lang w:eastAsia="en-GB"/>
              </w:rPr>
              <w:t>Adjustments</w:t>
            </w:r>
          </w:p>
        </w:tc>
        <w:tc>
          <w:tcPr>
            <w:tcW w:w="1559" w:type="dxa"/>
            <w:tcBorders>
              <w:top w:val="single" w:sz="12" w:space="0" w:color="A8D08D"/>
              <w:left w:val="nil"/>
              <w:bottom w:val="nil"/>
              <w:right w:val="single" w:sz="12" w:space="0" w:color="A8D08D"/>
            </w:tcBorders>
            <w:shd w:val="clear" w:color="auto" w:fill="auto"/>
            <w:vAlign w:val="bottom"/>
            <w:hideMark/>
          </w:tcPr>
          <w:p w14:paraId="504C6007" w14:textId="77777777" w:rsidR="009C79C3" w:rsidRPr="00583C56" w:rsidRDefault="009C79C3" w:rsidP="009C79C3">
            <w:pPr>
              <w:rPr>
                <w:rFonts w:cs="Arial"/>
                <w:b/>
                <w:bCs/>
                <w:color w:val="000000"/>
                <w:szCs w:val="22"/>
                <w:lang w:eastAsia="en-GB"/>
              </w:rPr>
            </w:pPr>
            <w:r w:rsidRPr="00583C56">
              <w:rPr>
                <w:rFonts w:cs="Arial"/>
                <w:b/>
                <w:bCs/>
                <w:color w:val="000000"/>
                <w:szCs w:val="22"/>
                <w:lang w:eastAsia="en-GB"/>
              </w:rPr>
              <w:t>Restated Accounts</w:t>
            </w:r>
          </w:p>
        </w:tc>
        <w:tc>
          <w:tcPr>
            <w:tcW w:w="1603" w:type="dxa"/>
            <w:tcBorders>
              <w:top w:val="nil"/>
              <w:left w:val="single" w:sz="12" w:space="0" w:color="A8D08D"/>
              <w:bottom w:val="nil"/>
              <w:right w:val="nil"/>
            </w:tcBorders>
            <w:shd w:val="clear" w:color="auto" w:fill="auto"/>
            <w:noWrap/>
            <w:vAlign w:val="bottom"/>
            <w:hideMark/>
          </w:tcPr>
          <w:p w14:paraId="1D0CDBD0" w14:textId="77777777" w:rsidR="009C79C3" w:rsidRPr="00583C56" w:rsidRDefault="009C79C3" w:rsidP="009C79C3">
            <w:pPr>
              <w:rPr>
                <w:rFonts w:cs="Arial"/>
                <w:b/>
                <w:bCs/>
                <w:color w:val="000000"/>
                <w:szCs w:val="22"/>
                <w:lang w:eastAsia="en-GB"/>
              </w:rPr>
            </w:pPr>
          </w:p>
        </w:tc>
        <w:tc>
          <w:tcPr>
            <w:tcW w:w="1220" w:type="dxa"/>
            <w:tcBorders>
              <w:top w:val="nil"/>
              <w:left w:val="nil"/>
              <w:bottom w:val="nil"/>
              <w:right w:val="nil"/>
            </w:tcBorders>
            <w:shd w:val="clear" w:color="auto" w:fill="auto"/>
            <w:noWrap/>
            <w:vAlign w:val="bottom"/>
            <w:hideMark/>
          </w:tcPr>
          <w:p w14:paraId="11598A4A"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331AF68D"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2C714582"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10844E3E"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3EBA54F9" w14:textId="77777777" w:rsidR="009C79C3" w:rsidRPr="00583C56" w:rsidRDefault="009C79C3" w:rsidP="009C79C3">
            <w:pPr>
              <w:rPr>
                <w:rFonts w:cs="Arial"/>
                <w:szCs w:val="22"/>
                <w:lang w:eastAsia="en-GB"/>
              </w:rPr>
            </w:pPr>
          </w:p>
        </w:tc>
      </w:tr>
      <w:tr w:rsidR="009C79C3" w:rsidRPr="00583C56" w14:paraId="1521207F" w14:textId="77777777" w:rsidTr="00583C56">
        <w:trPr>
          <w:trHeight w:val="292"/>
        </w:trPr>
        <w:tc>
          <w:tcPr>
            <w:tcW w:w="2410" w:type="dxa"/>
            <w:tcBorders>
              <w:top w:val="nil"/>
              <w:left w:val="single" w:sz="12" w:space="0" w:color="A8D08D"/>
              <w:bottom w:val="nil"/>
              <w:right w:val="nil"/>
            </w:tcBorders>
            <w:shd w:val="clear" w:color="auto" w:fill="auto"/>
            <w:noWrap/>
            <w:vAlign w:val="bottom"/>
            <w:hideMark/>
          </w:tcPr>
          <w:p w14:paraId="6BB7E173" w14:textId="77777777" w:rsidR="009C79C3" w:rsidRPr="00583C56" w:rsidRDefault="009C79C3" w:rsidP="009C79C3">
            <w:pPr>
              <w:rPr>
                <w:rFonts w:cs="Arial"/>
                <w:b/>
                <w:bCs/>
                <w:color w:val="000000"/>
                <w:szCs w:val="22"/>
                <w:lang w:eastAsia="en-GB"/>
              </w:rPr>
            </w:pPr>
            <w:r w:rsidRPr="00583C56">
              <w:rPr>
                <w:rFonts w:cs="Arial"/>
                <w:b/>
                <w:bCs/>
                <w:color w:val="000000"/>
                <w:szCs w:val="22"/>
                <w:lang w:eastAsia="en-GB"/>
              </w:rPr>
              <w:lastRenderedPageBreak/>
              <w:t>Expenditure</w:t>
            </w:r>
          </w:p>
        </w:tc>
        <w:tc>
          <w:tcPr>
            <w:tcW w:w="1559" w:type="dxa"/>
            <w:tcBorders>
              <w:top w:val="nil"/>
              <w:left w:val="nil"/>
              <w:bottom w:val="nil"/>
              <w:right w:val="nil"/>
            </w:tcBorders>
            <w:shd w:val="clear" w:color="auto" w:fill="auto"/>
            <w:noWrap/>
            <w:vAlign w:val="bottom"/>
            <w:hideMark/>
          </w:tcPr>
          <w:p w14:paraId="0850F23D" w14:textId="77777777" w:rsidR="009C79C3" w:rsidRPr="00583C56" w:rsidRDefault="009C79C3" w:rsidP="009C79C3">
            <w:pPr>
              <w:rPr>
                <w:rFonts w:cs="Arial"/>
                <w:b/>
                <w:bCs/>
                <w:color w:val="000000"/>
                <w:szCs w:val="22"/>
                <w:lang w:eastAsia="en-GB"/>
              </w:rPr>
            </w:pPr>
          </w:p>
        </w:tc>
        <w:tc>
          <w:tcPr>
            <w:tcW w:w="993" w:type="dxa"/>
            <w:tcBorders>
              <w:top w:val="nil"/>
              <w:left w:val="nil"/>
              <w:bottom w:val="nil"/>
              <w:right w:val="nil"/>
            </w:tcBorders>
            <w:shd w:val="clear" w:color="auto" w:fill="auto"/>
            <w:noWrap/>
            <w:vAlign w:val="bottom"/>
            <w:hideMark/>
          </w:tcPr>
          <w:p w14:paraId="2469D292" w14:textId="77777777" w:rsidR="009C79C3" w:rsidRPr="00583C56" w:rsidRDefault="009C79C3" w:rsidP="009C79C3">
            <w:pPr>
              <w:rPr>
                <w:rFonts w:cs="Arial"/>
                <w:szCs w:val="22"/>
                <w:lang w:eastAsia="en-GB"/>
              </w:rPr>
            </w:pPr>
          </w:p>
        </w:tc>
        <w:tc>
          <w:tcPr>
            <w:tcW w:w="1559" w:type="dxa"/>
            <w:tcBorders>
              <w:top w:val="nil"/>
              <w:left w:val="nil"/>
              <w:bottom w:val="nil"/>
              <w:right w:val="single" w:sz="12" w:space="0" w:color="A8D08D"/>
            </w:tcBorders>
            <w:shd w:val="clear" w:color="auto" w:fill="auto"/>
            <w:noWrap/>
            <w:vAlign w:val="bottom"/>
            <w:hideMark/>
          </w:tcPr>
          <w:p w14:paraId="0ABFFEAA" w14:textId="77777777" w:rsidR="009C79C3" w:rsidRPr="00583C56" w:rsidRDefault="009C79C3" w:rsidP="009C79C3">
            <w:pPr>
              <w:rPr>
                <w:rFonts w:cs="Arial"/>
                <w:szCs w:val="22"/>
                <w:lang w:eastAsia="en-GB"/>
              </w:rPr>
            </w:pPr>
          </w:p>
        </w:tc>
        <w:tc>
          <w:tcPr>
            <w:tcW w:w="1603" w:type="dxa"/>
            <w:tcBorders>
              <w:top w:val="nil"/>
              <w:left w:val="single" w:sz="12" w:space="0" w:color="A8D08D"/>
              <w:bottom w:val="nil"/>
              <w:right w:val="nil"/>
            </w:tcBorders>
            <w:shd w:val="clear" w:color="auto" w:fill="auto"/>
            <w:noWrap/>
            <w:vAlign w:val="bottom"/>
            <w:hideMark/>
          </w:tcPr>
          <w:p w14:paraId="02996826" w14:textId="77777777" w:rsidR="009C79C3" w:rsidRPr="00583C56" w:rsidRDefault="009C79C3" w:rsidP="009C79C3">
            <w:pPr>
              <w:rPr>
                <w:rFonts w:cs="Arial"/>
                <w:szCs w:val="22"/>
                <w:lang w:eastAsia="en-GB"/>
              </w:rPr>
            </w:pPr>
          </w:p>
        </w:tc>
        <w:tc>
          <w:tcPr>
            <w:tcW w:w="1220" w:type="dxa"/>
            <w:tcBorders>
              <w:top w:val="nil"/>
              <w:left w:val="nil"/>
              <w:bottom w:val="nil"/>
              <w:right w:val="nil"/>
            </w:tcBorders>
            <w:shd w:val="clear" w:color="auto" w:fill="auto"/>
            <w:noWrap/>
            <w:vAlign w:val="bottom"/>
            <w:hideMark/>
          </w:tcPr>
          <w:p w14:paraId="523D299C"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0F721B2C"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278914C4"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50EE7C5E"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682601D4" w14:textId="77777777" w:rsidR="009C79C3" w:rsidRPr="00583C56" w:rsidRDefault="009C79C3" w:rsidP="009C79C3">
            <w:pPr>
              <w:rPr>
                <w:rFonts w:cs="Arial"/>
                <w:szCs w:val="22"/>
                <w:lang w:eastAsia="en-GB"/>
              </w:rPr>
            </w:pPr>
          </w:p>
        </w:tc>
      </w:tr>
      <w:tr w:rsidR="009C79C3" w:rsidRPr="00583C56" w14:paraId="19C2A740" w14:textId="77777777" w:rsidTr="00583C56">
        <w:trPr>
          <w:trHeight w:val="292"/>
        </w:trPr>
        <w:tc>
          <w:tcPr>
            <w:tcW w:w="2410" w:type="dxa"/>
            <w:tcBorders>
              <w:top w:val="nil"/>
              <w:left w:val="single" w:sz="12" w:space="0" w:color="A8D08D"/>
              <w:bottom w:val="nil"/>
              <w:right w:val="nil"/>
            </w:tcBorders>
            <w:shd w:val="clear" w:color="auto" w:fill="auto"/>
            <w:vAlign w:val="bottom"/>
            <w:hideMark/>
          </w:tcPr>
          <w:p w14:paraId="32E872FE" w14:textId="77777777" w:rsidR="009C79C3" w:rsidRPr="00583C56" w:rsidRDefault="009C79C3" w:rsidP="009C79C3">
            <w:pPr>
              <w:rPr>
                <w:rFonts w:cs="Arial"/>
                <w:color w:val="000000"/>
                <w:szCs w:val="22"/>
                <w:lang w:eastAsia="en-GB"/>
              </w:rPr>
            </w:pPr>
            <w:r w:rsidRPr="00583C56">
              <w:rPr>
                <w:rFonts w:cs="Arial"/>
                <w:color w:val="000000"/>
                <w:szCs w:val="22"/>
                <w:lang w:eastAsia="en-GB"/>
              </w:rPr>
              <w:t>Employee Benefits</w:t>
            </w:r>
          </w:p>
        </w:tc>
        <w:tc>
          <w:tcPr>
            <w:tcW w:w="1559" w:type="dxa"/>
            <w:tcBorders>
              <w:top w:val="nil"/>
              <w:left w:val="nil"/>
              <w:bottom w:val="nil"/>
              <w:right w:val="nil"/>
            </w:tcBorders>
            <w:shd w:val="clear" w:color="auto" w:fill="auto"/>
            <w:noWrap/>
            <w:vAlign w:val="bottom"/>
            <w:hideMark/>
          </w:tcPr>
          <w:p w14:paraId="1A903F5C"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16,128 </w:t>
            </w:r>
          </w:p>
        </w:tc>
        <w:tc>
          <w:tcPr>
            <w:tcW w:w="993" w:type="dxa"/>
            <w:tcBorders>
              <w:top w:val="nil"/>
              <w:left w:val="nil"/>
              <w:bottom w:val="nil"/>
              <w:right w:val="nil"/>
            </w:tcBorders>
            <w:shd w:val="clear" w:color="auto" w:fill="auto"/>
            <w:noWrap/>
            <w:vAlign w:val="bottom"/>
            <w:hideMark/>
          </w:tcPr>
          <w:p w14:paraId="2ADB7208"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0 </w:t>
            </w:r>
          </w:p>
        </w:tc>
        <w:tc>
          <w:tcPr>
            <w:tcW w:w="1559" w:type="dxa"/>
            <w:tcBorders>
              <w:top w:val="nil"/>
              <w:left w:val="nil"/>
              <w:bottom w:val="nil"/>
              <w:right w:val="single" w:sz="12" w:space="0" w:color="A8D08D"/>
            </w:tcBorders>
            <w:shd w:val="clear" w:color="auto" w:fill="auto"/>
            <w:noWrap/>
            <w:vAlign w:val="bottom"/>
            <w:hideMark/>
          </w:tcPr>
          <w:p w14:paraId="3FB26CEE"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16,128 </w:t>
            </w:r>
          </w:p>
        </w:tc>
        <w:tc>
          <w:tcPr>
            <w:tcW w:w="1603" w:type="dxa"/>
            <w:tcBorders>
              <w:top w:val="nil"/>
              <w:left w:val="single" w:sz="12" w:space="0" w:color="A8D08D"/>
              <w:bottom w:val="nil"/>
              <w:right w:val="nil"/>
            </w:tcBorders>
            <w:shd w:val="clear" w:color="auto" w:fill="auto"/>
            <w:noWrap/>
            <w:vAlign w:val="bottom"/>
            <w:hideMark/>
          </w:tcPr>
          <w:p w14:paraId="3B09C000" w14:textId="77777777" w:rsidR="009C79C3" w:rsidRPr="00583C56" w:rsidRDefault="009C79C3" w:rsidP="009C79C3">
            <w:pPr>
              <w:jc w:val="right"/>
              <w:rPr>
                <w:rFonts w:cs="Arial"/>
                <w:color w:val="000000"/>
                <w:szCs w:val="22"/>
                <w:lang w:eastAsia="en-GB"/>
              </w:rPr>
            </w:pPr>
          </w:p>
        </w:tc>
        <w:tc>
          <w:tcPr>
            <w:tcW w:w="1220" w:type="dxa"/>
            <w:tcBorders>
              <w:top w:val="nil"/>
              <w:left w:val="nil"/>
              <w:bottom w:val="nil"/>
              <w:right w:val="nil"/>
            </w:tcBorders>
            <w:shd w:val="clear" w:color="auto" w:fill="auto"/>
            <w:noWrap/>
            <w:vAlign w:val="bottom"/>
            <w:hideMark/>
          </w:tcPr>
          <w:p w14:paraId="00179C2B"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24CEBAC5"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29DFE44C"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0D45F8BA"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5063A520" w14:textId="77777777" w:rsidR="009C79C3" w:rsidRPr="00583C56" w:rsidRDefault="009C79C3" w:rsidP="009C79C3">
            <w:pPr>
              <w:rPr>
                <w:rFonts w:cs="Arial"/>
                <w:szCs w:val="22"/>
                <w:lang w:eastAsia="en-GB"/>
              </w:rPr>
            </w:pPr>
          </w:p>
        </w:tc>
      </w:tr>
      <w:tr w:rsidR="009C79C3" w:rsidRPr="00583C56" w14:paraId="53FB360B" w14:textId="77777777" w:rsidTr="00583C56">
        <w:trPr>
          <w:trHeight w:val="292"/>
        </w:trPr>
        <w:tc>
          <w:tcPr>
            <w:tcW w:w="2410" w:type="dxa"/>
            <w:tcBorders>
              <w:top w:val="nil"/>
              <w:left w:val="single" w:sz="12" w:space="0" w:color="A8D08D"/>
              <w:bottom w:val="nil"/>
              <w:right w:val="nil"/>
            </w:tcBorders>
            <w:shd w:val="clear" w:color="auto" w:fill="auto"/>
            <w:vAlign w:val="bottom"/>
            <w:hideMark/>
          </w:tcPr>
          <w:p w14:paraId="5B9707EF" w14:textId="77777777" w:rsidR="009C79C3" w:rsidRPr="00583C56" w:rsidRDefault="009C79C3" w:rsidP="009C79C3">
            <w:pPr>
              <w:rPr>
                <w:rFonts w:cs="Arial"/>
                <w:color w:val="000000"/>
                <w:szCs w:val="22"/>
                <w:lang w:eastAsia="en-GB"/>
              </w:rPr>
            </w:pPr>
            <w:r w:rsidRPr="00583C56">
              <w:rPr>
                <w:rFonts w:cs="Arial"/>
                <w:color w:val="000000"/>
                <w:szCs w:val="22"/>
                <w:lang w:eastAsia="en-GB"/>
              </w:rPr>
              <w:t>Other Service Expenses</w:t>
            </w:r>
          </w:p>
        </w:tc>
        <w:tc>
          <w:tcPr>
            <w:tcW w:w="1559" w:type="dxa"/>
            <w:tcBorders>
              <w:top w:val="nil"/>
              <w:left w:val="nil"/>
              <w:bottom w:val="nil"/>
              <w:right w:val="nil"/>
            </w:tcBorders>
            <w:shd w:val="clear" w:color="auto" w:fill="auto"/>
            <w:noWrap/>
            <w:vAlign w:val="bottom"/>
            <w:hideMark/>
          </w:tcPr>
          <w:p w14:paraId="4C1832D1"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44,542 </w:t>
            </w:r>
          </w:p>
        </w:tc>
        <w:tc>
          <w:tcPr>
            <w:tcW w:w="993" w:type="dxa"/>
            <w:tcBorders>
              <w:top w:val="nil"/>
              <w:left w:val="nil"/>
              <w:bottom w:val="nil"/>
              <w:right w:val="nil"/>
            </w:tcBorders>
            <w:shd w:val="clear" w:color="auto" w:fill="auto"/>
            <w:noWrap/>
            <w:vAlign w:val="bottom"/>
            <w:hideMark/>
          </w:tcPr>
          <w:p w14:paraId="57625158" w14:textId="77777777" w:rsidR="009C79C3" w:rsidRPr="00583C56" w:rsidRDefault="009C79C3" w:rsidP="009C79C3">
            <w:pPr>
              <w:jc w:val="right"/>
              <w:rPr>
                <w:rFonts w:cs="Arial"/>
                <w:color w:val="000000"/>
                <w:szCs w:val="22"/>
                <w:lang w:eastAsia="en-GB"/>
              </w:rPr>
            </w:pPr>
            <w:r w:rsidRPr="00583C56">
              <w:rPr>
                <w:rFonts w:cs="Arial"/>
                <w:color w:val="FF0000"/>
                <w:szCs w:val="22"/>
                <w:lang w:eastAsia="en-GB"/>
              </w:rPr>
              <w:t xml:space="preserve">-2,067 </w:t>
            </w:r>
          </w:p>
        </w:tc>
        <w:tc>
          <w:tcPr>
            <w:tcW w:w="1559" w:type="dxa"/>
            <w:tcBorders>
              <w:top w:val="nil"/>
              <w:left w:val="nil"/>
              <w:bottom w:val="nil"/>
              <w:right w:val="single" w:sz="12" w:space="0" w:color="A8D08D"/>
            </w:tcBorders>
            <w:shd w:val="clear" w:color="auto" w:fill="auto"/>
            <w:noWrap/>
            <w:vAlign w:val="bottom"/>
            <w:hideMark/>
          </w:tcPr>
          <w:p w14:paraId="71D77981"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42,475 </w:t>
            </w:r>
          </w:p>
        </w:tc>
        <w:tc>
          <w:tcPr>
            <w:tcW w:w="1603" w:type="dxa"/>
            <w:tcBorders>
              <w:top w:val="nil"/>
              <w:left w:val="single" w:sz="12" w:space="0" w:color="A8D08D"/>
              <w:bottom w:val="nil"/>
              <w:right w:val="nil"/>
            </w:tcBorders>
            <w:shd w:val="clear" w:color="auto" w:fill="auto"/>
            <w:noWrap/>
            <w:vAlign w:val="bottom"/>
            <w:hideMark/>
          </w:tcPr>
          <w:p w14:paraId="725D3036" w14:textId="77777777" w:rsidR="009C79C3" w:rsidRPr="00583C56" w:rsidRDefault="009C79C3" w:rsidP="009C79C3">
            <w:pPr>
              <w:jc w:val="right"/>
              <w:rPr>
                <w:rFonts w:cs="Arial"/>
                <w:color w:val="000000"/>
                <w:szCs w:val="22"/>
                <w:lang w:eastAsia="en-GB"/>
              </w:rPr>
            </w:pPr>
          </w:p>
        </w:tc>
        <w:tc>
          <w:tcPr>
            <w:tcW w:w="1220" w:type="dxa"/>
            <w:tcBorders>
              <w:top w:val="nil"/>
              <w:left w:val="nil"/>
              <w:bottom w:val="nil"/>
              <w:right w:val="nil"/>
            </w:tcBorders>
            <w:shd w:val="clear" w:color="auto" w:fill="auto"/>
            <w:noWrap/>
            <w:vAlign w:val="bottom"/>
            <w:hideMark/>
          </w:tcPr>
          <w:p w14:paraId="7C0F8C9D"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7B924CC1"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369793B5"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700A4983"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55B320B9" w14:textId="77777777" w:rsidR="009C79C3" w:rsidRPr="00583C56" w:rsidRDefault="009C79C3" w:rsidP="009C79C3">
            <w:pPr>
              <w:rPr>
                <w:rFonts w:cs="Arial"/>
                <w:szCs w:val="22"/>
                <w:lang w:eastAsia="en-GB"/>
              </w:rPr>
            </w:pPr>
          </w:p>
        </w:tc>
      </w:tr>
      <w:tr w:rsidR="009C79C3" w:rsidRPr="00583C56" w14:paraId="4B9F76AB" w14:textId="77777777" w:rsidTr="00583C56">
        <w:trPr>
          <w:trHeight w:val="292"/>
        </w:trPr>
        <w:tc>
          <w:tcPr>
            <w:tcW w:w="2410" w:type="dxa"/>
            <w:tcBorders>
              <w:top w:val="nil"/>
              <w:left w:val="single" w:sz="12" w:space="0" w:color="A8D08D"/>
              <w:bottom w:val="nil"/>
              <w:right w:val="nil"/>
            </w:tcBorders>
            <w:shd w:val="clear" w:color="auto" w:fill="auto"/>
            <w:vAlign w:val="bottom"/>
            <w:hideMark/>
          </w:tcPr>
          <w:p w14:paraId="67551FDB" w14:textId="77777777" w:rsidR="009C79C3" w:rsidRPr="00583C56" w:rsidRDefault="009C79C3" w:rsidP="009C79C3">
            <w:pPr>
              <w:rPr>
                <w:rFonts w:cs="Arial"/>
                <w:color w:val="000000"/>
                <w:szCs w:val="22"/>
                <w:lang w:eastAsia="en-GB"/>
              </w:rPr>
            </w:pPr>
            <w:r w:rsidRPr="00583C56">
              <w:rPr>
                <w:rFonts w:cs="Arial"/>
                <w:color w:val="000000"/>
                <w:szCs w:val="22"/>
                <w:lang w:eastAsia="en-GB"/>
              </w:rPr>
              <w:t>Depreciation, Impairment</w:t>
            </w:r>
          </w:p>
        </w:tc>
        <w:tc>
          <w:tcPr>
            <w:tcW w:w="1559" w:type="dxa"/>
            <w:tcBorders>
              <w:top w:val="nil"/>
              <w:left w:val="nil"/>
              <w:bottom w:val="nil"/>
              <w:right w:val="nil"/>
            </w:tcBorders>
            <w:shd w:val="clear" w:color="auto" w:fill="auto"/>
            <w:noWrap/>
            <w:vAlign w:val="bottom"/>
            <w:hideMark/>
          </w:tcPr>
          <w:p w14:paraId="47B408EC"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8,108 </w:t>
            </w:r>
          </w:p>
        </w:tc>
        <w:tc>
          <w:tcPr>
            <w:tcW w:w="993" w:type="dxa"/>
            <w:tcBorders>
              <w:top w:val="nil"/>
              <w:left w:val="nil"/>
              <w:bottom w:val="nil"/>
              <w:right w:val="nil"/>
            </w:tcBorders>
            <w:shd w:val="clear" w:color="auto" w:fill="auto"/>
            <w:noWrap/>
            <w:vAlign w:val="bottom"/>
            <w:hideMark/>
          </w:tcPr>
          <w:p w14:paraId="60C722F2"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0 </w:t>
            </w:r>
          </w:p>
        </w:tc>
        <w:tc>
          <w:tcPr>
            <w:tcW w:w="1559" w:type="dxa"/>
            <w:tcBorders>
              <w:top w:val="nil"/>
              <w:left w:val="nil"/>
              <w:bottom w:val="nil"/>
              <w:right w:val="single" w:sz="12" w:space="0" w:color="A8D08D"/>
            </w:tcBorders>
            <w:shd w:val="clear" w:color="auto" w:fill="auto"/>
            <w:noWrap/>
            <w:vAlign w:val="bottom"/>
            <w:hideMark/>
          </w:tcPr>
          <w:p w14:paraId="52947641"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8,108 </w:t>
            </w:r>
          </w:p>
        </w:tc>
        <w:tc>
          <w:tcPr>
            <w:tcW w:w="1603" w:type="dxa"/>
            <w:tcBorders>
              <w:top w:val="nil"/>
              <w:left w:val="single" w:sz="12" w:space="0" w:color="A8D08D"/>
              <w:bottom w:val="nil"/>
              <w:right w:val="nil"/>
            </w:tcBorders>
            <w:shd w:val="clear" w:color="auto" w:fill="auto"/>
            <w:noWrap/>
            <w:vAlign w:val="bottom"/>
            <w:hideMark/>
          </w:tcPr>
          <w:p w14:paraId="24897B60" w14:textId="77777777" w:rsidR="009C79C3" w:rsidRPr="00583C56" w:rsidRDefault="009C79C3" w:rsidP="009C79C3">
            <w:pPr>
              <w:jc w:val="right"/>
              <w:rPr>
                <w:rFonts w:cs="Arial"/>
                <w:color w:val="000000"/>
                <w:szCs w:val="22"/>
                <w:lang w:eastAsia="en-GB"/>
              </w:rPr>
            </w:pPr>
          </w:p>
        </w:tc>
        <w:tc>
          <w:tcPr>
            <w:tcW w:w="1220" w:type="dxa"/>
            <w:tcBorders>
              <w:top w:val="nil"/>
              <w:left w:val="nil"/>
              <w:bottom w:val="nil"/>
              <w:right w:val="nil"/>
            </w:tcBorders>
            <w:shd w:val="clear" w:color="auto" w:fill="auto"/>
            <w:noWrap/>
            <w:vAlign w:val="bottom"/>
            <w:hideMark/>
          </w:tcPr>
          <w:p w14:paraId="494ECA98"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6EBF1650"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33C7E6E3"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16F154A1"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434866E0" w14:textId="77777777" w:rsidR="009C79C3" w:rsidRPr="00583C56" w:rsidRDefault="009C79C3" w:rsidP="009C79C3">
            <w:pPr>
              <w:rPr>
                <w:rFonts w:cs="Arial"/>
                <w:szCs w:val="22"/>
                <w:lang w:eastAsia="en-GB"/>
              </w:rPr>
            </w:pPr>
          </w:p>
        </w:tc>
      </w:tr>
      <w:tr w:rsidR="009C79C3" w:rsidRPr="00583C56" w14:paraId="23D870AB" w14:textId="77777777" w:rsidTr="00583C56">
        <w:trPr>
          <w:trHeight w:val="292"/>
        </w:trPr>
        <w:tc>
          <w:tcPr>
            <w:tcW w:w="2410" w:type="dxa"/>
            <w:tcBorders>
              <w:top w:val="nil"/>
              <w:left w:val="single" w:sz="12" w:space="0" w:color="A8D08D"/>
              <w:bottom w:val="nil"/>
              <w:right w:val="nil"/>
            </w:tcBorders>
            <w:shd w:val="clear" w:color="auto" w:fill="auto"/>
            <w:vAlign w:val="bottom"/>
            <w:hideMark/>
          </w:tcPr>
          <w:p w14:paraId="3F98490D" w14:textId="77777777" w:rsidR="009C79C3" w:rsidRPr="00583C56" w:rsidRDefault="009C79C3" w:rsidP="009C79C3">
            <w:pPr>
              <w:rPr>
                <w:rFonts w:cs="Arial"/>
                <w:color w:val="000000"/>
                <w:szCs w:val="22"/>
                <w:lang w:eastAsia="en-GB"/>
              </w:rPr>
            </w:pPr>
            <w:r w:rsidRPr="00583C56">
              <w:rPr>
                <w:rFonts w:cs="Arial"/>
                <w:color w:val="000000"/>
                <w:szCs w:val="22"/>
                <w:lang w:eastAsia="en-GB"/>
              </w:rPr>
              <w:t>Interest Payments</w:t>
            </w:r>
          </w:p>
        </w:tc>
        <w:tc>
          <w:tcPr>
            <w:tcW w:w="1559" w:type="dxa"/>
            <w:tcBorders>
              <w:top w:val="nil"/>
              <w:left w:val="nil"/>
              <w:bottom w:val="nil"/>
              <w:right w:val="nil"/>
            </w:tcBorders>
            <w:shd w:val="clear" w:color="auto" w:fill="auto"/>
            <w:noWrap/>
            <w:vAlign w:val="bottom"/>
            <w:hideMark/>
          </w:tcPr>
          <w:p w14:paraId="503743C6"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2,068 </w:t>
            </w:r>
          </w:p>
        </w:tc>
        <w:tc>
          <w:tcPr>
            <w:tcW w:w="993" w:type="dxa"/>
            <w:tcBorders>
              <w:top w:val="nil"/>
              <w:left w:val="nil"/>
              <w:bottom w:val="nil"/>
              <w:right w:val="nil"/>
            </w:tcBorders>
            <w:shd w:val="clear" w:color="auto" w:fill="auto"/>
            <w:noWrap/>
            <w:vAlign w:val="bottom"/>
            <w:hideMark/>
          </w:tcPr>
          <w:p w14:paraId="732FEAC7"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0 </w:t>
            </w:r>
          </w:p>
        </w:tc>
        <w:tc>
          <w:tcPr>
            <w:tcW w:w="1559" w:type="dxa"/>
            <w:tcBorders>
              <w:top w:val="nil"/>
              <w:left w:val="nil"/>
              <w:bottom w:val="nil"/>
              <w:right w:val="single" w:sz="12" w:space="0" w:color="A8D08D"/>
            </w:tcBorders>
            <w:shd w:val="clear" w:color="auto" w:fill="auto"/>
            <w:noWrap/>
            <w:vAlign w:val="bottom"/>
            <w:hideMark/>
          </w:tcPr>
          <w:p w14:paraId="104ECB0F"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2,068 </w:t>
            </w:r>
          </w:p>
        </w:tc>
        <w:tc>
          <w:tcPr>
            <w:tcW w:w="1603" w:type="dxa"/>
            <w:tcBorders>
              <w:top w:val="nil"/>
              <w:left w:val="single" w:sz="12" w:space="0" w:color="A8D08D"/>
              <w:bottom w:val="nil"/>
              <w:right w:val="nil"/>
            </w:tcBorders>
            <w:shd w:val="clear" w:color="auto" w:fill="auto"/>
            <w:noWrap/>
            <w:vAlign w:val="bottom"/>
            <w:hideMark/>
          </w:tcPr>
          <w:p w14:paraId="39D0AE2E" w14:textId="77777777" w:rsidR="009C79C3" w:rsidRPr="00583C56" w:rsidRDefault="009C79C3" w:rsidP="009C79C3">
            <w:pPr>
              <w:jc w:val="right"/>
              <w:rPr>
                <w:rFonts w:cs="Arial"/>
                <w:color w:val="000000"/>
                <w:szCs w:val="22"/>
                <w:lang w:eastAsia="en-GB"/>
              </w:rPr>
            </w:pPr>
          </w:p>
        </w:tc>
        <w:tc>
          <w:tcPr>
            <w:tcW w:w="1220" w:type="dxa"/>
            <w:tcBorders>
              <w:top w:val="nil"/>
              <w:left w:val="nil"/>
              <w:bottom w:val="nil"/>
              <w:right w:val="nil"/>
            </w:tcBorders>
            <w:shd w:val="clear" w:color="auto" w:fill="auto"/>
            <w:noWrap/>
            <w:vAlign w:val="bottom"/>
            <w:hideMark/>
          </w:tcPr>
          <w:p w14:paraId="15B6E93D"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251E8A6D"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1FB13318"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6C01DBBC"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1E57A818" w14:textId="77777777" w:rsidR="009C79C3" w:rsidRPr="00583C56" w:rsidRDefault="009C79C3" w:rsidP="009C79C3">
            <w:pPr>
              <w:rPr>
                <w:rFonts w:cs="Arial"/>
                <w:szCs w:val="22"/>
                <w:lang w:eastAsia="en-GB"/>
              </w:rPr>
            </w:pPr>
          </w:p>
        </w:tc>
      </w:tr>
      <w:tr w:rsidR="009C79C3" w:rsidRPr="00583C56" w14:paraId="066908E2" w14:textId="77777777" w:rsidTr="00583C56">
        <w:trPr>
          <w:trHeight w:val="292"/>
        </w:trPr>
        <w:tc>
          <w:tcPr>
            <w:tcW w:w="2410" w:type="dxa"/>
            <w:tcBorders>
              <w:top w:val="nil"/>
              <w:left w:val="single" w:sz="12" w:space="0" w:color="A8D08D"/>
              <w:bottom w:val="nil"/>
              <w:right w:val="nil"/>
            </w:tcBorders>
            <w:shd w:val="clear" w:color="auto" w:fill="auto"/>
            <w:vAlign w:val="bottom"/>
            <w:hideMark/>
          </w:tcPr>
          <w:p w14:paraId="416722B1" w14:textId="77777777" w:rsidR="009C79C3" w:rsidRPr="00583C56" w:rsidRDefault="009C79C3" w:rsidP="009C79C3">
            <w:pPr>
              <w:rPr>
                <w:rFonts w:cs="Arial"/>
                <w:color w:val="000000"/>
                <w:szCs w:val="22"/>
                <w:lang w:eastAsia="en-GB"/>
              </w:rPr>
            </w:pPr>
            <w:r w:rsidRPr="00583C56">
              <w:rPr>
                <w:rFonts w:cs="Arial"/>
                <w:color w:val="000000"/>
                <w:szCs w:val="22"/>
                <w:lang w:eastAsia="en-GB"/>
              </w:rPr>
              <w:t>Precepts &amp; Levies</w:t>
            </w:r>
          </w:p>
        </w:tc>
        <w:tc>
          <w:tcPr>
            <w:tcW w:w="1559" w:type="dxa"/>
            <w:tcBorders>
              <w:top w:val="nil"/>
              <w:left w:val="nil"/>
              <w:bottom w:val="nil"/>
              <w:right w:val="nil"/>
            </w:tcBorders>
            <w:shd w:val="clear" w:color="auto" w:fill="auto"/>
            <w:noWrap/>
            <w:vAlign w:val="bottom"/>
            <w:hideMark/>
          </w:tcPr>
          <w:p w14:paraId="2CAAC096"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732 </w:t>
            </w:r>
          </w:p>
        </w:tc>
        <w:tc>
          <w:tcPr>
            <w:tcW w:w="993" w:type="dxa"/>
            <w:tcBorders>
              <w:top w:val="nil"/>
              <w:left w:val="nil"/>
              <w:bottom w:val="nil"/>
              <w:right w:val="nil"/>
            </w:tcBorders>
            <w:shd w:val="clear" w:color="auto" w:fill="auto"/>
            <w:noWrap/>
            <w:vAlign w:val="bottom"/>
            <w:hideMark/>
          </w:tcPr>
          <w:p w14:paraId="2DAAFDA1"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0 </w:t>
            </w:r>
          </w:p>
        </w:tc>
        <w:tc>
          <w:tcPr>
            <w:tcW w:w="1559" w:type="dxa"/>
            <w:tcBorders>
              <w:top w:val="nil"/>
              <w:left w:val="nil"/>
              <w:bottom w:val="nil"/>
              <w:right w:val="single" w:sz="12" w:space="0" w:color="A8D08D"/>
            </w:tcBorders>
            <w:shd w:val="clear" w:color="auto" w:fill="auto"/>
            <w:noWrap/>
            <w:vAlign w:val="bottom"/>
            <w:hideMark/>
          </w:tcPr>
          <w:p w14:paraId="13D0D9BD"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732 </w:t>
            </w:r>
          </w:p>
        </w:tc>
        <w:tc>
          <w:tcPr>
            <w:tcW w:w="1603" w:type="dxa"/>
            <w:tcBorders>
              <w:top w:val="nil"/>
              <w:left w:val="single" w:sz="12" w:space="0" w:color="A8D08D"/>
              <w:bottom w:val="nil"/>
              <w:right w:val="nil"/>
            </w:tcBorders>
            <w:shd w:val="clear" w:color="auto" w:fill="auto"/>
            <w:noWrap/>
            <w:vAlign w:val="bottom"/>
            <w:hideMark/>
          </w:tcPr>
          <w:p w14:paraId="4E3DEFBE" w14:textId="77777777" w:rsidR="009C79C3" w:rsidRPr="00583C56" w:rsidRDefault="009C79C3" w:rsidP="009C79C3">
            <w:pPr>
              <w:jc w:val="right"/>
              <w:rPr>
                <w:rFonts w:cs="Arial"/>
                <w:color w:val="000000"/>
                <w:szCs w:val="22"/>
                <w:lang w:eastAsia="en-GB"/>
              </w:rPr>
            </w:pPr>
          </w:p>
        </w:tc>
        <w:tc>
          <w:tcPr>
            <w:tcW w:w="1220" w:type="dxa"/>
            <w:tcBorders>
              <w:top w:val="nil"/>
              <w:left w:val="nil"/>
              <w:bottom w:val="nil"/>
              <w:right w:val="nil"/>
            </w:tcBorders>
            <w:shd w:val="clear" w:color="auto" w:fill="auto"/>
            <w:noWrap/>
            <w:vAlign w:val="bottom"/>
            <w:hideMark/>
          </w:tcPr>
          <w:p w14:paraId="39231BD3"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12EF324A"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7D69030B"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40A6A5BF"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543167D4" w14:textId="77777777" w:rsidR="009C79C3" w:rsidRPr="00583C56" w:rsidRDefault="009C79C3" w:rsidP="009C79C3">
            <w:pPr>
              <w:rPr>
                <w:rFonts w:cs="Arial"/>
                <w:szCs w:val="22"/>
                <w:lang w:eastAsia="en-GB"/>
              </w:rPr>
            </w:pPr>
          </w:p>
        </w:tc>
      </w:tr>
      <w:tr w:rsidR="009C79C3" w:rsidRPr="00583C56" w14:paraId="5D87ACE9" w14:textId="77777777" w:rsidTr="00583C56">
        <w:trPr>
          <w:trHeight w:val="292"/>
        </w:trPr>
        <w:tc>
          <w:tcPr>
            <w:tcW w:w="2410" w:type="dxa"/>
            <w:tcBorders>
              <w:top w:val="nil"/>
              <w:left w:val="single" w:sz="12" w:space="0" w:color="A8D08D"/>
              <w:bottom w:val="nil"/>
              <w:right w:val="nil"/>
            </w:tcBorders>
            <w:shd w:val="clear" w:color="auto" w:fill="auto"/>
            <w:vAlign w:val="bottom"/>
            <w:hideMark/>
          </w:tcPr>
          <w:p w14:paraId="068689EA" w14:textId="77777777" w:rsidR="009C79C3" w:rsidRPr="00583C56" w:rsidRDefault="009C79C3" w:rsidP="009C79C3">
            <w:pPr>
              <w:rPr>
                <w:rFonts w:cs="Arial"/>
                <w:color w:val="000000"/>
                <w:szCs w:val="22"/>
                <w:lang w:eastAsia="en-GB"/>
              </w:rPr>
            </w:pPr>
            <w:r w:rsidRPr="00583C56">
              <w:rPr>
                <w:rFonts w:cs="Arial"/>
                <w:color w:val="000000"/>
                <w:szCs w:val="22"/>
                <w:lang w:eastAsia="en-GB"/>
              </w:rPr>
              <w:t>Gain on the Disposal of Assets</w:t>
            </w:r>
          </w:p>
        </w:tc>
        <w:tc>
          <w:tcPr>
            <w:tcW w:w="1559" w:type="dxa"/>
            <w:tcBorders>
              <w:top w:val="nil"/>
              <w:left w:val="nil"/>
              <w:bottom w:val="nil"/>
              <w:right w:val="nil"/>
            </w:tcBorders>
            <w:shd w:val="clear" w:color="auto" w:fill="auto"/>
            <w:noWrap/>
            <w:vAlign w:val="bottom"/>
            <w:hideMark/>
          </w:tcPr>
          <w:p w14:paraId="7265983E" w14:textId="77777777" w:rsidR="009C79C3" w:rsidRPr="00583C56" w:rsidRDefault="009C79C3" w:rsidP="009C79C3">
            <w:pPr>
              <w:jc w:val="right"/>
              <w:rPr>
                <w:rFonts w:cs="Arial"/>
                <w:color w:val="000000"/>
                <w:szCs w:val="22"/>
                <w:lang w:eastAsia="en-GB"/>
              </w:rPr>
            </w:pPr>
            <w:r w:rsidRPr="00583C56">
              <w:rPr>
                <w:rFonts w:cs="Arial"/>
                <w:color w:val="FF0000"/>
                <w:szCs w:val="22"/>
                <w:lang w:eastAsia="en-GB"/>
              </w:rPr>
              <w:t xml:space="preserve">-32 </w:t>
            </w:r>
          </w:p>
        </w:tc>
        <w:tc>
          <w:tcPr>
            <w:tcW w:w="993" w:type="dxa"/>
            <w:tcBorders>
              <w:top w:val="nil"/>
              <w:left w:val="nil"/>
              <w:bottom w:val="nil"/>
              <w:right w:val="nil"/>
            </w:tcBorders>
            <w:shd w:val="clear" w:color="auto" w:fill="auto"/>
            <w:noWrap/>
            <w:vAlign w:val="bottom"/>
            <w:hideMark/>
          </w:tcPr>
          <w:p w14:paraId="3E8E723E"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0 </w:t>
            </w:r>
          </w:p>
        </w:tc>
        <w:tc>
          <w:tcPr>
            <w:tcW w:w="1559" w:type="dxa"/>
            <w:tcBorders>
              <w:top w:val="nil"/>
              <w:left w:val="nil"/>
              <w:bottom w:val="nil"/>
              <w:right w:val="single" w:sz="12" w:space="0" w:color="A8D08D"/>
            </w:tcBorders>
            <w:shd w:val="clear" w:color="auto" w:fill="auto"/>
            <w:noWrap/>
            <w:vAlign w:val="bottom"/>
            <w:hideMark/>
          </w:tcPr>
          <w:p w14:paraId="79C187C4" w14:textId="77777777" w:rsidR="009C79C3" w:rsidRPr="00583C56" w:rsidRDefault="009C79C3" w:rsidP="009C79C3">
            <w:pPr>
              <w:jc w:val="right"/>
              <w:rPr>
                <w:rFonts w:cs="Arial"/>
                <w:color w:val="000000"/>
                <w:szCs w:val="22"/>
                <w:lang w:eastAsia="en-GB"/>
              </w:rPr>
            </w:pPr>
            <w:r w:rsidRPr="00583C56">
              <w:rPr>
                <w:rFonts w:cs="Arial"/>
                <w:color w:val="FF0000"/>
                <w:szCs w:val="22"/>
                <w:lang w:eastAsia="en-GB"/>
              </w:rPr>
              <w:t xml:space="preserve">-32 </w:t>
            </w:r>
          </w:p>
        </w:tc>
        <w:tc>
          <w:tcPr>
            <w:tcW w:w="1603" w:type="dxa"/>
            <w:tcBorders>
              <w:top w:val="nil"/>
              <w:left w:val="single" w:sz="12" w:space="0" w:color="A8D08D"/>
              <w:bottom w:val="nil"/>
              <w:right w:val="nil"/>
            </w:tcBorders>
            <w:shd w:val="clear" w:color="auto" w:fill="auto"/>
            <w:noWrap/>
            <w:vAlign w:val="bottom"/>
            <w:hideMark/>
          </w:tcPr>
          <w:p w14:paraId="108262D7" w14:textId="77777777" w:rsidR="009C79C3" w:rsidRPr="00583C56" w:rsidRDefault="009C79C3" w:rsidP="009C79C3">
            <w:pPr>
              <w:jc w:val="right"/>
              <w:rPr>
                <w:rFonts w:cs="Arial"/>
                <w:color w:val="000000"/>
                <w:szCs w:val="22"/>
                <w:lang w:eastAsia="en-GB"/>
              </w:rPr>
            </w:pPr>
          </w:p>
        </w:tc>
        <w:tc>
          <w:tcPr>
            <w:tcW w:w="1220" w:type="dxa"/>
            <w:tcBorders>
              <w:top w:val="nil"/>
              <w:left w:val="nil"/>
              <w:bottom w:val="nil"/>
              <w:right w:val="nil"/>
            </w:tcBorders>
            <w:shd w:val="clear" w:color="auto" w:fill="auto"/>
            <w:noWrap/>
            <w:vAlign w:val="bottom"/>
            <w:hideMark/>
          </w:tcPr>
          <w:p w14:paraId="751696A9"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7E9ED950"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2F03BF16"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3DC66D8F"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0065D421" w14:textId="77777777" w:rsidR="009C79C3" w:rsidRPr="00583C56" w:rsidRDefault="009C79C3" w:rsidP="009C79C3">
            <w:pPr>
              <w:rPr>
                <w:rFonts w:cs="Arial"/>
                <w:szCs w:val="22"/>
                <w:lang w:eastAsia="en-GB"/>
              </w:rPr>
            </w:pPr>
          </w:p>
        </w:tc>
      </w:tr>
      <w:tr w:rsidR="009C79C3" w:rsidRPr="00583C56" w14:paraId="3AEEFEDF" w14:textId="77777777" w:rsidTr="00583C56">
        <w:trPr>
          <w:trHeight w:val="292"/>
        </w:trPr>
        <w:tc>
          <w:tcPr>
            <w:tcW w:w="2410" w:type="dxa"/>
            <w:tcBorders>
              <w:top w:val="nil"/>
              <w:left w:val="single" w:sz="12" w:space="0" w:color="A8D08D"/>
              <w:bottom w:val="nil"/>
              <w:right w:val="nil"/>
            </w:tcBorders>
            <w:shd w:val="clear" w:color="auto" w:fill="auto"/>
            <w:vAlign w:val="bottom"/>
            <w:hideMark/>
          </w:tcPr>
          <w:p w14:paraId="390145F5" w14:textId="77777777" w:rsidR="009C79C3" w:rsidRPr="00583C56" w:rsidRDefault="009C79C3" w:rsidP="009C79C3">
            <w:pPr>
              <w:rPr>
                <w:rFonts w:cs="Arial"/>
                <w:b/>
                <w:bCs/>
                <w:color w:val="000000"/>
                <w:szCs w:val="22"/>
                <w:lang w:eastAsia="en-GB"/>
              </w:rPr>
            </w:pPr>
            <w:r w:rsidRPr="00583C56">
              <w:rPr>
                <w:rFonts w:cs="Arial"/>
                <w:b/>
                <w:bCs/>
                <w:color w:val="000000"/>
                <w:szCs w:val="22"/>
                <w:lang w:eastAsia="en-GB"/>
              </w:rPr>
              <w:t>Total Expenditure</w:t>
            </w:r>
          </w:p>
        </w:tc>
        <w:tc>
          <w:tcPr>
            <w:tcW w:w="1559" w:type="dxa"/>
            <w:tcBorders>
              <w:top w:val="nil"/>
              <w:left w:val="nil"/>
              <w:bottom w:val="nil"/>
              <w:right w:val="nil"/>
            </w:tcBorders>
            <w:shd w:val="clear" w:color="auto" w:fill="auto"/>
            <w:noWrap/>
            <w:vAlign w:val="bottom"/>
            <w:hideMark/>
          </w:tcPr>
          <w:p w14:paraId="00E58BAB" w14:textId="77777777" w:rsidR="009C79C3" w:rsidRPr="00583C56" w:rsidRDefault="009C79C3" w:rsidP="009C79C3">
            <w:pPr>
              <w:jc w:val="right"/>
              <w:rPr>
                <w:rFonts w:cs="Arial"/>
                <w:b/>
                <w:bCs/>
                <w:color w:val="000000"/>
                <w:szCs w:val="22"/>
                <w:lang w:eastAsia="en-GB"/>
              </w:rPr>
            </w:pPr>
            <w:r w:rsidRPr="00583C56">
              <w:rPr>
                <w:rFonts w:cs="Arial"/>
                <w:b/>
                <w:bCs/>
                <w:color w:val="000000"/>
                <w:szCs w:val="22"/>
                <w:lang w:eastAsia="en-GB"/>
              </w:rPr>
              <w:t xml:space="preserve">71,546 </w:t>
            </w:r>
          </w:p>
        </w:tc>
        <w:tc>
          <w:tcPr>
            <w:tcW w:w="993" w:type="dxa"/>
            <w:tcBorders>
              <w:top w:val="nil"/>
              <w:left w:val="nil"/>
              <w:bottom w:val="nil"/>
              <w:right w:val="nil"/>
            </w:tcBorders>
            <w:shd w:val="clear" w:color="auto" w:fill="auto"/>
            <w:noWrap/>
            <w:vAlign w:val="bottom"/>
            <w:hideMark/>
          </w:tcPr>
          <w:p w14:paraId="012BD36D" w14:textId="07BEEB78" w:rsidR="009C79C3" w:rsidRPr="00583C56" w:rsidRDefault="00C53116" w:rsidP="009C79C3">
            <w:pPr>
              <w:jc w:val="right"/>
              <w:rPr>
                <w:rFonts w:cs="Arial"/>
                <w:b/>
                <w:bCs/>
                <w:color w:val="000000"/>
                <w:szCs w:val="22"/>
                <w:lang w:eastAsia="en-GB"/>
              </w:rPr>
            </w:pPr>
            <w:r>
              <w:rPr>
                <w:rFonts w:cs="Arial"/>
                <w:b/>
                <w:bCs/>
                <w:color w:val="000000"/>
                <w:szCs w:val="22"/>
                <w:lang w:eastAsia="en-GB"/>
              </w:rPr>
              <w:t>-</w:t>
            </w:r>
            <w:r w:rsidR="009C79C3" w:rsidRPr="00583C56">
              <w:rPr>
                <w:rFonts w:cs="Arial"/>
                <w:b/>
                <w:bCs/>
                <w:color w:val="000000"/>
                <w:szCs w:val="22"/>
                <w:lang w:eastAsia="en-GB"/>
              </w:rPr>
              <w:t xml:space="preserve">2,067 </w:t>
            </w:r>
          </w:p>
        </w:tc>
        <w:tc>
          <w:tcPr>
            <w:tcW w:w="1559" w:type="dxa"/>
            <w:tcBorders>
              <w:top w:val="nil"/>
              <w:left w:val="nil"/>
              <w:bottom w:val="nil"/>
              <w:right w:val="single" w:sz="12" w:space="0" w:color="A8D08D"/>
            </w:tcBorders>
            <w:shd w:val="clear" w:color="auto" w:fill="auto"/>
            <w:noWrap/>
            <w:vAlign w:val="bottom"/>
            <w:hideMark/>
          </w:tcPr>
          <w:p w14:paraId="095AA7D6" w14:textId="0CDE2E88" w:rsidR="009C79C3" w:rsidRPr="00583C56" w:rsidRDefault="00C53116" w:rsidP="00C53116">
            <w:pPr>
              <w:jc w:val="right"/>
              <w:rPr>
                <w:rFonts w:cs="Arial"/>
                <w:b/>
                <w:bCs/>
                <w:color w:val="000000"/>
                <w:szCs w:val="22"/>
                <w:lang w:eastAsia="en-GB"/>
              </w:rPr>
            </w:pPr>
            <w:r>
              <w:rPr>
                <w:rFonts w:cs="Arial"/>
                <w:b/>
                <w:bCs/>
                <w:color w:val="000000"/>
                <w:szCs w:val="22"/>
                <w:lang w:eastAsia="en-GB"/>
              </w:rPr>
              <w:t>69,479</w:t>
            </w:r>
            <w:r w:rsidR="009C79C3" w:rsidRPr="00583C56">
              <w:rPr>
                <w:rFonts w:cs="Arial"/>
                <w:b/>
                <w:bCs/>
                <w:color w:val="000000"/>
                <w:szCs w:val="22"/>
                <w:lang w:eastAsia="en-GB"/>
              </w:rPr>
              <w:t xml:space="preserve"> </w:t>
            </w:r>
          </w:p>
        </w:tc>
        <w:tc>
          <w:tcPr>
            <w:tcW w:w="1603" w:type="dxa"/>
            <w:tcBorders>
              <w:top w:val="nil"/>
              <w:left w:val="single" w:sz="12" w:space="0" w:color="A8D08D"/>
              <w:bottom w:val="nil"/>
              <w:right w:val="nil"/>
            </w:tcBorders>
            <w:shd w:val="clear" w:color="auto" w:fill="auto"/>
            <w:noWrap/>
            <w:vAlign w:val="bottom"/>
            <w:hideMark/>
          </w:tcPr>
          <w:p w14:paraId="75E5744C" w14:textId="77777777" w:rsidR="009C79C3" w:rsidRPr="00583C56" w:rsidRDefault="009C79C3" w:rsidP="009C79C3">
            <w:pPr>
              <w:jc w:val="right"/>
              <w:rPr>
                <w:rFonts w:cs="Arial"/>
                <w:b/>
                <w:bCs/>
                <w:color w:val="000000"/>
                <w:szCs w:val="22"/>
                <w:lang w:eastAsia="en-GB"/>
              </w:rPr>
            </w:pPr>
          </w:p>
        </w:tc>
        <w:tc>
          <w:tcPr>
            <w:tcW w:w="1220" w:type="dxa"/>
            <w:tcBorders>
              <w:top w:val="nil"/>
              <w:left w:val="nil"/>
              <w:bottom w:val="nil"/>
              <w:right w:val="nil"/>
            </w:tcBorders>
            <w:shd w:val="clear" w:color="auto" w:fill="auto"/>
            <w:noWrap/>
            <w:vAlign w:val="bottom"/>
            <w:hideMark/>
          </w:tcPr>
          <w:p w14:paraId="7EAB77F8"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13266FA4"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44959482"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396F2654"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781E3BF4" w14:textId="77777777" w:rsidR="009C79C3" w:rsidRPr="00583C56" w:rsidRDefault="009C79C3" w:rsidP="009C79C3">
            <w:pPr>
              <w:rPr>
                <w:rFonts w:cs="Arial"/>
                <w:szCs w:val="22"/>
                <w:lang w:eastAsia="en-GB"/>
              </w:rPr>
            </w:pPr>
          </w:p>
        </w:tc>
      </w:tr>
      <w:tr w:rsidR="009C79C3" w:rsidRPr="00583C56" w14:paraId="1061C242" w14:textId="77777777" w:rsidTr="00583C56">
        <w:trPr>
          <w:trHeight w:val="292"/>
        </w:trPr>
        <w:tc>
          <w:tcPr>
            <w:tcW w:w="2410" w:type="dxa"/>
            <w:tcBorders>
              <w:top w:val="nil"/>
              <w:left w:val="single" w:sz="12" w:space="0" w:color="A8D08D"/>
              <w:bottom w:val="nil"/>
              <w:right w:val="nil"/>
            </w:tcBorders>
            <w:shd w:val="clear" w:color="auto" w:fill="auto"/>
            <w:vAlign w:val="bottom"/>
            <w:hideMark/>
          </w:tcPr>
          <w:p w14:paraId="7DB474F8" w14:textId="77777777" w:rsidR="009C79C3" w:rsidRPr="00583C56" w:rsidRDefault="009C79C3" w:rsidP="009C79C3">
            <w:pPr>
              <w:rPr>
                <w:rFonts w:cs="Arial"/>
                <w:b/>
                <w:bCs/>
                <w:color w:val="000000"/>
                <w:szCs w:val="22"/>
                <w:lang w:eastAsia="en-GB"/>
              </w:rPr>
            </w:pPr>
            <w:r w:rsidRPr="00583C56">
              <w:rPr>
                <w:rFonts w:cs="Arial"/>
                <w:b/>
                <w:bCs/>
                <w:color w:val="000000"/>
                <w:szCs w:val="22"/>
                <w:lang w:eastAsia="en-GB"/>
              </w:rPr>
              <w:t>Income</w:t>
            </w:r>
          </w:p>
        </w:tc>
        <w:tc>
          <w:tcPr>
            <w:tcW w:w="1559" w:type="dxa"/>
            <w:tcBorders>
              <w:top w:val="nil"/>
              <w:left w:val="nil"/>
              <w:bottom w:val="nil"/>
              <w:right w:val="nil"/>
            </w:tcBorders>
            <w:shd w:val="clear" w:color="auto" w:fill="auto"/>
            <w:noWrap/>
            <w:vAlign w:val="bottom"/>
            <w:hideMark/>
          </w:tcPr>
          <w:p w14:paraId="0EF844A2" w14:textId="77777777" w:rsidR="009C79C3" w:rsidRPr="00583C56" w:rsidRDefault="009C79C3" w:rsidP="009C79C3">
            <w:pPr>
              <w:rPr>
                <w:rFonts w:cs="Arial"/>
                <w:b/>
                <w:bCs/>
                <w:color w:val="000000"/>
                <w:szCs w:val="22"/>
                <w:lang w:eastAsia="en-GB"/>
              </w:rPr>
            </w:pPr>
          </w:p>
        </w:tc>
        <w:tc>
          <w:tcPr>
            <w:tcW w:w="993" w:type="dxa"/>
            <w:tcBorders>
              <w:top w:val="nil"/>
              <w:left w:val="nil"/>
              <w:bottom w:val="nil"/>
              <w:right w:val="nil"/>
            </w:tcBorders>
            <w:shd w:val="clear" w:color="auto" w:fill="auto"/>
            <w:noWrap/>
            <w:vAlign w:val="bottom"/>
            <w:hideMark/>
          </w:tcPr>
          <w:p w14:paraId="656DBC1D" w14:textId="77777777" w:rsidR="009C79C3" w:rsidRPr="00583C56" w:rsidRDefault="009C79C3" w:rsidP="009C79C3">
            <w:pPr>
              <w:rPr>
                <w:rFonts w:cs="Arial"/>
                <w:szCs w:val="22"/>
                <w:lang w:eastAsia="en-GB"/>
              </w:rPr>
            </w:pPr>
          </w:p>
        </w:tc>
        <w:tc>
          <w:tcPr>
            <w:tcW w:w="1559" w:type="dxa"/>
            <w:tcBorders>
              <w:top w:val="nil"/>
              <w:left w:val="nil"/>
              <w:bottom w:val="nil"/>
              <w:right w:val="single" w:sz="12" w:space="0" w:color="A8D08D"/>
            </w:tcBorders>
            <w:shd w:val="clear" w:color="auto" w:fill="auto"/>
            <w:noWrap/>
            <w:vAlign w:val="bottom"/>
            <w:hideMark/>
          </w:tcPr>
          <w:p w14:paraId="3DD68664" w14:textId="77777777" w:rsidR="009C79C3" w:rsidRPr="00583C56" w:rsidRDefault="009C79C3" w:rsidP="009C79C3">
            <w:pPr>
              <w:rPr>
                <w:rFonts w:cs="Arial"/>
                <w:szCs w:val="22"/>
                <w:lang w:eastAsia="en-GB"/>
              </w:rPr>
            </w:pPr>
          </w:p>
        </w:tc>
        <w:tc>
          <w:tcPr>
            <w:tcW w:w="1603" w:type="dxa"/>
            <w:tcBorders>
              <w:top w:val="nil"/>
              <w:left w:val="single" w:sz="12" w:space="0" w:color="A8D08D"/>
              <w:bottom w:val="nil"/>
              <w:right w:val="nil"/>
            </w:tcBorders>
            <w:shd w:val="clear" w:color="auto" w:fill="auto"/>
            <w:noWrap/>
            <w:vAlign w:val="bottom"/>
            <w:hideMark/>
          </w:tcPr>
          <w:p w14:paraId="69EE8CB5" w14:textId="77777777" w:rsidR="009C79C3" w:rsidRPr="00583C56" w:rsidRDefault="009C79C3" w:rsidP="009C79C3">
            <w:pPr>
              <w:rPr>
                <w:rFonts w:cs="Arial"/>
                <w:szCs w:val="22"/>
                <w:lang w:eastAsia="en-GB"/>
              </w:rPr>
            </w:pPr>
          </w:p>
        </w:tc>
        <w:tc>
          <w:tcPr>
            <w:tcW w:w="1220" w:type="dxa"/>
            <w:tcBorders>
              <w:top w:val="nil"/>
              <w:left w:val="nil"/>
              <w:bottom w:val="nil"/>
              <w:right w:val="nil"/>
            </w:tcBorders>
            <w:shd w:val="clear" w:color="auto" w:fill="auto"/>
            <w:noWrap/>
            <w:vAlign w:val="bottom"/>
            <w:hideMark/>
          </w:tcPr>
          <w:p w14:paraId="7F98E88C"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281E392C"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2A841FA2"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29BE4ABE"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04461A0B" w14:textId="77777777" w:rsidR="009C79C3" w:rsidRPr="00583C56" w:rsidRDefault="009C79C3" w:rsidP="009C79C3">
            <w:pPr>
              <w:rPr>
                <w:rFonts w:cs="Arial"/>
                <w:szCs w:val="22"/>
                <w:lang w:eastAsia="en-GB"/>
              </w:rPr>
            </w:pPr>
          </w:p>
        </w:tc>
      </w:tr>
      <w:tr w:rsidR="009C79C3" w:rsidRPr="00583C56" w14:paraId="14AFB4B0" w14:textId="77777777" w:rsidTr="00583C56">
        <w:trPr>
          <w:trHeight w:val="583"/>
        </w:trPr>
        <w:tc>
          <w:tcPr>
            <w:tcW w:w="2410" w:type="dxa"/>
            <w:tcBorders>
              <w:top w:val="nil"/>
              <w:left w:val="single" w:sz="12" w:space="0" w:color="A8D08D"/>
              <w:bottom w:val="nil"/>
              <w:right w:val="nil"/>
            </w:tcBorders>
            <w:shd w:val="clear" w:color="auto" w:fill="auto"/>
            <w:vAlign w:val="bottom"/>
            <w:hideMark/>
          </w:tcPr>
          <w:p w14:paraId="1166228A" w14:textId="77777777" w:rsidR="009C79C3" w:rsidRPr="00583C56" w:rsidRDefault="009C79C3" w:rsidP="009C79C3">
            <w:pPr>
              <w:rPr>
                <w:rFonts w:cs="Arial"/>
                <w:color w:val="000000"/>
                <w:szCs w:val="22"/>
                <w:lang w:eastAsia="en-GB"/>
              </w:rPr>
            </w:pPr>
            <w:r w:rsidRPr="00583C56">
              <w:rPr>
                <w:rFonts w:cs="Arial"/>
                <w:color w:val="000000"/>
                <w:szCs w:val="22"/>
                <w:lang w:eastAsia="en-GB"/>
              </w:rPr>
              <w:t>Fee, Charges and other Service Income</w:t>
            </w:r>
          </w:p>
        </w:tc>
        <w:tc>
          <w:tcPr>
            <w:tcW w:w="1559" w:type="dxa"/>
            <w:tcBorders>
              <w:top w:val="nil"/>
              <w:left w:val="nil"/>
              <w:bottom w:val="nil"/>
              <w:right w:val="nil"/>
            </w:tcBorders>
            <w:shd w:val="clear" w:color="auto" w:fill="auto"/>
            <w:noWrap/>
            <w:vAlign w:val="bottom"/>
            <w:hideMark/>
          </w:tcPr>
          <w:p w14:paraId="1647C354" w14:textId="77777777" w:rsidR="009C79C3" w:rsidRPr="00583C56" w:rsidRDefault="009C79C3" w:rsidP="009C79C3">
            <w:pPr>
              <w:jc w:val="right"/>
              <w:rPr>
                <w:rFonts w:cs="Arial"/>
                <w:color w:val="000000"/>
                <w:szCs w:val="22"/>
                <w:lang w:eastAsia="en-GB"/>
              </w:rPr>
            </w:pPr>
            <w:r w:rsidRPr="00583C56">
              <w:rPr>
                <w:rFonts w:cs="Arial"/>
                <w:color w:val="FF0000"/>
                <w:szCs w:val="22"/>
                <w:lang w:eastAsia="en-GB"/>
              </w:rPr>
              <w:t xml:space="preserve">-7,576 </w:t>
            </w:r>
          </w:p>
        </w:tc>
        <w:tc>
          <w:tcPr>
            <w:tcW w:w="993" w:type="dxa"/>
            <w:tcBorders>
              <w:top w:val="nil"/>
              <w:left w:val="nil"/>
              <w:bottom w:val="nil"/>
              <w:right w:val="nil"/>
            </w:tcBorders>
            <w:shd w:val="clear" w:color="auto" w:fill="auto"/>
            <w:noWrap/>
            <w:vAlign w:val="bottom"/>
            <w:hideMark/>
          </w:tcPr>
          <w:p w14:paraId="5A1D3406" w14:textId="14A19808" w:rsidR="009C79C3" w:rsidRPr="00583C56" w:rsidRDefault="009C79C3" w:rsidP="00AB5544">
            <w:pPr>
              <w:jc w:val="right"/>
              <w:rPr>
                <w:rFonts w:cs="Arial"/>
                <w:color w:val="000000"/>
                <w:szCs w:val="22"/>
                <w:lang w:eastAsia="en-GB"/>
              </w:rPr>
            </w:pPr>
            <w:r w:rsidRPr="00583C56">
              <w:rPr>
                <w:rFonts w:cs="Arial"/>
                <w:color w:val="000000"/>
                <w:szCs w:val="22"/>
                <w:lang w:eastAsia="en-GB"/>
              </w:rPr>
              <w:t>2,06</w:t>
            </w:r>
            <w:r w:rsidR="00AB5544">
              <w:rPr>
                <w:rFonts w:cs="Arial"/>
                <w:color w:val="000000"/>
                <w:szCs w:val="22"/>
                <w:lang w:eastAsia="en-GB"/>
              </w:rPr>
              <w:t>7</w:t>
            </w:r>
            <w:r w:rsidRPr="00583C56">
              <w:rPr>
                <w:rFonts w:cs="Arial"/>
                <w:color w:val="000000"/>
                <w:szCs w:val="22"/>
                <w:lang w:eastAsia="en-GB"/>
              </w:rPr>
              <w:t xml:space="preserve"> </w:t>
            </w:r>
          </w:p>
        </w:tc>
        <w:tc>
          <w:tcPr>
            <w:tcW w:w="1559" w:type="dxa"/>
            <w:tcBorders>
              <w:top w:val="nil"/>
              <w:left w:val="nil"/>
              <w:bottom w:val="nil"/>
              <w:right w:val="single" w:sz="12" w:space="0" w:color="A8D08D"/>
            </w:tcBorders>
            <w:shd w:val="clear" w:color="auto" w:fill="auto"/>
            <w:noWrap/>
            <w:vAlign w:val="bottom"/>
            <w:hideMark/>
          </w:tcPr>
          <w:p w14:paraId="2D61A119" w14:textId="6A278775" w:rsidR="009C79C3" w:rsidRPr="00583C56" w:rsidRDefault="009C79C3" w:rsidP="00AB5544">
            <w:pPr>
              <w:jc w:val="right"/>
              <w:rPr>
                <w:rFonts w:cs="Arial"/>
                <w:color w:val="000000"/>
                <w:szCs w:val="22"/>
                <w:lang w:eastAsia="en-GB"/>
              </w:rPr>
            </w:pPr>
            <w:r w:rsidRPr="00583C56">
              <w:rPr>
                <w:rFonts w:cs="Arial"/>
                <w:color w:val="FF0000"/>
                <w:szCs w:val="22"/>
                <w:lang w:eastAsia="en-GB"/>
              </w:rPr>
              <w:t>-5,50</w:t>
            </w:r>
            <w:r w:rsidR="00AB5544">
              <w:rPr>
                <w:rFonts w:cs="Arial"/>
                <w:color w:val="FF0000"/>
                <w:szCs w:val="22"/>
                <w:lang w:eastAsia="en-GB"/>
              </w:rPr>
              <w:t>9</w:t>
            </w:r>
            <w:r w:rsidRPr="00583C56">
              <w:rPr>
                <w:rFonts w:cs="Arial"/>
                <w:color w:val="FF0000"/>
                <w:szCs w:val="22"/>
                <w:lang w:eastAsia="en-GB"/>
              </w:rPr>
              <w:t xml:space="preserve"> </w:t>
            </w:r>
          </w:p>
        </w:tc>
        <w:tc>
          <w:tcPr>
            <w:tcW w:w="1603" w:type="dxa"/>
            <w:tcBorders>
              <w:top w:val="nil"/>
              <w:left w:val="single" w:sz="12" w:space="0" w:color="A8D08D"/>
              <w:bottom w:val="nil"/>
              <w:right w:val="nil"/>
            </w:tcBorders>
            <w:shd w:val="clear" w:color="auto" w:fill="auto"/>
            <w:noWrap/>
            <w:vAlign w:val="bottom"/>
            <w:hideMark/>
          </w:tcPr>
          <w:p w14:paraId="156E0A89" w14:textId="77777777" w:rsidR="009C79C3" w:rsidRPr="00583C56" w:rsidRDefault="009C79C3" w:rsidP="009C79C3">
            <w:pPr>
              <w:jc w:val="right"/>
              <w:rPr>
                <w:rFonts w:cs="Arial"/>
                <w:color w:val="000000"/>
                <w:szCs w:val="22"/>
                <w:lang w:eastAsia="en-GB"/>
              </w:rPr>
            </w:pPr>
          </w:p>
        </w:tc>
        <w:tc>
          <w:tcPr>
            <w:tcW w:w="1220" w:type="dxa"/>
            <w:tcBorders>
              <w:top w:val="nil"/>
              <w:left w:val="nil"/>
              <w:bottom w:val="nil"/>
              <w:right w:val="nil"/>
            </w:tcBorders>
            <w:shd w:val="clear" w:color="auto" w:fill="auto"/>
            <w:noWrap/>
            <w:vAlign w:val="bottom"/>
            <w:hideMark/>
          </w:tcPr>
          <w:p w14:paraId="3996E411"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6CB81FCA"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6EA86A63"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4E064848"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620FD6C8" w14:textId="77777777" w:rsidR="009C79C3" w:rsidRPr="00583C56" w:rsidRDefault="009C79C3" w:rsidP="009C79C3">
            <w:pPr>
              <w:rPr>
                <w:rFonts w:cs="Arial"/>
                <w:szCs w:val="22"/>
                <w:lang w:eastAsia="en-GB"/>
              </w:rPr>
            </w:pPr>
          </w:p>
        </w:tc>
      </w:tr>
      <w:tr w:rsidR="009C79C3" w:rsidRPr="00583C56" w14:paraId="29AC59A9" w14:textId="77777777" w:rsidTr="00583C56">
        <w:trPr>
          <w:trHeight w:val="292"/>
        </w:trPr>
        <w:tc>
          <w:tcPr>
            <w:tcW w:w="2410" w:type="dxa"/>
            <w:tcBorders>
              <w:top w:val="nil"/>
              <w:left w:val="single" w:sz="12" w:space="0" w:color="A8D08D"/>
              <w:bottom w:val="nil"/>
              <w:right w:val="nil"/>
            </w:tcBorders>
            <w:shd w:val="clear" w:color="auto" w:fill="auto"/>
            <w:vAlign w:val="bottom"/>
            <w:hideMark/>
          </w:tcPr>
          <w:p w14:paraId="33B38B58" w14:textId="77777777" w:rsidR="009C79C3" w:rsidRPr="00583C56" w:rsidRDefault="009C79C3" w:rsidP="009C79C3">
            <w:pPr>
              <w:rPr>
                <w:rFonts w:cs="Arial"/>
                <w:color w:val="000000"/>
                <w:szCs w:val="22"/>
                <w:lang w:eastAsia="en-GB"/>
              </w:rPr>
            </w:pPr>
            <w:r w:rsidRPr="00583C56">
              <w:rPr>
                <w:rFonts w:cs="Arial"/>
                <w:color w:val="000000"/>
                <w:szCs w:val="22"/>
                <w:lang w:eastAsia="en-GB"/>
              </w:rPr>
              <w:t>Interest &amp; Investment Income</w:t>
            </w:r>
          </w:p>
        </w:tc>
        <w:tc>
          <w:tcPr>
            <w:tcW w:w="1559" w:type="dxa"/>
            <w:tcBorders>
              <w:top w:val="nil"/>
              <w:left w:val="nil"/>
              <w:bottom w:val="nil"/>
              <w:right w:val="nil"/>
            </w:tcBorders>
            <w:shd w:val="clear" w:color="auto" w:fill="auto"/>
            <w:noWrap/>
            <w:vAlign w:val="bottom"/>
            <w:hideMark/>
          </w:tcPr>
          <w:p w14:paraId="09F58CC8" w14:textId="77777777" w:rsidR="009C79C3" w:rsidRPr="00583C56" w:rsidRDefault="009C79C3" w:rsidP="009C79C3">
            <w:pPr>
              <w:jc w:val="right"/>
              <w:rPr>
                <w:rFonts w:cs="Arial"/>
                <w:color w:val="000000"/>
                <w:szCs w:val="22"/>
                <w:lang w:eastAsia="en-GB"/>
              </w:rPr>
            </w:pPr>
            <w:r w:rsidRPr="00583C56">
              <w:rPr>
                <w:rFonts w:cs="Arial"/>
                <w:color w:val="FF0000"/>
                <w:szCs w:val="22"/>
                <w:lang w:eastAsia="en-GB"/>
              </w:rPr>
              <w:t xml:space="preserve">-312 </w:t>
            </w:r>
          </w:p>
        </w:tc>
        <w:tc>
          <w:tcPr>
            <w:tcW w:w="993" w:type="dxa"/>
            <w:tcBorders>
              <w:top w:val="nil"/>
              <w:left w:val="nil"/>
              <w:bottom w:val="nil"/>
              <w:right w:val="nil"/>
            </w:tcBorders>
            <w:shd w:val="clear" w:color="auto" w:fill="auto"/>
            <w:noWrap/>
            <w:vAlign w:val="bottom"/>
            <w:hideMark/>
          </w:tcPr>
          <w:p w14:paraId="2C269805"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0 </w:t>
            </w:r>
          </w:p>
        </w:tc>
        <w:tc>
          <w:tcPr>
            <w:tcW w:w="1559" w:type="dxa"/>
            <w:tcBorders>
              <w:top w:val="nil"/>
              <w:left w:val="nil"/>
              <w:bottom w:val="nil"/>
              <w:right w:val="single" w:sz="12" w:space="0" w:color="A8D08D"/>
            </w:tcBorders>
            <w:shd w:val="clear" w:color="auto" w:fill="auto"/>
            <w:noWrap/>
            <w:vAlign w:val="bottom"/>
            <w:hideMark/>
          </w:tcPr>
          <w:p w14:paraId="5FA2B69B" w14:textId="77777777" w:rsidR="009C79C3" w:rsidRPr="00583C56" w:rsidRDefault="009C79C3" w:rsidP="009C79C3">
            <w:pPr>
              <w:jc w:val="right"/>
              <w:rPr>
                <w:rFonts w:cs="Arial"/>
                <w:color w:val="000000"/>
                <w:szCs w:val="22"/>
                <w:lang w:eastAsia="en-GB"/>
              </w:rPr>
            </w:pPr>
            <w:r w:rsidRPr="00583C56">
              <w:rPr>
                <w:rFonts w:cs="Arial"/>
                <w:color w:val="FF0000"/>
                <w:szCs w:val="22"/>
                <w:lang w:eastAsia="en-GB"/>
              </w:rPr>
              <w:t xml:space="preserve">-312 </w:t>
            </w:r>
          </w:p>
        </w:tc>
        <w:tc>
          <w:tcPr>
            <w:tcW w:w="1603" w:type="dxa"/>
            <w:tcBorders>
              <w:top w:val="nil"/>
              <w:left w:val="single" w:sz="12" w:space="0" w:color="A8D08D"/>
              <w:bottom w:val="nil"/>
              <w:right w:val="nil"/>
            </w:tcBorders>
            <w:shd w:val="clear" w:color="auto" w:fill="auto"/>
            <w:noWrap/>
            <w:vAlign w:val="bottom"/>
            <w:hideMark/>
          </w:tcPr>
          <w:p w14:paraId="00443A65" w14:textId="77777777" w:rsidR="009C79C3" w:rsidRPr="00583C56" w:rsidRDefault="009C79C3" w:rsidP="009C79C3">
            <w:pPr>
              <w:jc w:val="right"/>
              <w:rPr>
                <w:rFonts w:cs="Arial"/>
                <w:color w:val="000000"/>
                <w:szCs w:val="22"/>
                <w:lang w:eastAsia="en-GB"/>
              </w:rPr>
            </w:pPr>
          </w:p>
        </w:tc>
        <w:tc>
          <w:tcPr>
            <w:tcW w:w="1220" w:type="dxa"/>
            <w:tcBorders>
              <w:top w:val="nil"/>
              <w:left w:val="nil"/>
              <w:bottom w:val="nil"/>
              <w:right w:val="nil"/>
            </w:tcBorders>
            <w:shd w:val="clear" w:color="auto" w:fill="auto"/>
            <w:noWrap/>
            <w:vAlign w:val="bottom"/>
            <w:hideMark/>
          </w:tcPr>
          <w:p w14:paraId="5480DF40"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6F017AAE"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26CC6B09"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0B32FBA2"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3DEC34A4" w14:textId="77777777" w:rsidR="009C79C3" w:rsidRPr="00583C56" w:rsidRDefault="009C79C3" w:rsidP="009C79C3">
            <w:pPr>
              <w:rPr>
                <w:rFonts w:cs="Arial"/>
                <w:szCs w:val="22"/>
                <w:lang w:eastAsia="en-GB"/>
              </w:rPr>
            </w:pPr>
          </w:p>
        </w:tc>
      </w:tr>
      <w:tr w:rsidR="009C79C3" w:rsidRPr="00583C56" w14:paraId="4610A390" w14:textId="77777777" w:rsidTr="00583C56">
        <w:trPr>
          <w:trHeight w:val="583"/>
        </w:trPr>
        <w:tc>
          <w:tcPr>
            <w:tcW w:w="2410" w:type="dxa"/>
            <w:tcBorders>
              <w:top w:val="nil"/>
              <w:left w:val="single" w:sz="12" w:space="0" w:color="A8D08D"/>
              <w:bottom w:val="nil"/>
              <w:right w:val="nil"/>
            </w:tcBorders>
            <w:shd w:val="clear" w:color="auto" w:fill="auto"/>
            <w:vAlign w:val="bottom"/>
            <w:hideMark/>
          </w:tcPr>
          <w:p w14:paraId="53F87951" w14:textId="77777777" w:rsidR="009C79C3" w:rsidRPr="00583C56" w:rsidRDefault="009C79C3" w:rsidP="009C79C3">
            <w:pPr>
              <w:rPr>
                <w:rFonts w:cs="Arial"/>
                <w:color w:val="000000"/>
                <w:szCs w:val="22"/>
                <w:lang w:eastAsia="en-GB"/>
              </w:rPr>
            </w:pPr>
            <w:r w:rsidRPr="00583C56">
              <w:rPr>
                <w:rFonts w:cs="Arial"/>
                <w:color w:val="000000"/>
                <w:szCs w:val="22"/>
                <w:lang w:eastAsia="en-GB"/>
              </w:rPr>
              <w:t>Income from Council Tax and Business Rates</w:t>
            </w:r>
          </w:p>
        </w:tc>
        <w:tc>
          <w:tcPr>
            <w:tcW w:w="1559" w:type="dxa"/>
            <w:tcBorders>
              <w:top w:val="nil"/>
              <w:left w:val="nil"/>
              <w:bottom w:val="nil"/>
              <w:right w:val="nil"/>
            </w:tcBorders>
            <w:shd w:val="clear" w:color="auto" w:fill="auto"/>
            <w:noWrap/>
            <w:vAlign w:val="bottom"/>
            <w:hideMark/>
          </w:tcPr>
          <w:p w14:paraId="7E52F8DB" w14:textId="77777777" w:rsidR="009C79C3" w:rsidRPr="00583C56" w:rsidRDefault="009C79C3" w:rsidP="009C79C3">
            <w:pPr>
              <w:jc w:val="right"/>
              <w:rPr>
                <w:rFonts w:cs="Arial"/>
                <w:color w:val="000000"/>
                <w:szCs w:val="22"/>
                <w:lang w:eastAsia="en-GB"/>
              </w:rPr>
            </w:pPr>
            <w:r w:rsidRPr="00583C56">
              <w:rPr>
                <w:rFonts w:cs="Arial"/>
                <w:color w:val="FF0000"/>
                <w:szCs w:val="22"/>
                <w:lang w:eastAsia="en-GB"/>
              </w:rPr>
              <w:t xml:space="preserve">-36,629 </w:t>
            </w:r>
          </w:p>
        </w:tc>
        <w:tc>
          <w:tcPr>
            <w:tcW w:w="993" w:type="dxa"/>
            <w:tcBorders>
              <w:top w:val="nil"/>
              <w:left w:val="nil"/>
              <w:bottom w:val="nil"/>
              <w:right w:val="nil"/>
            </w:tcBorders>
            <w:shd w:val="clear" w:color="auto" w:fill="auto"/>
            <w:noWrap/>
            <w:vAlign w:val="bottom"/>
            <w:hideMark/>
          </w:tcPr>
          <w:p w14:paraId="5021E0FE"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0 </w:t>
            </w:r>
          </w:p>
        </w:tc>
        <w:tc>
          <w:tcPr>
            <w:tcW w:w="1559" w:type="dxa"/>
            <w:tcBorders>
              <w:top w:val="nil"/>
              <w:left w:val="nil"/>
              <w:bottom w:val="nil"/>
              <w:right w:val="single" w:sz="12" w:space="0" w:color="A8D08D"/>
            </w:tcBorders>
            <w:shd w:val="clear" w:color="auto" w:fill="auto"/>
            <w:noWrap/>
            <w:vAlign w:val="bottom"/>
            <w:hideMark/>
          </w:tcPr>
          <w:p w14:paraId="3EC15ECB" w14:textId="77777777" w:rsidR="009C79C3" w:rsidRPr="00583C56" w:rsidRDefault="009C79C3" w:rsidP="009C79C3">
            <w:pPr>
              <w:jc w:val="right"/>
              <w:rPr>
                <w:rFonts w:cs="Arial"/>
                <w:color w:val="000000"/>
                <w:szCs w:val="22"/>
                <w:lang w:eastAsia="en-GB"/>
              </w:rPr>
            </w:pPr>
            <w:r w:rsidRPr="00583C56">
              <w:rPr>
                <w:rFonts w:cs="Arial"/>
                <w:color w:val="FF0000"/>
                <w:szCs w:val="22"/>
                <w:lang w:eastAsia="en-GB"/>
              </w:rPr>
              <w:t xml:space="preserve">-36,629 </w:t>
            </w:r>
          </w:p>
        </w:tc>
        <w:tc>
          <w:tcPr>
            <w:tcW w:w="1603" w:type="dxa"/>
            <w:tcBorders>
              <w:top w:val="nil"/>
              <w:left w:val="single" w:sz="12" w:space="0" w:color="A8D08D"/>
              <w:bottom w:val="nil"/>
              <w:right w:val="nil"/>
            </w:tcBorders>
            <w:shd w:val="clear" w:color="auto" w:fill="auto"/>
            <w:noWrap/>
            <w:vAlign w:val="bottom"/>
            <w:hideMark/>
          </w:tcPr>
          <w:p w14:paraId="1B5E6884" w14:textId="77777777" w:rsidR="009C79C3" w:rsidRPr="00583C56" w:rsidRDefault="009C79C3" w:rsidP="009C79C3">
            <w:pPr>
              <w:jc w:val="right"/>
              <w:rPr>
                <w:rFonts w:cs="Arial"/>
                <w:color w:val="000000"/>
                <w:szCs w:val="22"/>
                <w:lang w:eastAsia="en-GB"/>
              </w:rPr>
            </w:pPr>
          </w:p>
        </w:tc>
        <w:tc>
          <w:tcPr>
            <w:tcW w:w="1220" w:type="dxa"/>
            <w:tcBorders>
              <w:top w:val="nil"/>
              <w:left w:val="nil"/>
              <w:bottom w:val="nil"/>
              <w:right w:val="nil"/>
            </w:tcBorders>
            <w:shd w:val="clear" w:color="auto" w:fill="auto"/>
            <w:noWrap/>
            <w:vAlign w:val="bottom"/>
            <w:hideMark/>
          </w:tcPr>
          <w:p w14:paraId="0FDC5078"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1207CE22"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507BAD37"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33B10008"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285AFFB6" w14:textId="77777777" w:rsidR="009C79C3" w:rsidRPr="00583C56" w:rsidRDefault="009C79C3" w:rsidP="009C79C3">
            <w:pPr>
              <w:rPr>
                <w:rFonts w:cs="Arial"/>
                <w:szCs w:val="22"/>
                <w:lang w:eastAsia="en-GB"/>
              </w:rPr>
            </w:pPr>
          </w:p>
        </w:tc>
      </w:tr>
      <w:tr w:rsidR="009C79C3" w:rsidRPr="00583C56" w14:paraId="4AF4B4C0" w14:textId="77777777" w:rsidTr="00583C56">
        <w:trPr>
          <w:trHeight w:val="583"/>
        </w:trPr>
        <w:tc>
          <w:tcPr>
            <w:tcW w:w="2410" w:type="dxa"/>
            <w:tcBorders>
              <w:top w:val="nil"/>
              <w:left w:val="single" w:sz="12" w:space="0" w:color="A8D08D"/>
              <w:bottom w:val="nil"/>
              <w:right w:val="nil"/>
            </w:tcBorders>
            <w:shd w:val="clear" w:color="auto" w:fill="auto"/>
            <w:vAlign w:val="bottom"/>
            <w:hideMark/>
          </w:tcPr>
          <w:p w14:paraId="075F98DE" w14:textId="77777777" w:rsidR="009C79C3" w:rsidRPr="00583C56" w:rsidRDefault="009C79C3" w:rsidP="009C79C3">
            <w:pPr>
              <w:rPr>
                <w:rFonts w:cs="Arial"/>
                <w:color w:val="000000"/>
                <w:szCs w:val="22"/>
                <w:lang w:eastAsia="en-GB"/>
              </w:rPr>
            </w:pPr>
            <w:r w:rsidRPr="00583C56">
              <w:rPr>
                <w:rFonts w:cs="Arial"/>
                <w:color w:val="000000"/>
                <w:szCs w:val="22"/>
                <w:lang w:eastAsia="en-GB"/>
              </w:rPr>
              <w:t>Government Grants &amp; Contributions</w:t>
            </w:r>
          </w:p>
        </w:tc>
        <w:tc>
          <w:tcPr>
            <w:tcW w:w="1559" w:type="dxa"/>
            <w:tcBorders>
              <w:top w:val="nil"/>
              <w:left w:val="nil"/>
              <w:bottom w:val="nil"/>
              <w:right w:val="nil"/>
            </w:tcBorders>
            <w:shd w:val="clear" w:color="auto" w:fill="auto"/>
            <w:noWrap/>
            <w:vAlign w:val="bottom"/>
            <w:hideMark/>
          </w:tcPr>
          <w:p w14:paraId="7978300C" w14:textId="77777777" w:rsidR="009C79C3" w:rsidRPr="00583C56" w:rsidRDefault="009C79C3" w:rsidP="009C79C3">
            <w:pPr>
              <w:jc w:val="right"/>
              <w:rPr>
                <w:rFonts w:cs="Arial"/>
                <w:color w:val="000000"/>
                <w:szCs w:val="22"/>
                <w:lang w:eastAsia="en-GB"/>
              </w:rPr>
            </w:pPr>
            <w:r w:rsidRPr="00583C56">
              <w:rPr>
                <w:rFonts w:cs="Arial"/>
                <w:color w:val="FF0000"/>
                <w:szCs w:val="22"/>
                <w:lang w:eastAsia="en-GB"/>
              </w:rPr>
              <w:t xml:space="preserve">-23,879 </w:t>
            </w:r>
          </w:p>
        </w:tc>
        <w:tc>
          <w:tcPr>
            <w:tcW w:w="993" w:type="dxa"/>
            <w:tcBorders>
              <w:top w:val="nil"/>
              <w:left w:val="nil"/>
              <w:bottom w:val="nil"/>
              <w:right w:val="nil"/>
            </w:tcBorders>
            <w:shd w:val="clear" w:color="auto" w:fill="auto"/>
            <w:noWrap/>
            <w:vAlign w:val="bottom"/>
            <w:hideMark/>
          </w:tcPr>
          <w:p w14:paraId="12D82D6E" w14:textId="77777777" w:rsidR="009C79C3" w:rsidRPr="00583C56" w:rsidRDefault="009C79C3" w:rsidP="009C79C3">
            <w:pPr>
              <w:jc w:val="right"/>
              <w:rPr>
                <w:rFonts w:cs="Arial"/>
                <w:color w:val="000000"/>
                <w:szCs w:val="22"/>
                <w:lang w:eastAsia="en-GB"/>
              </w:rPr>
            </w:pPr>
            <w:r w:rsidRPr="00583C56">
              <w:rPr>
                <w:rFonts w:cs="Arial"/>
                <w:color w:val="000000"/>
                <w:szCs w:val="22"/>
                <w:lang w:eastAsia="en-GB"/>
              </w:rPr>
              <w:t xml:space="preserve">0 </w:t>
            </w:r>
          </w:p>
        </w:tc>
        <w:tc>
          <w:tcPr>
            <w:tcW w:w="1559" w:type="dxa"/>
            <w:tcBorders>
              <w:top w:val="nil"/>
              <w:left w:val="nil"/>
              <w:bottom w:val="nil"/>
              <w:right w:val="single" w:sz="12" w:space="0" w:color="A8D08D"/>
            </w:tcBorders>
            <w:shd w:val="clear" w:color="auto" w:fill="auto"/>
            <w:noWrap/>
            <w:vAlign w:val="bottom"/>
            <w:hideMark/>
          </w:tcPr>
          <w:p w14:paraId="0A538C30" w14:textId="77777777" w:rsidR="009C79C3" w:rsidRPr="00583C56" w:rsidRDefault="009C79C3" w:rsidP="009C79C3">
            <w:pPr>
              <w:jc w:val="right"/>
              <w:rPr>
                <w:rFonts w:cs="Arial"/>
                <w:color w:val="000000"/>
                <w:szCs w:val="22"/>
                <w:lang w:eastAsia="en-GB"/>
              </w:rPr>
            </w:pPr>
            <w:r w:rsidRPr="00583C56">
              <w:rPr>
                <w:rFonts w:cs="Arial"/>
                <w:color w:val="FF0000"/>
                <w:szCs w:val="22"/>
                <w:lang w:eastAsia="en-GB"/>
              </w:rPr>
              <w:t xml:space="preserve">-23,879 </w:t>
            </w:r>
          </w:p>
        </w:tc>
        <w:tc>
          <w:tcPr>
            <w:tcW w:w="1603" w:type="dxa"/>
            <w:tcBorders>
              <w:top w:val="nil"/>
              <w:left w:val="single" w:sz="12" w:space="0" w:color="A8D08D"/>
              <w:bottom w:val="nil"/>
              <w:right w:val="nil"/>
            </w:tcBorders>
            <w:shd w:val="clear" w:color="auto" w:fill="auto"/>
            <w:noWrap/>
            <w:vAlign w:val="bottom"/>
            <w:hideMark/>
          </w:tcPr>
          <w:p w14:paraId="4235BBE5" w14:textId="77777777" w:rsidR="009C79C3" w:rsidRPr="00583C56" w:rsidRDefault="009C79C3" w:rsidP="009C79C3">
            <w:pPr>
              <w:jc w:val="right"/>
              <w:rPr>
                <w:rFonts w:cs="Arial"/>
                <w:color w:val="000000"/>
                <w:szCs w:val="22"/>
                <w:lang w:eastAsia="en-GB"/>
              </w:rPr>
            </w:pPr>
          </w:p>
        </w:tc>
        <w:tc>
          <w:tcPr>
            <w:tcW w:w="1220" w:type="dxa"/>
            <w:tcBorders>
              <w:top w:val="nil"/>
              <w:left w:val="nil"/>
              <w:bottom w:val="nil"/>
              <w:right w:val="nil"/>
            </w:tcBorders>
            <w:shd w:val="clear" w:color="auto" w:fill="auto"/>
            <w:noWrap/>
            <w:vAlign w:val="bottom"/>
            <w:hideMark/>
          </w:tcPr>
          <w:p w14:paraId="22760B59"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259E0FEE"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3BD5D296"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14FC9604"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3913E2E8" w14:textId="77777777" w:rsidR="009C79C3" w:rsidRPr="00583C56" w:rsidRDefault="009C79C3" w:rsidP="009C79C3">
            <w:pPr>
              <w:rPr>
                <w:rFonts w:cs="Arial"/>
                <w:szCs w:val="22"/>
                <w:lang w:eastAsia="en-GB"/>
              </w:rPr>
            </w:pPr>
          </w:p>
        </w:tc>
      </w:tr>
      <w:tr w:rsidR="009C79C3" w:rsidRPr="00583C56" w14:paraId="0AACEE8E" w14:textId="77777777" w:rsidTr="00583C56">
        <w:trPr>
          <w:trHeight w:val="292"/>
        </w:trPr>
        <w:tc>
          <w:tcPr>
            <w:tcW w:w="2410" w:type="dxa"/>
            <w:tcBorders>
              <w:top w:val="nil"/>
              <w:left w:val="single" w:sz="12" w:space="0" w:color="A8D08D"/>
              <w:bottom w:val="nil"/>
              <w:right w:val="nil"/>
            </w:tcBorders>
            <w:shd w:val="clear" w:color="auto" w:fill="auto"/>
            <w:vAlign w:val="bottom"/>
            <w:hideMark/>
          </w:tcPr>
          <w:p w14:paraId="28C6F4C1" w14:textId="77777777" w:rsidR="009C79C3" w:rsidRPr="00583C56" w:rsidRDefault="009C79C3" w:rsidP="009C79C3">
            <w:pPr>
              <w:rPr>
                <w:rFonts w:cs="Arial"/>
                <w:b/>
                <w:bCs/>
                <w:color w:val="000000"/>
                <w:szCs w:val="22"/>
                <w:lang w:eastAsia="en-GB"/>
              </w:rPr>
            </w:pPr>
            <w:r w:rsidRPr="00583C56">
              <w:rPr>
                <w:rFonts w:cs="Arial"/>
                <w:b/>
                <w:bCs/>
                <w:color w:val="000000"/>
                <w:szCs w:val="22"/>
                <w:lang w:eastAsia="en-GB"/>
              </w:rPr>
              <w:t>Total Income</w:t>
            </w:r>
          </w:p>
        </w:tc>
        <w:tc>
          <w:tcPr>
            <w:tcW w:w="1559" w:type="dxa"/>
            <w:tcBorders>
              <w:top w:val="nil"/>
              <w:left w:val="nil"/>
              <w:bottom w:val="nil"/>
              <w:right w:val="nil"/>
            </w:tcBorders>
            <w:shd w:val="clear" w:color="auto" w:fill="auto"/>
            <w:noWrap/>
            <w:vAlign w:val="bottom"/>
            <w:hideMark/>
          </w:tcPr>
          <w:p w14:paraId="73A86322" w14:textId="77777777" w:rsidR="009C79C3" w:rsidRPr="00583C56" w:rsidRDefault="009C79C3" w:rsidP="009C79C3">
            <w:pPr>
              <w:jc w:val="right"/>
              <w:rPr>
                <w:rFonts w:cs="Arial"/>
                <w:b/>
                <w:bCs/>
                <w:color w:val="000000"/>
                <w:szCs w:val="22"/>
                <w:lang w:eastAsia="en-GB"/>
              </w:rPr>
            </w:pPr>
            <w:r w:rsidRPr="00583C56">
              <w:rPr>
                <w:rFonts w:cs="Arial"/>
                <w:b/>
                <w:bCs/>
                <w:color w:val="FF0000"/>
                <w:szCs w:val="22"/>
                <w:lang w:eastAsia="en-GB"/>
              </w:rPr>
              <w:t xml:space="preserve">-68,396 </w:t>
            </w:r>
          </w:p>
        </w:tc>
        <w:tc>
          <w:tcPr>
            <w:tcW w:w="993" w:type="dxa"/>
            <w:tcBorders>
              <w:top w:val="nil"/>
              <w:left w:val="nil"/>
              <w:bottom w:val="nil"/>
              <w:right w:val="nil"/>
            </w:tcBorders>
            <w:shd w:val="clear" w:color="auto" w:fill="auto"/>
            <w:noWrap/>
            <w:vAlign w:val="bottom"/>
            <w:hideMark/>
          </w:tcPr>
          <w:p w14:paraId="1DEFF315" w14:textId="709258B7" w:rsidR="009C79C3" w:rsidRPr="00583C56" w:rsidRDefault="00AB5544" w:rsidP="009C79C3">
            <w:pPr>
              <w:jc w:val="right"/>
              <w:rPr>
                <w:rFonts w:cs="Arial"/>
                <w:b/>
                <w:bCs/>
                <w:color w:val="000000"/>
                <w:szCs w:val="22"/>
                <w:lang w:eastAsia="en-GB"/>
              </w:rPr>
            </w:pPr>
            <w:r>
              <w:rPr>
                <w:rFonts w:cs="Arial"/>
                <w:b/>
                <w:bCs/>
                <w:color w:val="FF0000"/>
                <w:szCs w:val="22"/>
                <w:lang w:eastAsia="en-GB"/>
              </w:rPr>
              <w:t>2,067</w:t>
            </w:r>
            <w:r w:rsidR="009C79C3" w:rsidRPr="00583C56">
              <w:rPr>
                <w:rFonts w:cs="Arial"/>
                <w:b/>
                <w:bCs/>
                <w:color w:val="FF0000"/>
                <w:szCs w:val="22"/>
                <w:lang w:eastAsia="en-GB"/>
              </w:rPr>
              <w:t xml:space="preserve"> </w:t>
            </w:r>
          </w:p>
        </w:tc>
        <w:tc>
          <w:tcPr>
            <w:tcW w:w="1559" w:type="dxa"/>
            <w:tcBorders>
              <w:top w:val="nil"/>
              <w:left w:val="nil"/>
              <w:bottom w:val="nil"/>
              <w:right w:val="single" w:sz="12" w:space="0" w:color="A8D08D"/>
            </w:tcBorders>
            <w:shd w:val="clear" w:color="auto" w:fill="auto"/>
            <w:noWrap/>
            <w:vAlign w:val="bottom"/>
            <w:hideMark/>
          </w:tcPr>
          <w:p w14:paraId="194D3D7B" w14:textId="3B9F7565" w:rsidR="009C79C3" w:rsidRPr="00583C56" w:rsidRDefault="009C79C3" w:rsidP="00AB5544">
            <w:pPr>
              <w:jc w:val="right"/>
              <w:rPr>
                <w:rFonts w:cs="Arial"/>
                <w:b/>
                <w:bCs/>
                <w:color w:val="000000"/>
                <w:szCs w:val="22"/>
                <w:lang w:eastAsia="en-GB"/>
              </w:rPr>
            </w:pPr>
            <w:r w:rsidRPr="00583C56">
              <w:rPr>
                <w:rFonts w:cs="Arial"/>
                <w:b/>
                <w:bCs/>
                <w:color w:val="FF0000"/>
                <w:szCs w:val="22"/>
                <w:lang w:eastAsia="en-GB"/>
              </w:rPr>
              <w:t>-6</w:t>
            </w:r>
            <w:r w:rsidR="00AB5544">
              <w:rPr>
                <w:rFonts w:cs="Arial"/>
                <w:b/>
                <w:bCs/>
                <w:color w:val="FF0000"/>
                <w:szCs w:val="22"/>
                <w:lang w:eastAsia="en-GB"/>
              </w:rPr>
              <w:t>6</w:t>
            </w:r>
            <w:r w:rsidRPr="00583C56">
              <w:rPr>
                <w:rFonts w:cs="Arial"/>
                <w:b/>
                <w:bCs/>
                <w:color w:val="FF0000"/>
                <w:szCs w:val="22"/>
                <w:lang w:eastAsia="en-GB"/>
              </w:rPr>
              <w:t>,3</w:t>
            </w:r>
            <w:r w:rsidR="00AB5544">
              <w:rPr>
                <w:rFonts w:cs="Arial"/>
                <w:b/>
                <w:bCs/>
                <w:color w:val="FF0000"/>
                <w:szCs w:val="22"/>
                <w:lang w:eastAsia="en-GB"/>
              </w:rPr>
              <w:t>29</w:t>
            </w:r>
            <w:r w:rsidRPr="00583C56">
              <w:rPr>
                <w:rFonts w:cs="Arial"/>
                <w:b/>
                <w:bCs/>
                <w:color w:val="FF0000"/>
                <w:szCs w:val="22"/>
                <w:lang w:eastAsia="en-GB"/>
              </w:rPr>
              <w:t xml:space="preserve"> </w:t>
            </w:r>
          </w:p>
        </w:tc>
        <w:tc>
          <w:tcPr>
            <w:tcW w:w="1603" w:type="dxa"/>
            <w:tcBorders>
              <w:top w:val="nil"/>
              <w:left w:val="single" w:sz="12" w:space="0" w:color="A8D08D"/>
              <w:bottom w:val="nil"/>
              <w:right w:val="nil"/>
            </w:tcBorders>
            <w:shd w:val="clear" w:color="auto" w:fill="auto"/>
            <w:noWrap/>
            <w:vAlign w:val="bottom"/>
            <w:hideMark/>
          </w:tcPr>
          <w:p w14:paraId="433C4AC9" w14:textId="77777777" w:rsidR="009C79C3" w:rsidRPr="00583C56" w:rsidRDefault="009C79C3" w:rsidP="009C79C3">
            <w:pPr>
              <w:jc w:val="right"/>
              <w:rPr>
                <w:rFonts w:cs="Arial"/>
                <w:b/>
                <w:bCs/>
                <w:color w:val="000000"/>
                <w:szCs w:val="22"/>
                <w:lang w:eastAsia="en-GB"/>
              </w:rPr>
            </w:pPr>
          </w:p>
        </w:tc>
        <w:tc>
          <w:tcPr>
            <w:tcW w:w="1220" w:type="dxa"/>
            <w:tcBorders>
              <w:top w:val="nil"/>
              <w:left w:val="nil"/>
              <w:bottom w:val="nil"/>
              <w:right w:val="nil"/>
            </w:tcBorders>
            <w:shd w:val="clear" w:color="auto" w:fill="auto"/>
            <w:noWrap/>
            <w:vAlign w:val="bottom"/>
            <w:hideMark/>
          </w:tcPr>
          <w:p w14:paraId="7B0DD636"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5CDFC39C"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0F602A64"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7746F553"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783E576D" w14:textId="77777777" w:rsidR="009C79C3" w:rsidRPr="00583C56" w:rsidRDefault="009C79C3" w:rsidP="009C79C3">
            <w:pPr>
              <w:rPr>
                <w:rFonts w:cs="Arial"/>
                <w:szCs w:val="22"/>
                <w:lang w:eastAsia="en-GB"/>
              </w:rPr>
            </w:pPr>
          </w:p>
        </w:tc>
      </w:tr>
      <w:tr w:rsidR="009C79C3" w:rsidRPr="00583C56" w14:paraId="1A9F1A02" w14:textId="77777777" w:rsidTr="00583C56">
        <w:trPr>
          <w:trHeight w:val="592"/>
        </w:trPr>
        <w:tc>
          <w:tcPr>
            <w:tcW w:w="2410" w:type="dxa"/>
            <w:tcBorders>
              <w:top w:val="nil"/>
              <w:left w:val="single" w:sz="12" w:space="0" w:color="A8D08D"/>
              <w:bottom w:val="single" w:sz="12" w:space="0" w:color="A8D08D"/>
              <w:right w:val="nil"/>
            </w:tcBorders>
            <w:shd w:val="clear" w:color="auto" w:fill="auto"/>
            <w:vAlign w:val="bottom"/>
            <w:hideMark/>
          </w:tcPr>
          <w:p w14:paraId="27487E1A" w14:textId="77777777" w:rsidR="009C79C3" w:rsidRPr="00583C56" w:rsidRDefault="009C79C3" w:rsidP="009C79C3">
            <w:pPr>
              <w:rPr>
                <w:rFonts w:cs="Arial"/>
                <w:b/>
                <w:bCs/>
                <w:color w:val="000000"/>
                <w:szCs w:val="22"/>
                <w:lang w:eastAsia="en-GB"/>
              </w:rPr>
            </w:pPr>
            <w:r w:rsidRPr="00583C56">
              <w:rPr>
                <w:rFonts w:cs="Arial"/>
                <w:b/>
                <w:bCs/>
                <w:color w:val="000000"/>
                <w:szCs w:val="22"/>
                <w:lang w:eastAsia="en-GB"/>
              </w:rPr>
              <w:t>(Surplus) or deficit on provision of services</w:t>
            </w:r>
          </w:p>
        </w:tc>
        <w:tc>
          <w:tcPr>
            <w:tcW w:w="1559" w:type="dxa"/>
            <w:tcBorders>
              <w:top w:val="nil"/>
              <w:left w:val="nil"/>
              <w:bottom w:val="single" w:sz="12" w:space="0" w:color="A8D08D"/>
              <w:right w:val="nil"/>
            </w:tcBorders>
            <w:shd w:val="clear" w:color="auto" w:fill="auto"/>
            <w:noWrap/>
            <w:vAlign w:val="bottom"/>
            <w:hideMark/>
          </w:tcPr>
          <w:p w14:paraId="231A6DFC" w14:textId="77777777" w:rsidR="009C79C3" w:rsidRPr="00583C56" w:rsidRDefault="009C79C3" w:rsidP="009C79C3">
            <w:pPr>
              <w:jc w:val="right"/>
              <w:rPr>
                <w:rFonts w:cs="Arial"/>
                <w:b/>
                <w:bCs/>
                <w:color w:val="000000"/>
                <w:szCs w:val="22"/>
                <w:lang w:eastAsia="en-GB"/>
              </w:rPr>
            </w:pPr>
            <w:r w:rsidRPr="00583C56">
              <w:rPr>
                <w:rFonts w:cs="Arial"/>
                <w:b/>
                <w:bCs/>
                <w:color w:val="000000"/>
                <w:szCs w:val="22"/>
                <w:lang w:eastAsia="en-GB"/>
              </w:rPr>
              <w:t xml:space="preserve">3,150 </w:t>
            </w:r>
          </w:p>
        </w:tc>
        <w:tc>
          <w:tcPr>
            <w:tcW w:w="993" w:type="dxa"/>
            <w:tcBorders>
              <w:top w:val="nil"/>
              <w:left w:val="nil"/>
              <w:bottom w:val="single" w:sz="12" w:space="0" w:color="A8D08D"/>
              <w:right w:val="nil"/>
            </w:tcBorders>
            <w:shd w:val="clear" w:color="auto" w:fill="auto"/>
            <w:noWrap/>
            <w:vAlign w:val="bottom"/>
            <w:hideMark/>
          </w:tcPr>
          <w:p w14:paraId="47FA1B69" w14:textId="0A1D149B" w:rsidR="009C79C3" w:rsidRPr="00583C56" w:rsidRDefault="00AB5544" w:rsidP="009C79C3">
            <w:pPr>
              <w:jc w:val="right"/>
              <w:rPr>
                <w:rFonts w:cs="Arial"/>
                <w:b/>
                <w:bCs/>
                <w:color w:val="000000"/>
                <w:szCs w:val="22"/>
                <w:lang w:eastAsia="en-GB"/>
              </w:rPr>
            </w:pPr>
            <w:r>
              <w:rPr>
                <w:rFonts w:cs="Arial"/>
                <w:b/>
                <w:bCs/>
                <w:color w:val="FF0000"/>
                <w:szCs w:val="22"/>
                <w:lang w:eastAsia="en-GB"/>
              </w:rPr>
              <w:t>0</w:t>
            </w:r>
            <w:r w:rsidR="009C79C3" w:rsidRPr="00583C56">
              <w:rPr>
                <w:rFonts w:cs="Arial"/>
                <w:b/>
                <w:bCs/>
                <w:color w:val="FF0000"/>
                <w:szCs w:val="22"/>
                <w:lang w:eastAsia="en-GB"/>
              </w:rPr>
              <w:t xml:space="preserve"> </w:t>
            </w:r>
          </w:p>
        </w:tc>
        <w:tc>
          <w:tcPr>
            <w:tcW w:w="1559" w:type="dxa"/>
            <w:tcBorders>
              <w:top w:val="nil"/>
              <w:left w:val="nil"/>
              <w:bottom w:val="single" w:sz="12" w:space="0" w:color="A8D08D"/>
              <w:right w:val="single" w:sz="12" w:space="0" w:color="A8D08D"/>
            </w:tcBorders>
            <w:shd w:val="clear" w:color="auto" w:fill="auto"/>
            <w:vAlign w:val="bottom"/>
            <w:hideMark/>
          </w:tcPr>
          <w:p w14:paraId="60FA7431" w14:textId="77777777" w:rsidR="009C79C3" w:rsidRPr="00583C56" w:rsidRDefault="009C79C3" w:rsidP="009C79C3">
            <w:pPr>
              <w:jc w:val="right"/>
              <w:rPr>
                <w:rFonts w:cs="Arial"/>
                <w:b/>
                <w:bCs/>
                <w:color w:val="000000"/>
                <w:szCs w:val="22"/>
                <w:lang w:eastAsia="en-GB"/>
              </w:rPr>
            </w:pPr>
            <w:r w:rsidRPr="00583C56">
              <w:rPr>
                <w:rFonts w:cs="Arial"/>
                <w:b/>
                <w:bCs/>
                <w:color w:val="000000"/>
                <w:szCs w:val="22"/>
                <w:lang w:eastAsia="en-GB"/>
              </w:rPr>
              <w:t>3150</w:t>
            </w:r>
          </w:p>
        </w:tc>
        <w:tc>
          <w:tcPr>
            <w:tcW w:w="1603" w:type="dxa"/>
            <w:tcBorders>
              <w:top w:val="nil"/>
              <w:left w:val="nil"/>
              <w:bottom w:val="nil"/>
              <w:right w:val="nil"/>
            </w:tcBorders>
            <w:shd w:val="clear" w:color="auto" w:fill="auto"/>
            <w:noWrap/>
            <w:vAlign w:val="bottom"/>
            <w:hideMark/>
          </w:tcPr>
          <w:p w14:paraId="03486EF8" w14:textId="77777777" w:rsidR="009C79C3" w:rsidRPr="00583C56" w:rsidRDefault="009C79C3" w:rsidP="009C79C3">
            <w:pPr>
              <w:jc w:val="right"/>
              <w:rPr>
                <w:rFonts w:cs="Arial"/>
                <w:b/>
                <w:bCs/>
                <w:color w:val="000000"/>
                <w:szCs w:val="22"/>
                <w:lang w:eastAsia="en-GB"/>
              </w:rPr>
            </w:pPr>
          </w:p>
        </w:tc>
        <w:tc>
          <w:tcPr>
            <w:tcW w:w="1220" w:type="dxa"/>
            <w:tcBorders>
              <w:top w:val="nil"/>
              <w:left w:val="nil"/>
              <w:bottom w:val="nil"/>
              <w:right w:val="nil"/>
            </w:tcBorders>
            <w:shd w:val="clear" w:color="auto" w:fill="auto"/>
            <w:noWrap/>
            <w:vAlign w:val="bottom"/>
            <w:hideMark/>
          </w:tcPr>
          <w:p w14:paraId="0CD5DA8B"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032DADB1"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0A6D0356"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1325ACA1"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275C4A67" w14:textId="77777777" w:rsidR="009C79C3" w:rsidRPr="00583C56" w:rsidRDefault="009C79C3" w:rsidP="009C79C3">
            <w:pPr>
              <w:rPr>
                <w:rFonts w:cs="Arial"/>
                <w:szCs w:val="22"/>
                <w:lang w:eastAsia="en-GB"/>
              </w:rPr>
            </w:pPr>
          </w:p>
        </w:tc>
      </w:tr>
      <w:tr w:rsidR="009C79C3" w:rsidRPr="00583C56" w14:paraId="195EBFAC" w14:textId="77777777" w:rsidTr="00583C56">
        <w:trPr>
          <w:trHeight w:val="300"/>
        </w:trPr>
        <w:tc>
          <w:tcPr>
            <w:tcW w:w="2410" w:type="dxa"/>
            <w:tcBorders>
              <w:top w:val="single" w:sz="12" w:space="0" w:color="A8D08D"/>
              <w:left w:val="nil"/>
              <w:bottom w:val="nil"/>
              <w:right w:val="nil"/>
            </w:tcBorders>
            <w:shd w:val="clear" w:color="auto" w:fill="auto"/>
            <w:noWrap/>
            <w:vAlign w:val="bottom"/>
            <w:hideMark/>
          </w:tcPr>
          <w:p w14:paraId="64B57A71" w14:textId="77777777" w:rsidR="009C79C3" w:rsidRPr="00583C56" w:rsidRDefault="009C79C3" w:rsidP="009C79C3">
            <w:pPr>
              <w:rPr>
                <w:rFonts w:cs="Arial"/>
                <w:szCs w:val="22"/>
                <w:lang w:eastAsia="en-GB"/>
              </w:rPr>
            </w:pPr>
          </w:p>
        </w:tc>
        <w:tc>
          <w:tcPr>
            <w:tcW w:w="1559" w:type="dxa"/>
            <w:tcBorders>
              <w:top w:val="single" w:sz="12" w:space="0" w:color="A8D08D"/>
              <w:left w:val="nil"/>
              <w:bottom w:val="nil"/>
              <w:right w:val="nil"/>
            </w:tcBorders>
            <w:shd w:val="clear" w:color="auto" w:fill="auto"/>
            <w:noWrap/>
            <w:vAlign w:val="bottom"/>
            <w:hideMark/>
          </w:tcPr>
          <w:p w14:paraId="21273857" w14:textId="77777777" w:rsidR="009C79C3" w:rsidRPr="00583C56" w:rsidRDefault="009C79C3" w:rsidP="009C79C3">
            <w:pPr>
              <w:rPr>
                <w:rFonts w:cs="Arial"/>
                <w:szCs w:val="22"/>
                <w:lang w:eastAsia="en-GB"/>
              </w:rPr>
            </w:pPr>
          </w:p>
        </w:tc>
        <w:tc>
          <w:tcPr>
            <w:tcW w:w="993" w:type="dxa"/>
            <w:tcBorders>
              <w:top w:val="single" w:sz="12" w:space="0" w:color="A8D08D"/>
              <w:left w:val="nil"/>
              <w:bottom w:val="nil"/>
              <w:right w:val="nil"/>
            </w:tcBorders>
            <w:shd w:val="clear" w:color="auto" w:fill="auto"/>
            <w:noWrap/>
            <w:vAlign w:val="bottom"/>
            <w:hideMark/>
          </w:tcPr>
          <w:p w14:paraId="78A91BAC"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0A978CEC"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730601E3" w14:textId="77777777" w:rsidR="009C79C3" w:rsidRPr="00583C56" w:rsidRDefault="009C79C3" w:rsidP="009C79C3">
            <w:pPr>
              <w:rPr>
                <w:rFonts w:cs="Arial"/>
                <w:szCs w:val="22"/>
                <w:lang w:eastAsia="en-GB"/>
              </w:rPr>
            </w:pPr>
          </w:p>
        </w:tc>
        <w:tc>
          <w:tcPr>
            <w:tcW w:w="1220" w:type="dxa"/>
            <w:tcBorders>
              <w:top w:val="nil"/>
              <w:left w:val="nil"/>
              <w:bottom w:val="nil"/>
              <w:right w:val="nil"/>
            </w:tcBorders>
            <w:shd w:val="clear" w:color="auto" w:fill="auto"/>
            <w:noWrap/>
            <w:vAlign w:val="bottom"/>
            <w:hideMark/>
          </w:tcPr>
          <w:p w14:paraId="48835E98"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72D0D43E"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506B455C"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3E50B78F"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399EBA52" w14:textId="77777777" w:rsidR="009C79C3" w:rsidRPr="00583C56" w:rsidRDefault="009C79C3" w:rsidP="009C79C3">
            <w:pPr>
              <w:rPr>
                <w:rFonts w:cs="Arial"/>
                <w:szCs w:val="22"/>
                <w:lang w:eastAsia="en-GB"/>
              </w:rPr>
            </w:pPr>
          </w:p>
        </w:tc>
      </w:tr>
      <w:tr w:rsidR="009C79C3" w:rsidRPr="00583C56" w14:paraId="52380735" w14:textId="77777777" w:rsidTr="00D53720">
        <w:trPr>
          <w:trHeight w:val="292"/>
        </w:trPr>
        <w:tc>
          <w:tcPr>
            <w:tcW w:w="2410" w:type="dxa"/>
            <w:tcBorders>
              <w:top w:val="nil"/>
              <w:left w:val="nil"/>
              <w:bottom w:val="nil"/>
              <w:right w:val="nil"/>
            </w:tcBorders>
            <w:shd w:val="clear" w:color="auto" w:fill="auto"/>
            <w:noWrap/>
            <w:vAlign w:val="bottom"/>
            <w:hideMark/>
          </w:tcPr>
          <w:p w14:paraId="62EBE1D4"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0E4372A3" w14:textId="77777777" w:rsidR="009C79C3" w:rsidRPr="00583C56" w:rsidRDefault="009C79C3" w:rsidP="009C79C3">
            <w:pPr>
              <w:rPr>
                <w:rFonts w:cs="Arial"/>
                <w:szCs w:val="22"/>
                <w:lang w:eastAsia="en-GB"/>
              </w:rPr>
            </w:pPr>
          </w:p>
        </w:tc>
        <w:tc>
          <w:tcPr>
            <w:tcW w:w="993" w:type="dxa"/>
            <w:tcBorders>
              <w:top w:val="nil"/>
              <w:left w:val="nil"/>
              <w:bottom w:val="nil"/>
              <w:right w:val="nil"/>
            </w:tcBorders>
            <w:shd w:val="clear" w:color="auto" w:fill="auto"/>
            <w:noWrap/>
            <w:vAlign w:val="bottom"/>
            <w:hideMark/>
          </w:tcPr>
          <w:p w14:paraId="4C918AEA"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068B1997"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21615C85" w14:textId="77777777" w:rsidR="009C79C3" w:rsidRPr="00583C56" w:rsidRDefault="009C79C3" w:rsidP="009C79C3">
            <w:pPr>
              <w:rPr>
                <w:rFonts w:cs="Arial"/>
                <w:szCs w:val="22"/>
                <w:lang w:eastAsia="en-GB"/>
              </w:rPr>
            </w:pPr>
          </w:p>
        </w:tc>
        <w:tc>
          <w:tcPr>
            <w:tcW w:w="1220" w:type="dxa"/>
            <w:tcBorders>
              <w:top w:val="nil"/>
              <w:left w:val="nil"/>
              <w:bottom w:val="nil"/>
              <w:right w:val="nil"/>
            </w:tcBorders>
            <w:shd w:val="clear" w:color="auto" w:fill="auto"/>
            <w:noWrap/>
            <w:vAlign w:val="bottom"/>
            <w:hideMark/>
          </w:tcPr>
          <w:p w14:paraId="2F2729AB" w14:textId="77777777" w:rsidR="009C79C3" w:rsidRPr="00583C56" w:rsidRDefault="009C79C3" w:rsidP="009C79C3">
            <w:pPr>
              <w:rPr>
                <w:rFonts w:cs="Arial"/>
                <w:szCs w:val="22"/>
                <w:lang w:eastAsia="en-GB"/>
              </w:rPr>
            </w:pPr>
          </w:p>
        </w:tc>
        <w:tc>
          <w:tcPr>
            <w:tcW w:w="1571" w:type="dxa"/>
            <w:tcBorders>
              <w:top w:val="nil"/>
              <w:left w:val="nil"/>
              <w:bottom w:val="nil"/>
              <w:right w:val="nil"/>
            </w:tcBorders>
            <w:shd w:val="clear" w:color="auto" w:fill="auto"/>
            <w:noWrap/>
            <w:vAlign w:val="bottom"/>
            <w:hideMark/>
          </w:tcPr>
          <w:p w14:paraId="0C764650" w14:textId="77777777" w:rsidR="009C79C3" w:rsidRPr="00583C56" w:rsidRDefault="009C79C3" w:rsidP="009C79C3">
            <w:pPr>
              <w:rPr>
                <w:rFonts w:cs="Arial"/>
                <w:szCs w:val="22"/>
                <w:lang w:eastAsia="en-GB"/>
              </w:rPr>
            </w:pPr>
          </w:p>
        </w:tc>
        <w:tc>
          <w:tcPr>
            <w:tcW w:w="1559" w:type="dxa"/>
            <w:tcBorders>
              <w:top w:val="nil"/>
              <w:left w:val="nil"/>
              <w:bottom w:val="nil"/>
              <w:right w:val="nil"/>
            </w:tcBorders>
            <w:shd w:val="clear" w:color="auto" w:fill="auto"/>
            <w:noWrap/>
            <w:vAlign w:val="bottom"/>
            <w:hideMark/>
          </w:tcPr>
          <w:p w14:paraId="30741F97" w14:textId="77777777" w:rsidR="009C79C3" w:rsidRPr="00583C56" w:rsidRDefault="009C79C3" w:rsidP="009C79C3">
            <w:pPr>
              <w:rPr>
                <w:rFonts w:cs="Arial"/>
                <w:szCs w:val="22"/>
                <w:lang w:eastAsia="en-GB"/>
              </w:rPr>
            </w:pPr>
          </w:p>
        </w:tc>
        <w:tc>
          <w:tcPr>
            <w:tcW w:w="1057" w:type="dxa"/>
            <w:tcBorders>
              <w:top w:val="nil"/>
              <w:left w:val="nil"/>
              <w:bottom w:val="nil"/>
              <w:right w:val="nil"/>
            </w:tcBorders>
            <w:shd w:val="clear" w:color="auto" w:fill="auto"/>
            <w:noWrap/>
            <w:vAlign w:val="bottom"/>
            <w:hideMark/>
          </w:tcPr>
          <w:p w14:paraId="71ECA3FE" w14:textId="77777777" w:rsidR="009C79C3" w:rsidRPr="00583C56" w:rsidRDefault="009C79C3" w:rsidP="009C79C3">
            <w:pPr>
              <w:rPr>
                <w:rFonts w:cs="Arial"/>
                <w:szCs w:val="22"/>
                <w:lang w:eastAsia="en-GB"/>
              </w:rPr>
            </w:pPr>
          </w:p>
        </w:tc>
        <w:tc>
          <w:tcPr>
            <w:tcW w:w="1603" w:type="dxa"/>
            <w:tcBorders>
              <w:top w:val="nil"/>
              <w:left w:val="nil"/>
              <w:bottom w:val="nil"/>
              <w:right w:val="nil"/>
            </w:tcBorders>
            <w:shd w:val="clear" w:color="auto" w:fill="auto"/>
            <w:noWrap/>
            <w:vAlign w:val="bottom"/>
            <w:hideMark/>
          </w:tcPr>
          <w:p w14:paraId="1E5C33B2" w14:textId="77777777" w:rsidR="009C79C3" w:rsidRPr="00583C56" w:rsidRDefault="009C79C3" w:rsidP="009C79C3">
            <w:pPr>
              <w:rPr>
                <w:rFonts w:cs="Arial"/>
                <w:szCs w:val="22"/>
                <w:lang w:eastAsia="en-GB"/>
              </w:rPr>
            </w:pPr>
          </w:p>
        </w:tc>
      </w:tr>
    </w:tbl>
    <w:p w14:paraId="04D7CC46" w14:textId="77777777" w:rsidR="009C79C3" w:rsidRPr="000127EF" w:rsidRDefault="009C79C3" w:rsidP="009C79C3">
      <w:pPr>
        <w:spacing w:after="240"/>
        <w:jc w:val="both"/>
        <w:sectPr w:rsidR="009C79C3" w:rsidRPr="000127EF" w:rsidSect="00D53720">
          <w:pgSz w:w="16840" w:h="11907" w:orient="landscape" w:code="9"/>
          <w:pgMar w:top="709" w:right="1135" w:bottom="992" w:left="1440" w:header="567" w:footer="851" w:gutter="0"/>
          <w:paperSrc w:first="7" w:other="7"/>
          <w:cols w:space="720"/>
          <w:docGrid w:linePitch="299"/>
        </w:sectPr>
      </w:pPr>
    </w:p>
    <w:p w14:paraId="5E836168" w14:textId="77777777" w:rsidR="00064E83" w:rsidRPr="000127EF" w:rsidRDefault="00064E83" w:rsidP="00064E83">
      <w:pPr>
        <w:pStyle w:val="MainSoAHeading"/>
      </w:pPr>
      <w:bookmarkStart w:id="17" w:name="_Toc54886659"/>
      <w:r w:rsidRPr="000127EF">
        <w:lastRenderedPageBreak/>
        <w:t>Collection Fund</w:t>
      </w:r>
      <w:bookmarkEnd w:id="17"/>
    </w:p>
    <w:p w14:paraId="3F21A829" w14:textId="77777777" w:rsidR="00064E83" w:rsidRPr="000127EF" w:rsidRDefault="00064E83" w:rsidP="00064E83"/>
    <w:tbl>
      <w:tblPr>
        <w:tblStyle w:val="TableGrid"/>
        <w:tblW w:w="10201" w:type="dxa"/>
        <w:tbl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insideH w:val="none" w:sz="0" w:space="0" w:color="auto"/>
          <w:insideV w:val="none" w:sz="0" w:space="0" w:color="auto"/>
        </w:tblBorders>
        <w:tblLayout w:type="fixed"/>
        <w:tblLook w:val="04A0" w:firstRow="1" w:lastRow="0" w:firstColumn="1" w:lastColumn="0" w:noHBand="0" w:noVBand="1"/>
      </w:tblPr>
      <w:tblGrid>
        <w:gridCol w:w="1184"/>
        <w:gridCol w:w="5243"/>
        <w:gridCol w:w="1179"/>
        <w:gridCol w:w="1437"/>
        <w:gridCol w:w="1158"/>
      </w:tblGrid>
      <w:tr w:rsidR="00804D73" w:rsidRPr="000127EF" w14:paraId="4631917A" w14:textId="77777777" w:rsidTr="00840EA0">
        <w:tc>
          <w:tcPr>
            <w:tcW w:w="1184" w:type="dxa"/>
          </w:tcPr>
          <w:p w14:paraId="093CF68D" w14:textId="3C9A6644" w:rsidR="00804D73" w:rsidRPr="000127EF" w:rsidRDefault="0063603D" w:rsidP="007C5556">
            <w:pPr>
              <w:jc w:val="center"/>
              <w:rPr>
                <w:b/>
                <w:i/>
              </w:rPr>
            </w:pPr>
            <w:r w:rsidRPr="000127EF">
              <w:rPr>
                <w:b/>
                <w:i/>
              </w:rPr>
              <w:t>201</w:t>
            </w:r>
            <w:r w:rsidR="007F6686">
              <w:rPr>
                <w:b/>
                <w:i/>
              </w:rPr>
              <w:t>8/19</w:t>
            </w:r>
          </w:p>
        </w:tc>
        <w:tc>
          <w:tcPr>
            <w:tcW w:w="5243" w:type="dxa"/>
          </w:tcPr>
          <w:p w14:paraId="02CB47E8" w14:textId="77777777" w:rsidR="00804D73" w:rsidRPr="000127EF" w:rsidRDefault="00804D73" w:rsidP="00804D73">
            <w:pPr>
              <w:jc w:val="center"/>
              <w:rPr>
                <w:b/>
              </w:rPr>
            </w:pPr>
            <w:r w:rsidRPr="000127EF">
              <w:rPr>
                <w:b/>
              </w:rPr>
              <w:t>Collection Fund</w:t>
            </w:r>
          </w:p>
        </w:tc>
        <w:tc>
          <w:tcPr>
            <w:tcW w:w="3774" w:type="dxa"/>
            <w:gridSpan w:val="3"/>
          </w:tcPr>
          <w:p w14:paraId="4B924A19" w14:textId="2B63EEC9" w:rsidR="00804D73" w:rsidRPr="008C7117" w:rsidRDefault="00CD4A7B" w:rsidP="007C5556">
            <w:pPr>
              <w:jc w:val="center"/>
              <w:rPr>
                <w:b/>
              </w:rPr>
            </w:pPr>
            <w:r w:rsidRPr="008C7117">
              <w:rPr>
                <w:b/>
              </w:rPr>
              <w:t>2</w:t>
            </w:r>
            <w:r w:rsidR="007F6686" w:rsidRPr="008C7117">
              <w:rPr>
                <w:b/>
              </w:rPr>
              <w:t>019/20</w:t>
            </w:r>
          </w:p>
        </w:tc>
      </w:tr>
      <w:tr w:rsidR="00C6077E" w:rsidRPr="000127EF" w14:paraId="22BEAE28" w14:textId="77777777" w:rsidTr="00840EA0">
        <w:tc>
          <w:tcPr>
            <w:tcW w:w="1184" w:type="dxa"/>
            <w:vAlign w:val="center"/>
          </w:tcPr>
          <w:p w14:paraId="76A6D17B" w14:textId="77777777" w:rsidR="00C6077E" w:rsidRPr="000127EF" w:rsidRDefault="00C6077E" w:rsidP="00BD7F27">
            <w:pPr>
              <w:jc w:val="center"/>
              <w:rPr>
                <w:b/>
                <w:i/>
              </w:rPr>
            </w:pPr>
            <w:r w:rsidRPr="000127EF">
              <w:rPr>
                <w:b/>
                <w:i/>
              </w:rPr>
              <w:t>Total</w:t>
            </w:r>
          </w:p>
        </w:tc>
        <w:tc>
          <w:tcPr>
            <w:tcW w:w="5243" w:type="dxa"/>
          </w:tcPr>
          <w:p w14:paraId="78BF458E" w14:textId="77777777" w:rsidR="00C6077E" w:rsidRPr="000127EF" w:rsidRDefault="00C6077E" w:rsidP="005D5E9D">
            <w:pPr>
              <w:jc w:val="both"/>
            </w:pPr>
          </w:p>
        </w:tc>
        <w:tc>
          <w:tcPr>
            <w:tcW w:w="1179" w:type="dxa"/>
          </w:tcPr>
          <w:p w14:paraId="5CDC4BC0" w14:textId="77777777" w:rsidR="00C6077E" w:rsidRPr="008C7117" w:rsidRDefault="00C6077E" w:rsidP="005D5E9D">
            <w:pPr>
              <w:ind w:firstLine="33"/>
              <w:jc w:val="center"/>
              <w:rPr>
                <w:b/>
              </w:rPr>
            </w:pPr>
            <w:r w:rsidRPr="008C7117">
              <w:rPr>
                <w:b/>
              </w:rPr>
              <w:t>Council Tax</w:t>
            </w:r>
          </w:p>
        </w:tc>
        <w:tc>
          <w:tcPr>
            <w:tcW w:w="1437" w:type="dxa"/>
          </w:tcPr>
          <w:p w14:paraId="0A52E5A3" w14:textId="77777777" w:rsidR="00C6077E" w:rsidRPr="008C7117" w:rsidRDefault="00C6077E" w:rsidP="005D5E9D">
            <w:pPr>
              <w:jc w:val="center"/>
              <w:rPr>
                <w:b/>
              </w:rPr>
            </w:pPr>
            <w:r w:rsidRPr="008C7117">
              <w:rPr>
                <w:b/>
              </w:rPr>
              <w:t>Business Rates</w:t>
            </w:r>
          </w:p>
        </w:tc>
        <w:tc>
          <w:tcPr>
            <w:tcW w:w="1158" w:type="dxa"/>
            <w:shd w:val="clear" w:color="auto" w:fill="C5E0B3" w:themeFill="accent6" w:themeFillTint="66"/>
            <w:vAlign w:val="center"/>
          </w:tcPr>
          <w:p w14:paraId="29404C5F" w14:textId="77777777" w:rsidR="00C6077E" w:rsidRPr="008C7117" w:rsidRDefault="00C6077E" w:rsidP="00BD7F27">
            <w:pPr>
              <w:jc w:val="center"/>
              <w:rPr>
                <w:b/>
              </w:rPr>
            </w:pPr>
            <w:r w:rsidRPr="008C7117">
              <w:rPr>
                <w:b/>
              </w:rPr>
              <w:t>Total</w:t>
            </w:r>
          </w:p>
        </w:tc>
      </w:tr>
      <w:tr w:rsidR="00C6077E" w:rsidRPr="000127EF" w14:paraId="75966A41" w14:textId="77777777" w:rsidTr="00840EA0">
        <w:tc>
          <w:tcPr>
            <w:tcW w:w="1184" w:type="dxa"/>
          </w:tcPr>
          <w:p w14:paraId="082BFF9D" w14:textId="77777777" w:rsidR="00C6077E" w:rsidRPr="000127EF" w:rsidRDefault="00C6077E" w:rsidP="005D5E9D">
            <w:pPr>
              <w:jc w:val="center"/>
              <w:rPr>
                <w:b/>
                <w:i/>
              </w:rPr>
            </w:pPr>
            <w:r w:rsidRPr="000127EF">
              <w:rPr>
                <w:b/>
                <w:i/>
              </w:rPr>
              <w:t>£000</w:t>
            </w:r>
          </w:p>
        </w:tc>
        <w:tc>
          <w:tcPr>
            <w:tcW w:w="5243" w:type="dxa"/>
          </w:tcPr>
          <w:p w14:paraId="1AF9DDAA" w14:textId="77777777" w:rsidR="00C6077E" w:rsidRPr="000127EF" w:rsidRDefault="00C6077E" w:rsidP="005D5E9D">
            <w:pPr>
              <w:jc w:val="both"/>
            </w:pPr>
          </w:p>
        </w:tc>
        <w:tc>
          <w:tcPr>
            <w:tcW w:w="1179" w:type="dxa"/>
          </w:tcPr>
          <w:p w14:paraId="7EB97C00" w14:textId="77777777" w:rsidR="00C6077E" w:rsidRPr="008C7117" w:rsidRDefault="00C6077E" w:rsidP="005D5E9D">
            <w:pPr>
              <w:ind w:firstLine="33"/>
              <w:jc w:val="center"/>
              <w:rPr>
                <w:b/>
              </w:rPr>
            </w:pPr>
            <w:r w:rsidRPr="008C7117">
              <w:rPr>
                <w:b/>
              </w:rPr>
              <w:t>£000</w:t>
            </w:r>
          </w:p>
        </w:tc>
        <w:tc>
          <w:tcPr>
            <w:tcW w:w="1437" w:type="dxa"/>
          </w:tcPr>
          <w:p w14:paraId="2CD70383" w14:textId="77777777" w:rsidR="00C6077E" w:rsidRPr="008C7117" w:rsidRDefault="00C6077E" w:rsidP="005D5E9D">
            <w:pPr>
              <w:jc w:val="center"/>
              <w:rPr>
                <w:b/>
              </w:rPr>
            </w:pPr>
            <w:r w:rsidRPr="008C7117">
              <w:rPr>
                <w:b/>
              </w:rPr>
              <w:t>£000</w:t>
            </w:r>
          </w:p>
        </w:tc>
        <w:tc>
          <w:tcPr>
            <w:tcW w:w="1158" w:type="dxa"/>
            <w:shd w:val="clear" w:color="auto" w:fill="C5E0B3" w:themeFill="accent6" w:themeFillTint="66"/>
          </w:tcPr>
          <w:p w14:paraId="4FAE87A3" w14:textId="77777777" w:rsidR="00C6077E" w:rsidRPr="008C7117" w:rsidRDefault="00C6077E" w:rsidP="005D5E9D">
            <w:pPr>
              <w:jc w:val="center"/>
              <w:rPr>
                <w:b/>
              </w:rPr>
            </w:pPr>
            <w:r w:rsidRPr="008C7117">
              <w:rPr>
                <w:b/>
              </w:rPr>
              <w:t>£000</w:t>
            </w:r>
          </w:p>
        </w:tc>
      </w:tr>
      <w:tr w:rsidR="00C6077E" w:rsidRPr="000127EF" w14:paraId="6541B505" w14:textId="77777777" w:rsidTr="00840EA0">
        <w:trPr>
          <w:trHeight w:val="324"/>
        </w:trPr>
        <w:tc>
          <w:tcPr>
            <w:tcW w:w="1184" w:type="dxa"/>
          </w:tcPr>
          <w:p w14:paraId="26772AFD" w14:textId="77777777" w:rsidR="00C6077E" w:rsidRPr="000127EF" w:rsidRDefault="00C6077E" w:rsidP="005D5E9D">
            <w:pPr>
              <w:jc w:val="both"/>
              <w:rPr>
                <w:i/>
              </w:rPr>
            </w:pPr>
          </w:p>
        </w:tc>
        <w:tc>
          <w:tcPr>
            <w:tcW w:w="5243" w:type="dxa"/>
          </w:tcPr>
          <w:p w14:paraId="44B8EAA0" w14:textId="77777777" w:rsidR="00C6077E" w:rsidRPr="000127EF" w:rsidRDefault="00C6077E" w:rsidP="005D5E9D">
            <w:pPr>
              <w:jc w:val="both"/>
            </w:pPr>
            <w:r w:rsidRPr="000127EF">
              <w:rPr>
                <w:b/>
              </w:rPr>
              <w:t>Income</w:t>
            </w:r>
          </w:p>
        </w:tc>
        <w:tc>
          <w:tcPr>
            <w:tcW w:w="1179" w:type="dxa"/>
          </w:tcPr>
          <w:p w14:paraId="050DD73E" w14:textId="77777777" w:rsidR="00C6077E" w:rsidRPr="008C7117" w:rsidRDefault="00C6077E" w:rsidP="005D5E9D">
            <w:pPr>
              <w:jc w:val="both"/>
            </w:pPr>
          </w:p>
        </w:tc>
        <w:tc>
          <w:tcPr>
            <w:tcW w:w="1437" w:type="dxa"/>
          </w:tcPr>
          <w:p w14:paraId="7F071433" w14:textId="77777777" w:rsidR="00C6077E" w:rsidRPr="008C7117" w:rsidRDefault="00C6077E" w:rsidP="005D5E9D">
            <w:pPr>
              <w:jc w:val="both"/>
            </w:pPr>
          </w:p>
        </w:tc>
        <w:tc>
          <w:tcPr>
            <w:tcW w:w="1158" w:type="dxa"/>
            <w:shd w:val="clear" w:color="auto" w:fill="C5E0B3" w:themeFill="accent6" w:themeFillTint="66"/>
          </w:tcPr>
          <w:p w14:paraId="4D9EEEF3" w14:textId="77777777" w:rsidR="00C6077E" w:rsidRPr="008C7117" w:rsidRDefault="00C6077E" w:rsidP="005D5E9D">
            <w:pPr>
              <w:jc w:val="both"/>
            </w:pPr>
          </w:p>
        </w:tc>
      </w:tr>
      <w:tr w:rsidR="007F6686" w:rsidRPr="000127EF" w14:paraId="5E898AAC" w14:textId="77777777" w:rsidTr="00840EA0">
        <w:tc>
          <w:tcPr>
            <w:tcW w:w="1184" w:type="dxa"/>
            <w:vAlign w:val="bottom"/>
          </w:tcPr>
          <w:p w14:paraId="24CA6B5E" w14:textId="6A60489D" w:rsidR="007F6686" w:rsidRPr="007F6686" w:rsidRDefault="007F6686" w:rsidP="007F6686">
            <w:pPr>
              <w:jc w:val="right"/>
              <w:rPr>
                <w:i/>
              </w:rPr>
            </w:pPr>
            <w:r w:rsidRPr="007F6686">
              <w:rPr>
                <w:i/>
              </w:rPr>
              <w:fldChar w:fldCharType="begin"/>
            </w:r>
            <w:r w:rsidRPr="007F6686">
              <w:rPr>
                <w:i/>
              </w:rPr>
              <w:instrText xml:space="preserve"> =SUM(c5,d5) </w:instrText>
            </w:r>
            <w:r w:rsidRPr="007F6686">
              <w:rPr>
                <w:i/>
              </w:rPr>
              <w:fldChar w:fldCharType="separate"/>
            </w:r>
            <w:r w:rsidRPr="007F6686">
              <w:rPr>
                <w:i/>
                <w:noProof/>
              </w:rPr>
              <w:t>(29,793)</w:t>
            </w:r>
            <w:r w:rsidRPr="007F6686">
              <w:rPr>
                <w:i/>
              </w:rPr>
              <w:fldChar w:fldCharType="end"/>
            </w:r>
          </w:p>
        </w:tc>
        <w:tc>
          <w:tcPr>
            <w:tcW w:w="5243" w:type="dxa"/>
          </w:tcPr>
          <w:p w14:paraId="0485B3DE" w14:textId="77777777" w:rsidR="007F6686" w:rsidRPr="000127EF" w:rsidRDefault="007F6686" w:rsidP="007F6686">
            <w:pPr>
              <w:jc w:val="both"/>
            </w:pPr>
            <w:r w:rsidRPr="000127EF">
              <w:t>Council Tax Receivable</w:t>
            </w:r>
          </w:p>
        </w:tc>
        <w:tc>
          <w:tcPr>
            <w:tcW w:w="1179" w:type="dxa"/>
            <w:vAlign w:val="bottom"/>
          </w:tcPr>
          <w:p w14:paraId="18520067" w14:textId="374AC84F" w:rsidR="007F6686" w:rsidRPr="008C7117" w:rsidRDefault="00734E53" w:rsidP="007F6686">
            <w:pPr>
              <w:jc w:val="right"/>
            </w:pPr>
            <w:r w:rsidRPr="008C7117">
              <w:t>(31,779)</w:t>
            </w:r>
          </w:p>
        </w:tc>
        <w:tc>
          <w:tcPr>
            <w:tcW w:w="1437" w:type="dxa"/>
            <w:vAlign w:val="bottom"/>
          </w:tcPr>
          <w:p w14:paraId="1CE61E1A" w14:textId="7DDA1E26" w:rsidR="007F6686" w:rsidRPr="008C7117" w:rsidRDefault="00E75D5A" w:rsidP="007F6686">
            <w:pPr>
              <w:jc w:val="right"/>
            </w:pPr>
            <w:r w:rsidRPr="008C7117">
              <w:t>-</w:t>
            </w:r>
          </w:p>
        </w:tc>
        <w:tc>
          <w:tcPr>
            <w:tcW w:w="1158" w:type="dxa"/>
            <w:shd w:val="clear" w:color="auto" w:fill="C5E0B3" w:themeFill="accent6" w:themeFillTint="66"/>
            <w:vAlign w:val="bottom"/>
          </w:tcPr>
          <w:p w14:paraId="431D8524" w14:textId="23FE94C1" w:rsidR="007F6686" w:rsidRPr="008C7117" w:rsidRDefault="00E75D5A" w:rsidP="007F6686">
            <w:pPr>
              <w:jc w:val="right"/>
            </w:pPr>
            <w:r w:rsidRPr="008C7117">
              <w:t>(31,779)</w:t>
            </w:r>
          </w:p>
        </w:tc>
      </w:tr>
      <w:tr w:rsidR="007F6686" w:rsidRPr="000127EF" w14:paraId="6A284F29" w14:textId="77777777" w:rsidTr="00840EA0">
        <w:tc>
          <w:tcPr>
            <w:tcW w:w="1184" w:type="dxa"/>
            <w:vAlign w:val="bottom"/>
          </w:tcPr>
          <w:p w14:paraId="5D99C518" w14:textId="332EAAFA" w:rsidR="007F6686" w:rsidRPr="007F6686" w:rsidRDefault="007F6686" w:rsidP="007F6686">
            <w:pPr>
              <w:jc w:val="right"/>
              <w:rPr>
                <w:i/>
              </w:rPr>
            </w:pPr>
            <w:r w:rsidRPr="007F6686">
              <w:rPr>
                <w:i/>
              </w:rPr>
              <w:fldChar w:fldCharType="begin"/>
            </w:r>
            <w:r w:rsidRPr="007F6686">
              <w:rPr>
                <w:i/>
              </w:rPr>
              <w:instrText xml:space="preserve"> =SUM(c6,d6) </w:instrText>
            </w:r>
            <w:r w:rsidRPr="007F6686">
              <w:rPr>
                <w:i/>
              </w:rPr>
              <w:fldChar w:fldCharType="separate"/>
            </w:r>
            <w:r w:rsidRPr="007F6686">
              <w:rPr>
                <w:i/>
                <w:noProof/>
              </w:rPr>
              <w:t>(11,628)</w:t>
            </w:r>
            <w:r w:rsidRPr="007F6686">
              <w:rPr>
                <w:i/>
              </w:rPr>
              <w:fldChar w:fldCharType="end"/>
            </w:r>
          </w:p>
        </w:tc>
        <w:tc>
          <w:tcPr>
            <w:tcW w:w="5243" w:type="dxa"/>
          </w:tcPr>
          <w:p w14:paraId="6F2B1709" w14:textId="77777777" w:rsidR="007F6686" w:rsidRPr="000127EF" w:rsidRDefault="007F6686" w:rsidP="007F6686">
            <w:r w:rsidRPr="000127EF">
              <w:t>Business Rates Receivable</w:t>
            </w:r>
          </w:p>
        </w:tc>
        <w:tc>
          <w:tcPr>
            <w:tcW w:w="1179" w:type="dxa"/>
            <w:vAlign w:val="bottom"/>
          </w:tcPr>
          <w:p w14:paraId="631FB4FF" w14:textId="25E01F01" w:rsidR="007F6686" w:rsidRPr="008C7117" w:rsidRDefault="00734E53" w:rsidP="007F6686">
            <w:pPr>
              <w:jc w:val="right"/>
            </w:pPr>
            <w:r w:rsidRPr="008C7117">
              <w:t>-</w:t>
            </w:r>
          </w:p>
        </w:tc>
        <w:tc>
          <w:tcPr>
            <w:tcW w:w="1437" w:type="dxa"/>
            <w:vAlign w:val="bottom"/>
          </w:tcPr>
          <w:p w14:paraId="526F76DF" w14:textId="4B2A51A4" w:rsidR="007F6686" w:rsidRPr="008C7117" w:rsidRDefault="00E75D5A" w:rsidP="007F6686">
            <w:pPr>
              <w:jc w:val="right"/>
            </w:pPr>
            <w:r w:rsidRPr="008C7117">
              <w:t>(11,646)</w:t>
            </w:r>
          </w:p>
        </w:tc>
        <w:tc>
          <w:tcPr>
            <w:tcW w:w="1158" w:type="dxa"/>
            <w:shd w:val="clear" w:color="auto" w:fill="C5E0B3" w:themeFill="accent6" w:themeFillTint="66"/>
            <w:vAlign w:val="bottom"/>
          </w:tcPr>
          <w:p w14:paraId="193039DB" w14:textId="47BCDF57" w:rsidR="007F6686" w:rsidRPr="008C7117" w:rsidRDefault="00E75D5A" w:rsidP="007F6686">
            <w:pPr>
              <w:jc w:val="right"/>
            </w:pPr>
            <w:r w:rsidRPr="008C7117">
              <w:t>(11,646)</w:t>
            </w:r>
          </w:p>
        </w:tc>
      </w:tr>
      <w:tr w:rsidR="007F6686" w:rsidRPr="000127EF" w14:paraId="2070AEAF" w14:textId="77777777" w:rsidTr="00840EA0">
        <w:tc>
          <w:tcPr>
            <w:tcW w:w="1184" w:type="dxa"/>
            <w:tcBorders>
              <w:bottom w:val="nil"/>
            </w:tcBorders>
            <w:vAlign w:val="bottom"/>
          </w:tcPr>
          <w:p w14:paraId="2771D879" w14:textId="69B29A42" w:rsidR="007F6686" w:rsidRPr="007F6686" w:rsidRDefault="007F6686" w:rsidP="007F6686">
            <w:pPr>
              <w:jc w:val="right"/>
              <w:rPr>
                <w:i/>
              </w:rPr>
            </w:pPr>
            <w:r w:rsidRPr="007F6686">
              <w:rPr>
                <w:i/>
              </w:rPr>
              <w:fldChar w:fldCharType="begin"/>
            </w:r>
            <w:r w:rsidRPr="007F6686">
              <w:rPr>
                <w:i/>
              </w:rPr>
              <w:instrText xml:space="preserve"> =SUM(c7,d7) </w:instrText>
            </w:r>
            <w:r w:rsidRPr="007F6686">
              <w:rPr>
                <w:i/>
              </w:rPr>
              <w:fldChar w:fldCharType="separate"/>
            </w:r>
            <w:r w:rsidRPr="007F6686">
              <w:rPr>
                <w:i/>
                <w:noProof/>
              </w:rPr>
              <w:t>(533)</w:t>
            </w:r>
            <w:r w:rsidRPr="007F6686">
              <w:rPr>
                <w:i/>
              </w:rPr>
              <w:fldChar w:fldCharType="end"/>
            </w:r>
          </w:p>
        </w:tc>
        <w:tc>
          <w:tcPr>
            <w:tcW w:w="5243" w:type="dxa"/>
            <w:tcBorders>
              <w:bottom w:val="nil"/>
            </w:tcBorders>
          </w:tcPr>
          <w:p w14:paraId="558A681B" w14:textId="77777777" w:rsidR="007F6686" w:rsidRPr="000127EF" w:rsidRDefault="007F6686" w:rsidP="007F6686">
            <w:pPr>
              <w:tabs>
                <w:tab w:val="right" w:pos="5027"/>
              </w:tabs>
              <w:ind w:left="171" w:hanging="171"/>
              <w:jc w:val="both"/>
            </w:pPr>
            <w:r w:rsidRPr="000127EF">
              <w:t>Transitional Protection Payments Receivable</w:t>
            </w:r>
          </w:p>
        </w:tc>
        <w:tc>
          <w:tcPr>
            <w:tcW w:w="1179" w:type="dxa"/>
            <w:tcBorders>
              <w:bottom w:val="nil"/>
            </w:tcBorders>
          </w:tcPr>
          <w:p w14:paraId="39C8BEF5" w14:textId="25F09851" w:rsidR="007F6686" w:rsidRPr="008C7117" w:rsidRDefault="00734E53" w:rsidP="007F6686">
            <w:pPr>
              <w:jc w:val="right"/>
            </w:pPr>
            <w:r w:rsidRPr="008C7117">
              <w:t>(0)</w:t>
            </w:r>
          </w:p>
        </w:tc>
        <w:tc>
          <w:tcPr>
            <w:tcW w:w="1437" w:type="dxa"/>
            <w:tcBorders>
              <w:bottom w:val="nil"/>
            </w:tcBorders>
            <w:vAlign w:val="bottom"/>
          </w:tcPr>
          <w:p w14:paraId="65528D1A" w14:textId="20B5E9E1" w:rsidR="007F6686" w:rsidRPr="008C7117" w:rsidRDefault="00E75D5A" w:rsidP="007F6686">
            <w:pPr>
              <w:jc w:val="right"/>
            </w:pPr>
            <w:r w:rsidRPr="008C7117">
              <w:t>(452)</w:t>
            </w:r>
          </w:p>
        </w:tc>
        <w:tc>
          <w:tcPr>
            <w:tcW w:w="1158" w:type="dxa"/>
            <w:tcBorders>
              <w:bottom w:val="nil"/>
            </w:tcBorders>
            <w:shd w:val="clear" w:color="auto" w:fill="C5E0B3" w:themeFill="accent6" w:themeFillTint="66"/>
            <w:vAlign w:val="bottom"/>
          </w:tcPr>
          <w:p w14:paraId="2AFBFEF4" w14:textId="5A81D2BB" w:rsidR="007F6686" w:rsidRPr="008C7117" w:rsidRDefault="00E75D5A" w:rsidP="007F6686">
            <w:pPr>
              <w:jc w:val="right"/>
            </w:pPr>
            <w:r w:rsidRPr="008C7117">
              <w:t>(452)</w:t>
            </w:r>
          </w:p>
        </w:tc>
      </w:tr>
      <w:tr w:rsidR="007F6686" w:rsidRPr="000127EF" w14:paraId="1030106D" w14:textId="77777777" w:rsidTr="00840EA0">
        <w:tc>
          <w:tcPr>
            <w:tcW w:w="1184" w:type="dxa"/>
            <w:tcBorders>
              <w:top w:val="nil"/>
              <w:bottom w:val="nil"/>
            </w:tcBorders>
            <w:vAlign w:val="center"/>
          </w:tcPr>
          <w:p w14:paraId="1DEA3376" w14:textId="1665FD2E" w:rsidR="007F6686" w:rsidRPr="007F6686" w:rsidRDefault="007F6686" w:rsidP="007F6686">
            <w:pPr>
              <w:jc w:val="right"/>
              <w:rPr>
                <w:i/>
              </w:rPr>
            </w:pPr>
            <w:r w:rsidRPr="007F6686">
              <w:rPr>
                <w:i/>
              </w:rPr>
              <w:t>-</w:t>
            </w:r>
          </w:p>
        </w:tc>
        <w:tc>
          <w:tcPr>
            <w:tcW w:w="5243" w:type="dxa"/>
            <w:tcBorders>
              <w:top w:val="nil"/>
              <w:bottom w:val="nil"/>
            </w:tcBorders>
            <w:vAlign w:val="center"/>
          </w:tcPr>
          <w:p w14:paraId="3CC4FF13" w14:textId="77777777" w:rsidR="007F6686" w:rsidRPr="000127EF" w:rsidRDefault="007F6686" w:rsidP="007F6686">
            <w:r w:rsidRPr="000127EF">
              <w:t>Annex Grant</w:t>
            </w:r>
          </w:p>
        </w:tc>
        <w:tc>
          <w:tcPr>
            <w:tcW w:w="1179" w:type="dxa"/>
            <w:tcBorders>
              <w:top w:val="nil"/>
              <w:bottom w:val="nil"/>
            </w:tcBorders>
            <w:vAlign w:val="center"/>
          </w:tcPr>
          <w:p w14:paraId="6C7A4122" w14:textId="3D7F7DA4" w:rsidR="007F6686" w:rsidRPr="008C7117" w:rsidRDefault="00734E53" w:rsidP="007F6686">
            <w:pPr>
              <w:jc w:val="right"/>
            </w:pPr>
            <w:r w:rsidRPr="008C7117">
              <w:t>-</w:t>
            </w:r>
          </w:p>
        </w:tc>
        <w:tc>
          <w:tcPr>
            <w:tcW w:w="1437" w:type="dxa"/>
            <w:tcBorders>
              <w:top w:val="nil"/>
              <w:bottom w:val="nil"/>
            </w:tcBorders>
            <w:vAlign w:val="center"/>
          </w:tcPr>
          <w:p w14:paraId="2921AF43" w14:textId="33C38799" w:rsidR="007F6686" w:rsidRPr="008C7117" w:rsidRDefault="00E75D5A" w:rsidP="007F6686">
            <w:pPr>
              <w:jc w:val="right"/>
            </w:pPr>
            <w:r w:rsidRPr="008C7117">
              <w:t>-</w:t>
            </w:r>
          </w:p>
        </w:tc>
        <w:tc>
          <w:tcPr>
            <w:tcW w:w="1158" w:type="dxa"/>
            <w:tcBorders>
              <w:top w:val="nil"/>
              <w:bottom w:val="nil"/>
            </w:tcBorders>
            <w:shd w:val="clear" w:color="auto" w:fill="C5E0B3" w:themeFill="accent6" w:themeFillTint="66"/>
            <w:vAlign w:val="center"/>
          </w:tcPr>
          <w:p w14:paraId="0C4D6533" w14:textId="417E30E4" w:rsidR="007F6686" w:rsidRPr="008C7117" w:rsidRDefault="00E75D5A" w:rsidP="007F6686">
            <w:pPr>
              <w:jc w:val="right"/>
            </w:pPr>
            <w:r w:rsidRPr="008C7117">
              <w:t>-</w:t>
            </w:r>
          </w:p>
        </w:tc>
      </w:tr>
      <w:tr w:rsidR="007F6686" w:rsidRPr="000127EF" w14:paraId="5A65C873" w14:textId="77777777" w:rsidTr="00840EA0">
        <w:tc>
          <w:tcPr>
            <w:tcW w:w="1184" w:type="dxa"/>
            <w:tcBorders>
              <w:top w:val="nil"/>
              <w:bottom w:val="single" w:sz="4" w:space="0" w:color="auto"/>
            </w:tcBorders>
            <w:vAlign w:val="center"/>
          </w:tcPr>
          <w:p w14:paraId="1EF2D03C" w14:textId="004E0CB7" w:rsidR="007F6686" w:rsidRPr="007F6686" w:rsidRDefault="007F6686" w:rsidP="007F6686">
            <w:pPr>
              <w:jc w:val="right"/>
              <w:rPr>
                <w:i/>
              </w:rPr>
            </w:pPr>
            <w:r w:rsidRPr="007F6686">
              <w:rPr>
                <w:i/>
              </w:rPr>
              <w:fldChar w:fldCharType="begin"/>
            </w:r>
            <w:r w:rsidRPr="007F6686">
              <w:rPr>
                <w:i/>
              </w:rPr>
              <w:instrText xml:space="preserve"> =SUM(c9,d9) </w:instrText>
            </w:r>
            <w:r w:rsidRPr="007F6686">
              <w:rPr>
                <w:i/>
              </w:rPr>
              <w:fldChar w:fldCharType="separate"/>
            </w:r>
            <w:r w:rsidRPr="007F6686">
              <w:rPr>
                <w:i/>
                <w:noProof/>
              </w:rPr>
              <w:t>(15)</w:t>
            </w:r>
            <w:r w:rsidRPr="007F6686">
              <w:rPr>
                <w:i/>
              </w:rPr>
              <w:fldChar w:fldCharType="end"/>
            </w:r>
          </w:p>
        </w:tc>
        <w:tc>
          <w:tcPr>
            <w:tcW w:w="5243" w:type="dxa"/>
            <w:tcBorders>
              <w:top w:val="nil"/>
            </w:tcBorders>
            <w:vAlign w:val="center"/>
          </w:tcPr>
          <w:p w14:paraId="642B4ED5" w14:textId="77777777" w:rsidR="007F6686" w:rsidRPr="000127EF" w:rsidRDefault="007F6686" w:rsidP="007F6686">
            <w:r w:rsidRPr="000127EF">
              <w:t>Local Council Tax Support - General Fund Contribution</w:t>
            </w:r>
          </w:p>
        </w:tc>
        <w:tc>
          <w:tcPr>
            <w:tcW w:w="1179" w:type="dxa"/>
            <w:tcBorders>
              <w:top w:val="nil"/>
              <w:bottom w:val="single" w:sz="4" w:space="0" w:color="auto"/>
            </w:tcBorders>
            <w:vAlign w:val="center"/>
          </w:tcPr>
          <w:p w14:paraId="6C7C34B1" w14:textId="1F905644" w:rsidR="007F6686" w:rsidRPr="008C7117" w:rsidRDefault="00734E53" w:rsidP="007F6686">
            <w:pPr>
              <w:jc w:val="right"/>
            </w:pPr>
            <w:r w:rsidRPr="008C7117">
              <w:t>(</w:t>
            </w:r>
            <w:r w:rsidR="00987424" w:rsidRPr="008C7117">
              <w:t>19</w:t>
            </w:r>
            <w:r w:rsidRPr="008C7117">
              <w:t>)</w:t>
            </w:r>
          </w:p>
        </w:tc>
        <w:tc>
          <w:tcPr>
            <w:tcW w:w="1437" w:type="dxa"/>
            <w:tcBorders>
              <w:top w:val="nil"/>
              <w:bottom w:val="single" w:sz="4" w:space="0" w:color="auto"/>
            </w:tcBorders>
            <w:vAlign w:val="center"/>
          </w:tcPr>
          <w:p w14:paraId="73FE590B" w14:textId="6F35D2B8" w:rsidR="007F6686" w:rsidRPr="008C7117" w:rsidRDefault="00E75D5A" w:rsidP="007F6686">
            <w:pPr>
              <w:jc w:val="right"/>
            </w:pPr>
            <w:r w:rsidRPr="008C7117">
              <w:t>-</w:t>
            </w:r>
          </w:p>
        </w:tc>
        <w:tc>
          <w:tcPr>
            <w:tcW w:w="1158" w:type="dxa"/>
            <w:tcBorders>
              <w:top w:val="nil"/>
              <w:bottom w:val="single" w:sz="4" w:space="0" w:color="auto"/>
            </w:tcBorders>
            <w:shd w:val="clear" w:color="auto" w:fill="C5E0B3" w:themeFill="accent6" w:themeFillTint="66"/>
            <w:vAlign w:val="center"/>
          </w:tcPr>
          <w:p w14:paraId="7FAAE6D0" w14:textId="11E838EF" w:rsidR="007F6686" w:rsidRPr="008C7117" w:rsidRDefault="00BF4C38" w:rsidP="007F6686">
            <w:pPr>
              <w:jc w:val="right"/>
            </w:pPr>
            <w:r>
              <w:t>(19)</w:t>
            </w:r>
          </w:p>
        </w:tc>
      </w:tr>
      <w:tr w:rsidR="007F6686" w:rsidRPr="000127EF" w14:paraId="5DCECDA4" w14:textId="77777777" w:rsidTr="00840EA0">
        <w:tc>
          <w:tcPr>
            <w:tcW w:w="1184" w:type="dxa"/>
            <w:tcBorders>
              <w:top w:val="single" w:sz="4" w:space="0" w:color="auto"/>
            </w:tcBorders>
            <w:vAlign w:val="bottom"/>
          </w:tcPr>
          <w:p w14:paraId="0DC7CC9B" w14:textId="3CCA3FF4" w:rsidR="007F6686" w:rsidRPr="007F6686" w:rsidRDefault="007F6686" w:rsidP="007F6686">
            <w:pPr>
              <w:jc w:val="right"/>
              <w:rPr>
                <w:b/>
                <w:i/>
              </w:rPr>
            </w:pPr>
            <w:r w:rsidRPr="007F6686">
              <w:rPr>
                <w:b/>
                <w:i/>
              </w:rPr>
              <w:fldChar w:fldCharType="begin"/>
            </w:r>
            <w:r w:rsidRPr="007F6686">
              <w:rPr>
                <w:b/>
                <w:i/>
              </w:rPr>
              <w:instrText xml:space="preserve"> =SUM(e5:e9) </w:instrText>
            </w:r>
            <w:r w:rsidRPr="007F6686">
              <w:rPr>
                <w:b/>
                <w:i/>
              </w:rPr>
              <w:fldChar w:fldCharType="separate"/>
            </w:r>
            <w:r w:rsidRPr="007F6686">
              <w:rPr>
                <w:b/>
                <w:i/>
                <w:noProof/>
              </w:rPr>
              <w:t>(41,969)</w:t>
            </w:r>
            <w:r w:rsidRPr="007F6686">
              <w:rPr>
                <w:b/>
                <w:i/>
              </w:rPr>
              <w:fldChar w:fldCharType="end"/>
            </w:r>
          </w:p>
        </w:tc>
        <w:tc>
          <w:tcPr>
            <w:tcW w:w="5243" w:type="dxa"/>
          </w:tcPr>
          <w:p w14:paraId="45010E35" w14:textId="77777777" w:rsidR="007F6686" w:rsidRPr="000127EF" w:rsidRDefault="007F6686" w:rsidP="007F6686">
            <w:pPr>
              <w:jc w:val="both"/>
              <w:rPr>
                <w:b/>
              </w:rPr>
            </w:pPr>
            <w:r w:rsidRPr="000127EF">
              <w:rPr>
                <w:b/>
              </w:rPr>
              <w:t>Total Income</w:t>
            </w:r>
          </w:p>
        </w:tc>
        <w:tc>
          <w:tcPr>
            <w:tcW w:w="1179" w:type="dxa"/>
            <w:tcBorders>
              <w:top w:val="single" w:sz="4" w:space="0" w:color="auto"/>
            </w:tcBorders>
            <w:vAlign w:val="bottom"/>
          </w:tcPr>
          <w:p w14:paraId="548ACE0F" w14:textId="7841E122" w:rsidR="007F6686" w:rsidRPr="008C7117" w:rsidRDefault="00734E53" w:rsidP="007F6686">
            <w:pPr>
              <w:jc w:val="right"/>
              <w:rPr>
                <w:b/>
              </w:rPr>
            </w:pPr>
            <w:r w:rsidRPr="008C7117">
              <w:rPr>
                <w:b/>
              </w:rPr>
              <w:t>(31,</w:t>
            </w:r>
            <w:r w:rsidR="00987424" w:rsidRPr="008C7117">
              <w:rPr>
                <w:b/>
              </w:rPr>
              <w:t>798</w:t>
            </w:r>
            <w:r w:rsidRPr="008C7117">
              <w:rPr>
                <w:b/>
              </w:rPr>
              <w:t>)</w:t>
            </w:r>
          </w:p>
        </w:tc>
        <w:tc>
          <w:tcPr>
            <w:tcW w:w="1437" w:type="dxa"/>
            <w:tcBorders>
              <w:top w:val="single" w:sz="4" w:space="0" w:color="auto"/>
            </w:tcBorders>
            <w:vAlign w:val="bottom"/>
          </w:tcPr>
          <w:p w14:paraId="6C10083D" w14:textId="159118AE" w:rsidR="007F6686" w:rsidRPr="008C7117" w:rsidRDefault="00E75D5A" w:rsidP="007F6686">
            <w:pPr>
              <w:jc w:val="right"/>
              <w:rPr>
                <w:b/>
              </w:rPr>
            </w:pPr>
            <w:r w:rsidRPr="008C7117">
              <w:rPr>
                <w:b/>
              </w:rPr>
              <w:t>(12,098)</w:t>
            </w:r>
          </w:p>
        </w:tc>
        <w:tc>
          <w:tcPr>
            <w:tcW w:w="1158" w:type="dxa"/>
            <w:tcBorders>
              <w:top w:val="single" w:sz="4" w:space="0" w:color="auto"/>
            </w:tcBorders>
            <w:shd w:val="clear" w:color="auto" w:fill="C5E0B3" w:themeFill="accent6" w:themeFillTint="66"/>
            <w:vAlign w:val="bottom"/>
          </w:tcPr>
          <w:p w14:paraId="3E18F07D" w14:textId="5E9A4478" w:rsidR="007F6686" w:rsidRPr="008C7117" w:rsidRDefault="008C7117" w:rsidP="007F6686">
            <w:pPr>
              <w:jc w:val="right"/>
              <w:rPr>
                <w:b/>
              </w:rPr>
            </w:pPr>
            <w:r w:rsidRPr="008C7117">
              <w:rPr>
                <w:b/>
              </w:rPr>
              <w:t>(43,896)</w:t>
            </w:r>
          </w:p>
        </w:tc>
      </w:tr>
      <w:tr w:rsidR="007F6686" w:rsidRPr="000127EF" w14:paraId="289C5CCC" w14:textId="77777777" w:rsidTr="00840EA0">
        <w:tc>
          <w:tcPr>
            <w:tcW w:w="1184" w:type="dxa"/>
            <w:vAlign w:val="bottom"/>
          </w:tcPr>
          <w:p w14:paraId="61B3EB70" w14:textId="77777777" w:rsidR="007F6686" w:rsidRPr="007F6686" w:rsidRDefault="007F6686" w:rsidP="007F6686">
            <w:pPr>
              <w:jc w:val="right"/>
              <w:rPr>
                <w:i/>
                <w:sz w:val="14"/>
                <w:szCs w:val="14"/>
              </w:rPr>
            </w:pPr>
          </w:p>
        </w:tc>
        <w:tc>
          <w:tcPr>
            <w:tcW w:w="5243" w:type="dxa"/>
          </w:tcPr>
          <w:p w14:paraId="4E5BFFE1" w14:textId="77777777" w:rsidR="007F6686" w:rsidRPr="000127EF" w:rsidRDefault="007F6686" w:rsidP="007F6686">
            <w:pPr>
              <w:rPr>
                <w:sz w:val="14"/>
                <w:szCs w:val="14"/>
              </w:rPr>
            </w:pPr>
          </w:p>
        </w:tc>
        <w:tc>
          <w:tcPr>
            <w:tcW w:w="1179" w:type="dxa"/>
            <w:vAlign w:val="bottom"/>
          </w:tcPr>
          <w:p w14:paraId="3A742C90" w14:textId="77777777" w:rsidR="007F6686" w:rsidRPr="008C7117" w:rsidRDefault="007F6686" w:rsidP="007F6686">
            <w:pPr>
              <w:jc w:val="right"/>
              <w:rPr>
                <w:sz w:val="14"/>
                <w:szCs w:val="14"/>
              </w:rPr>
            </w:pPr>
          </w:p>
        </w:tc>
        <w:tc>
          <w:tcPr>
            <w:tcW w:w="1437" w:type="dxa"/>
            <w:vAlign w:val="bottom"/>
          </w:tcPr>
          <w:p w14:paraId="15DE5147" w14:textId="77777777" w:rsidR="007F6686" w:rsidRPr="008C7117" w:rsidRDefault="007F6686" w:rsidP="007F6686">
            <w:pPr>
              <w:jc w:val="right"/>
              <w:rPr>
                <w:sz w:val="14"/>
                <w:szCs w:val="14"/>
              </w:rPr>
            </w:pPr>
          </w:p>
        </w:tc>
        <w:tc>
          <w:tcPr>
            <w:tcW w:w="1158" w:type="dxa"/>
            <w:shd w:val="clear" w:color="auto" w:fill="C5E0B3" w:themeFill="accent6" w:themeFillTint="66"/>
            <w:vAlign w:val="bottom"/>
          </w:tcPr>
          <w:p w14:paraId="0CE0D6C8" w14:textId="77777777" w:rsidR="007F6686" w:rsidRPr="008C7117" w:rsidRDefault="007F6686" w:rsidP="007F6686">
            <w:pPr>
              <w:jc w:val="right"/>
              <w:rPr>
                <w:sz w:val="14"/>
                <w:szCs w:val="14"/>
              </w:rPr>
            </w:pPr>
          </w:p>
        </w:tc>
      </w:tr>
      <w:tr w:rsidR="007F6686" w:rsidRPr="000127EF" w14:paraId="60916A12" w14:textId="77777777" w:rsidTr="00840EA0">
        <w:tc>
          <w:tcPr>
            <w:tcW w:w="1184" w:type="dxa"/>
            <w:vAlign w:val="bottom"/>
          </w:tcPr>
          <w:p w14:paraId="11A0C30C" w14:textId="77777777" w:rsidR="007F6686" w:rsidRPr="007F6686" w:rsidRDefault="007F6686" w:rsidP="007F6686">
            <w:pPr>
              <w:jc w:val="right"/>
              <w:rPr>
                <w:i/>
              </w:rPr>
            </w:pPr>
          </w:p>
        </w:tc>
        <w:tc>
          <w:tcPr>
            <w:tcW w:w="5243" w:type="dxa"/>
          </w:tcPr>
          <w:p w14:paraId="5F675B08" w14:textId="77777777" w:rsidR="007F6686" w:rsidRPr="000127EF" w:rsidRDefault="007F6686" w:rsidP="007F6686">
            <w:pPr>
              <w:rPr>
                <w:b/>
              </w:rPr>
            </w:pPr>
            <w:r w:rsidRPr="000127EF">
              <w:rPr>
                <w:b/>
              </w:rPr>
              <w:t>Expenditure</w:t>
            </w:r>
          </w:p>
        </w:tc>
        <w:tc>
          <w:tcPr>
            <w:tcW w:w="1179" w:type="dxa"/>
            <w:vAlign w:val="bottom"/>
          </w:tcPr>
          <w:p w14:paraId="1B1C1A2D" w14:textId="77777777" w:rsidR="007F6686" w:rsidRPr="008C7117" w:rsidRDefault="007F6686" w:rsidP="007F6686">
            <w:pPr>
              <w:jc w:val="right"/>
            </w:pPr>
          </w:p>
        </w:tc>
        <w:tc>
          <w:tcPr>
            <w:tcW w:w="1437" w:type="dxa"/>
            <w:vAlign w:val="bottom"/>
          </w:tcPr>
          <w:p w14:paraId="2024E2C7" w14:textId="77777777" w:rsidR="007F6686" w:rsidRPr="008C7117" w:rsidRDefault="007F6686" w:rsidP="007F6686">
            <w:pPr>
              <w:jc w:val="right"/>
            </w:pPr>
          </w:p>
        </w:tc>
        <w:tc>
          <w:tcPr>
            <w:tcW w:w="1158" w:type="dxa"/>
            <w:shd w:val="clear" w:color="auto" w:fill="C5E0B3" w:themeFill="accent6" w:themeFillTint="66"/>
            <w:vAlign w:val="bottom"/>
          </w:tcPr>
          <w:p w14:paraId="421CA923" w14:textId="77777777" w:rsidR="007F6686" w:rsidRPr="008C7117" w:rsidRDefault="007F6686" w:rsidP="007F6686">
            <w:pPr>
              <w:jc w:val="right"/>
            </w:pPr>
          </w:p>
        </w:tc>
      </w:tr>
      <w:tr w:rsidR="007F6686" w:rsidRPr="000127EF" w14:paraId="31BE82F5" w14:textId="77777777" w:rsidTr="00840EA0">
        <w:tc>
          <w:tcPr>
            <w:tcW w:w="1184" w:type="dxa"/>
            <w:vAlign w:val="bottom"/>
          </w:tcPr>
          <w:p w14:paraId="459F23E2" w14:textId="77777777" w:rsidR="007F6686" w:rsidRPr="007F6686" w:rsidRDefault="007F6686" w:rsidP="007F6686">
            <w:pPr>
              <w:jc w:val="right"/>
              <w:rPr>
                <w:i/>
                <w:sz w:val="14"/>
                <w:szCs w:val="14"/>
              </w:rPr>
            </w:pPr>
          </w:p>
        </w:tc>
        <w:tc>
          <w:tcPr>
            <w:tcW w:w="5243" w:type="dxa"/>
          </w:tcPr>
          <w:p w14:paraId="05306BCC" w14:textId="77777777" w:rsidR="007F6686" w:rsidRPr="000127EF" w:rsidRDefault="007F6686" w:rsidP="007F6686">
            <w:pPr>
              <w:rPr>
                <w:sz w:val="14"/>
                <w:szCs w:val="14"/>
              </w:rPr>
            </w:pPr>
          </w:p>
        </w:tc>
        <w:tc>
          <w:tcPr>
            <w:tcW w:w="1179" w:type="dxa"/>
            <w:vAlign w:val="bottom"/>
          </w:tcPr>
          <w:p w14:paraId="2DA42AA8" w14:textId="77777777" w:rsidR="007F6686" w:rsidRPr="008C7117" w:rsidRDefault="007F6686" w:rsidP="007F6686">
            <w:pPr>
              <w:jc w:val="right"/>
              <w:rPr>
                <w:sz w:val="14"/>
                <w:szCs w:val="14"/>
              </w:rPr>
            </w:pPr>
          </w:p>
        </w:tc>
        <w:tc>
          <w:tcPr>
            <w:tcW w:w="1437" w:type="dxa"/>
            <w:vAlign w:val="bottom"/>
          </w:tcPr>
          <w:p w14:paraId="0E0535B1" w14:textId="77777777" w:rsidR="007F6686" w:rsidRPr="008C7117" w:rsidRDefault="007F6686" w:rsidP="007F6686">
            <w:pPr>
              <w:jc w:val="right"/>
              <w:rPr>
                <w:sz w:val="14"/>
                <w:szCs w:val="14"/>
              </w:rPr>
            </w:pPr>
          </w:p>
        </w:tc>
        <w:tc>
          <w:tcPr>
            <w:tcW w:w="1158" w:type="dxa"/>
            <w:shd w:val="clear" w:color="auto" w:fill="C5E0B3" w:themeFill="accent6" w:themeFillTint="66"/>
            <w:vAlign w:val="bottom"/>
          </w:tcPr>
          <w:p w14:paraId="78E985CA" w14:textId="77777777" w:rsidR="007F6686" w:rsidRPr="008C7117" w:rsidRDefault="007F6686" w:rsidP="007F6686">
            <w:pPr>
              <w:jc w:val="right"/>
              <w:rPr>
                <w:sz w:val="14"/>
                <w:szCs w:val="14"/>
              </w:rPr>
            </w:pPr>
          </w:p>
        </w:tc>
      </w:tr>
      <w:tr w:rsidR="007F6686" w:rsidRPr="000127EF" w14:paraId="76E13754" w14:textId="77777777" w:rsidTr="00840EA0">
        <w:tc>
          <w:tcPr>
            <w:tcW w:w="1184" w:type="dxa"/>
            <w:vAlign w:val="bottom"/>
          </w:tcPr>
          <w:p w14:paraId="74B2AC1F" w14:textId="77777777" w:rsidR="007F6686" w:rsidRPr="007F6686" w:rsidRDefault="007F6686" w:rsidP="007F6686">
            <w:pPr>
              <w:jc w:val="right"/>
              <w:rPr>
                <w:i/>
              </w:rPr>
            </w:pPr>
          </w:p>
        </w:tc>
        <w:tc>
          <w:tcPr>
            <w:tcW w:w="5243" w:type="dxa"/>
          </w:tcPr>
          <w:p w14:paraId="0582072B" w14:textId="77777777" w:rsidR="007F6686" w:rsidRPr="000127EF" w:rsidRDefault="007F6686" w:rsidP="007F6686">
            <w:pPr>
              <w:rPr>
                <w:b/>
                <w:i/>
              </w:rPr>
            </w:pPr>
            <w:r w:rsidRPr="000127EF">
              <w:rPr>
                <w:b/>
                <w:i/>
              </w:rPr>
              <w:t>Precepts</w:t>
            </w:r>
          </w:p>
        </w:tc>
        <w:tc>
          <w:tcPr>
            <w:tcW w:w="1179" w:type="dxa"/>
            <w:vAlign w:val="bottom"/>
          </w:tcPr>
          <w:p w14:paraId="6859B14B" w14:textId="77777777" w:rsidR="007F6686" w:rsidRPr="008C7117" w:rsidRDefault="007F6686" w:rsidP="007F6686">
            <w:pPr>
              <w:jc w:val="right"/>
            </w:pPr>
          </w:p>
        </w:tc>
        <w:tc>
          <w:tcPr>
            <w:tcW w:w="1437" w:type="dxa"/>
            <w:vAlign w:val="bottom"/>
          </w:tcPr>
          <w:p w14:paraId="53F37EAF" w14:textId="77777777" w:rsidR="007F6686" w:rsidRPr="008C7117" w:rsidRDefault="007F6686" w:rsidP="007F6686">
            <w:pPr>
              <w:jc w:val="right"/>
            </w:pPr>
          </w:p>
        </w:tc>
        <w:tc>
          <w:tcPr>
            <w:tcW w:w="1158" w:type="dxa"/>
            <w:shd w:val="clear" w:color="auto" w:fill="C5E0B3" w:themeFill="accent6" w:themeFillTint="66"/>
            <w:vAlign w:val="bottom"/>
          </w:tcPr>
          <w:p w14:paraId="3F4FE3C1" w14:textId="77777777" w:rsidR="007F6686" w:rsidRPr="008C7117" w:rsidRDefault="007F6686" w:rsidP="007F6686">
            <w:pPr>
              <w:jc w:val="right"/>
            </w:pPr>
          </w:p>
        </w:tc>
      </w:tr>
      <w:tr w:rsidR="007F6686" w:rsidRPr="000127EF" w14:paraId="5BA8C7DB" w14:textId="77777777" w:rsidTr="00840EA0">
        <w:tc>
          <w:tcPr>
            <w:tcW w:w="1184" w:type="dxa"/>
            <w:vAlign w:val="center"/>
          </w:tcPr>
          <w:p w14:paraId="39149803" w14:textId="5F7BE993" w:rsidR="007F6686" w:rsidRPr="007F6686" w:rsidRDefault="007F6686" w:rsidP="007F6686">
            <w:pPr>
              <w:jc w:val="right"/>
              <w:rPr>
                <w:i/>
              </w:rPr>
            </w:pPr>
            <w:r w:rsidRPr="007F6686">
              <w:rPr>
                <w:i/>
              </w:rPr>
              <w:fldChar w:fldCharType="begin"/>
            </w:r>
            <w:r w:rsidRPr="007F6686">
              <w:rPr>
                <w:i/>
              </w:rPr>
              <w:instrText xml:space="preserve"> =SUM(c15,d15) </w:instrText>
            </w:r>
            <w:r w:rsidRPr="007F6686">
              <w:rPr>
                <w:i/>
              </w:rPr>
              <w:fldChar w:fldCharType="separate"/>
            </w:r>
            <w:r w:rsidRPr="007F6686">
              <w:rPr>
                <w:i/>
                <w:noProof/>
              </w:rPr>
              <w:t>25,602</w:t>
            </w:r>
            <w:r w:rsidRPr="007F6686">
              <w:rPr>
                <w:i/>
              </w:rPr>
              <w:fldChar w:fldCharType="end"/>
            </w:r>
          </w:p>
        </w:tc>
        <w:tc>
          <w:tcPr>
            <w:tcW w:w="5243" w:type="dxa"/>
          </w:tcPr>
          <w:p w14:paraId="661886BA" w14:textId="77777777" w:rsidR="007F6686" w:rsidRPr="000127EF" w:rsidRDefault="007F6686" w:rsidP="007F6686">
            <w:pPr>
              <w:ind w:left="171"/>
            </w:pPr>
            <w:r w:rsidRPr="000127EF">
              <w:t>Rutland County Council</w:t>
            </w:r>
          </w:p>
        </w:tc>
        <w:tc>
          <w:tcPr>
            <w:tcW w:w="1179" w:type="dxa"/>
            <w:vAlign w:val="center"/>
          </w:tcPr>
          <w:p w14:paraId="55F56D07" w14:textId="3E29FF00" w:rsidR="007F6686" w:rsidRPr="008C7117" w:rsidRDefault="00734E53" w:rsidP="007F6686">
            <w:pPr>
              <w:jc w:val="right"/>
            </w:pPr>
            <w:r w:rsidRPr="008C7117">
              <w:t>27,177</w:t>
            </w:r>
          </w:p>
        </w:tc>
        <w:tc>
          <w:tcPr>
            <w:tcW w:w="1437" w:type="dxa"/>
            <w:vAlign w:val="center"/>
          </w:tcPr>
          <w:p w14:paraId="43648F1E" w14:textId="14DCDDA7" w:rsidR="007F6686" w:rsidRPr="008C7117" w:rsidRDefault="00BF4C38" w:rsidP="007F6686">
            <w:pPr>
              <w:jc w:val="right"/>
            </w:pPr>
            <w:r>
              <w:t>-</w:t>
            </w:r>
          </w:p>
        </w:tc>
        <w:tc>
          <w:tcPr>
            <w:tcW w:w="1158" w:type="dxa"/>
            <w:shd w:val="clear" w:color="auto" w:fill="C5E0B3" w:themeFill="accent6" w:themeFillTint="66"/>
            <w:vAlign w:val="center"/>
          </w:tcPr>
          <w:p w14:paraId="03D3491E" w14:textId="2828B434" w:rsidR="007F6686" w:rsidRPr="008C7117" w:rsidRDefault="008C7117" w:rsidP="007F6686">
            <w:pPr>
              <w:jc w:val="right"/>
            </w:pPr>
            <w:r w:rsidRPr="008C7117">
              <w:t>27,177</w:t>
            </w:r>
          </w:p>
        </w:tc>
      </w:tr>
      <w:tr w:rsidR="007F6686" w:rsidRPr="000127EF" w14:paraId="424C62CE" w14:textId="77777777" w:rsidTr="00840EA0">
        <w:tc>
          <w:tcPr>
            <w:tcW w:w="1184" w:type="dxa"/>
            <w:vAlign w:val="center"/>
          </w:tcPr>
          <w:p w14:paraId="75081318" w14:textId="738A0FBD" w:rsidR="007F6686" w:rsidRPr="007F6686" w:rsidRDefault="007F6686" w:rsidP="007F6686">
            <w:pPr>
              <w:jc w:val="right"/>
              <w:rPr>
                <w:i/>
              </w:rPr>
            </w:pPr>
            <w:r w:rsidRPr="007F6686">
              <w:rPr>
                <w:i/>
              </w:rPr>
              <w:fldChar w:fldCharType="begin"/>
            </w:r>
            <w:r w:rsidRPr="007F6686">
              <w:rPr>
                <w:i/>
              </w:rPr>
              <w:instrText xml:space="preserve"> =SUM(c16,d16) </w:instrText>
            </w:r>
            <w:r w:rsidRPr="007F6686">
              <w:rPr>
                <w:i/>
              </w:rPr>
              <w:fldChar w:fldCharType="separate"/>
            </w:r>
            <w:r w:rsidRPr="007F6686">
              <w:rPr>
                <w:i/>
                <w:noProof/>
              </w:rPr>
              <w:t>3,051</w:t>
            </w:r>
            <w:r w:rsidRPr="007F6686">
              <w:rPr>
                <w:i/>
              </w:rPr>
              <w:fldChar w:fldCharType="end"/>
            </w:r>
          </w:p>
        </w:tc>
        <w:tc>
          <w:tcPr>
            <w:tcW w:w="5243" w:type="dxa"/>
          </w:tcPr>
          <w:p w14:paraId="51D16732" w14:textId="77777777" w:rsidR="007F6686" w:rsidRPr="000127EF" w:rsidRDefault="007F6686" w:rsidP="007F6686">
            <w:pPr>
              <w:ind w:left="171"/>
            </w:pPr>
            <w:r w:rsidRPr="000127EF">
              <w:t>Leicestershire Police</w:t>
            </w:r>
          </w:p>
        </w:tc>
        <w:tc>
          <w:tcPr>
            <w:tcW w:w="1179" w:type="dxa"/>
            <w:vAlign w:val="center"/>
          </w:tcPr>
          <w:p w14:paraId="6970BD28" w14:textId="23B4518A" w:rsidR="007F6686" w:rsidRPr="008C7117" w:rsidRDefault="00734E53" w:rsidP="007F6686">
            <w:pPr>
              <w:jc w:val="right"/>
            </w:pPr>
            <w:r w:rsidRPr="008C7117">
              <w:t>3,460</w:t>
            </w:r>
          </w:p>
        </w:tc>
        <w:tc>
          <w:tcPr>
            <w:tcW w:w="1437" w:type="dxa"/>
            <w:vAlign w:val="center"/>
          </w:tcPr>
          <w:p w14:paraId="25159920" w14:textId="78300550" w:rsidR="007F6686" w:rsidRPr="008C7117" w:rsidRDefault="00BF4C38" w:rsidP="007F6686">
            <w:pPr>
              <w:jc w:val="right"/>
            </w:pPr>
            <w:r>
              <w:t>-</w:t>
            </w:r>
          </w:p>
        </w:tc>
        <w:tc>
          <w:tcPr>
            <w:tcW w:w="1158" w:type="dxa"/>
            <w:shd w:val="clear" w:color="auto" w:fill="C5E0B3" w:themeFill="accent6" w:themeFillTint="66"/>
            <w:vAlign w:val="center"/>
          </w:tcPr>
          <w:p w14:paraId="48A02230" w14:textId="1A98F12B" w:rsidR="007F6686" w:rsidRPr="008C7117" w:rsidRDefault="008C7117" w:rsidP="007F6686">
            <w:pPr>
              <w:jc w:val="right"/>
            </w:pPr>
            <w:r w:rsidRPr="008C7117">
              <w:t>3,460</w:t>
            </w:r>
          </w:p>
        </w:tc>
      </w:tr>
      <w:tr w:rsidR="007F6686" w:rsidRPr="000127EF" w14:paraId="0BC8D716" w14:textId="77777777" w:rsidTr="00840EA0">
        <w:tc>
          <w:tcPr>
            <w:tcW w:w="1184" w:type="dxa"/>
            <w:tcBorders>
              <w:bottom w:val="single" w:sz="4" w:space="0" w:color="auto"/>
            </w:tcBorders>
            <w:vAlign w:val="center"/>
          </w:tcPr>
          <w:p w14:paraId="07774ABD" w14:textId="6D93E689" w:rsidR="007F6686" w:rsidRPr="007F6686" w:rsidRDefault="007F6686" w:rsidP="007F6686">
            <w:pPr>
              <w:jc w:val="right"/>
              <w:rPr>
                <w:i/>
              </w:rPr>
            </w:pPr>
            <w:r w:rsidRPr="007F6686">
              <w:rPr>
                <w:i/>
              </w:rPr>
              <w:fldChar w:fldCharType="begin"/>
            </w:r>
            <w:r w:rsidRPr="007F6686">
              <w:rPr>
                <w:i/>
              </w:rPr>
              <w:instrText xml:space="preserve"> =SUM(c17,d17) </w:instrText>
            </w:r>
            <w:r w:rsidRPr="007F6686">
              <w:rPr>
                <w:i/>
              </w:rPr>
              <w:fldChar w:fldCharType="separate"/>
            </w:r>
            <w:r w:rsidRPr="007F6686">
              <w:rPr>
                <w:i/>
                <w:noProof/>
              </w:rPr>
              <w:t>991</w:t>
            </w:r>
            <w:r w:rsidRPr="007F6686">
              <w:rPr>
                <w:i/>
              </w:rPr>
              <w:fldChar w:fldCharType="end"/>
            </w:r>
          </w:p>
        </w:tc>
        <w:tc>
          <w:tcPr>
            <w:tcW w:w="5243" w:type="dxa"/>
          </w:tcPr>
          <w:p w14:paraId="067AD63B" w14:textId="77777777" w:rsidR="007F6686" w:rsidRPr="000127EF" w:rsidRDefault="007F6686" w:rsidP="007F6686">
            <w:pPr>
              <w:ind w:left="171"/>
            </w:pPr>
            <w:r w:rsidRPr="000127EF">
              <w:t>Leicester, Leicestershire &amp; Rutland Fire Authority</w:t>
            </w:r>
          </w:p>
        </w:tc>
        <w:tc>
          <w:tcPr>
            <w:tcW w:w="1179" w:type="dxa"/>
            <w:tcBorders>
              <w:bottom w:val="single" w:sz="4" w:space="0" w:color="auto"/>
            </w:tcBorders>
            <w:vAlign w:val="center"/>
          </w:tcPr>
          <w:p w14:paraId="3179574C" w14:textId="058AE347" w:rsidR="007F6686" w:rsidRPr="008C7117" w:rsidRDefault="00734E53" w:rsidP="007F6686">
            <w:pPr>
              <w:jc w:val="right"/>
            </w:pPr>
            <w:r w:rsidRPr="008C7117">
              <w:t>1,033</w:t>
            </w:r>
          </w:p>
        </w:tc>
        <w:tc>
          <w:tcPr>
            <w:tcW w:w="1437" w:type="dxa"/>
            <w:tcBorders>
              <w:bottom w:val="single" w:sz="4" w:space="0" w:color="auto"/>
            </w:tcBorders>
            <w:vAlign w:val="center"/>
          </w:tcPr>
          <w:p w14:paraId="1716CB7D" w14:textId="6548D05C" w:rsidR="007F6686" w:rsidRPr="008C7117" w:rsidRDefault="00BF4C38" w:rsidP="007F6686">
            <w:pPr>
              <w:jc w:val="right"/>
            </w:pPr>
            <w:r>
              <w:t>-</w:t>
            </w:r>
          </w:p>
        </w:tc>
        <w:tc>
          <w:tcPr>
            <w:tcW w:w="1158" w:type="dxa"/>
            <w:tcBorders>
              <w:bottom w:val="single" w:sz="4" w:space="0" w:color="auto"/>
            </w:tcBorders>
            <w:shd w:val="clear" w:color="auto" w:fill="C5E0B3" w:themeFill="accent6" w:themeFillTint="66"/>
            <w:vAlign w:val="center"/>
          </w:tcPr>
          <w:p w14:paraId="60893BD2" w14:textId="526FBE03" w:rsidR="007F6686" w:rsidRPr="008C7117" w:rsidRDefault="008C7117" w:rsidP="007F6686">
            <w:pPr>
              <w:jc w:val="right"/>
            </w:pPr>
            <w:r w:rsidRPr="008C7117">
              <w:t>1,033</w:t>
            </w:r>
          </w:p>
        </w:tc>
      </w:tr>
      <w:tr w:rsidR="007F6686" w:rsidRPr="000127EF" w14:paraId="703DA1B9" w14:textId="77777777" w:rsidTr="00840EA0">
        <w:tc>
          <w:tcPr>
            <w:tcW w:w="1184" w:type="dxa"/>
            <w:tcBorders>
              <w:top w:val="single" w:sz="4" w:space="0" w:color="auto"/>
            </w:tcBorders>
            <w:vAlign w:val="center"/>
          </w:tcPr>
          <w:p w14:paraId="32F01AC5" w14:textId="40725001" w:rsidR="007F6686" w:rsidRPr="007F6686" w:rsidRDefault="007F6686" w:rsidP="007F6686">
            <w:pPr>
              <w:jc w:val="right"/>
              <w:rPr>
                <w:b/>
                <w:i/>
              </w:rPr>
            </w:pPr>
            <w:r w:rsidRPr="007F6686">
              <w:rPr>
                <w:b/>
                <w:i/>
              </w:rPr>
              <w:fldChar w:fldCharType="begin"/>
            </w:r>
            <w:r w:rsidRPr="007F6686">
              <w:rPr>
                <w:b/>
                <w:i/>
              </w:rPr>
              <w:instrText xml:space="preserve"> =SUM(e15:e17) </w:instrText>
            </w:r>
            <w:r w:rsidRPr="007F6686">
              <w:rPr>
                <w:b/>
                <w:i/>
              </w:rPr>
              <w:fldChar w:fldCharType="separate"/>
            </w:r>
            <w:r w:rsidRPr="007F6686">
              <w:rPr>
                <w:b/>
                <w:i/>
                <w:noProof/>
              </w:rPr>
              <w:t>29,644</w:t>
            </w:r>
            <w:r w:rsidRPr="007F6686">
              <w:rPr>
                <w:b/>
                <w:i/>
              </w:rPr>
              <w:fldChar w:fldCharType="end"/>
            </w:r>
          </w:p>
        </w:tc>
        <w:tc>
          <w:tcPr>
            <w:tcW w:w="5243" w:type="dxa"/>
          </w:tcPr>
          <w:p w14:paraId="403FBEC0" w14:textId="77777777" w:rsidR="007F6686" w:rsidRPr="000127EF" w:rsidRDefault="007F6686" w:rsidP="007F6686">
            <w:pPr>
              <w:rPr>
                <w:b/>
                <w:i/>
              </w:rPr>
            </w:pPr>
            <w:r w:rsidRPr="000127EF">
              <w:rPr>
                <w:b/>
                <w:i/>
              </w:rPr>
              <w:t>Total Precepts</w:t>
            </w:r>
          </w:p>
        </w:tc>
        <w:tc>
          <w:tcPr>
            <w:tcW w:w="1179" w:type="dxa"/>
            <w:tcBorders>
              <w:top w:val="single" w:sz="4" w:space="0" w:color="auto"/>
            </w:tcBorders>
            <w:vAlign w:val="center"/>
          </w:tcPr>
          <w:p w14:paraId="688594A7" w14:textId="42B4A247" w:rsidR="007F6686" w:rsidRPr="008C7117" w:rsidRDefault="00734E53" w:rsidP="007F6686">
            <w:pPr>
              <w:jc w:val="right"/>
              <w:rPr>
                <w:b/>
              </w:rPr>
            </w:pPr>
            <w:r w:rsidRPr="008C7117">
              <w:rPr>
                <w:b/>
              </w:rPr>
              <w:t>31,670</w:t>
            </w:r>
          </w:p>
        </w:tc>
        <w:tc>
          <w:tcPr>
            <w:tcW w:w="1437" w:type="dxa"/>
            <w:tcBorders>
              <w:top w:val="single" w:sz="4" w:space="0" w:color="auto"/>
            </w:tcBorders>
            <w:vAlign w:val="center"/>
          </w:tcPr>
          <w:p w14:paraId="67A4C0C1" w14:textId="356E54D4" w:rsidR="007F6686" w:rsidRPr="008C7117" w:rsidRDefault="00BF4C38" w:rsidP="007F6686">
            <w:pPr>
              <w:jc w:val="right"/>
              <w:rPr>
                <w:b/>
              </w:rPr>
            </w:pPr>
            <w:r>
              <w:rPr>
                <w:b/>
              </w:rPr>
              <w:t>-</w:t>
            </w:r>
          </w:p>
        </w:tc>
        <w:tc>
          <w:tcPr>
            <w:tcW w:w="1158" w:type="dxa"/>
            <w:tcBorders>
              <w:top w:val="single" w:sz="4" w:space="0" w:color="auto"/>
            </w:tcBorders>
            <w:shd w:val="clear" w:color="auto" w:fill="C5E0B3" w:themeFill="accent6" w:themeFillTint="66"/>
            <w:vAlign w:val="center"/>
          </w:tcPr>
          <w:p w14:paraId="36839025" w14:textId="12A18C1F" w:rsidR="007F6686" w:rsidRPr="008C7117" w:rsidRDefault="008C7117" w:rsidP="007F6686">
            <w:pPr>
              <w:jc w:val="right"/>
              <w:rPr>
                <w:b/>
              </w:rPr>
            </w:pPr>
            <w:r w:rsidRPr="008C7117">
              <w:rPr>
                <w:b/>
              </w:rPr>
              <w:t>31,670</w:t>
            </w:r>
          </w:p>
        </w:tc>
      </w:tr>
      <w:tr w:rsidR="007F6686" w:rsidRPr="000127EF" w14:paraId="5E052B55" w14:textId="77777777" w:rsidTr="00840EA0">
        <w:tc>
          <w:tcPr>
            <w:tcW w:w="1184" w:type="dxa"/>
            <w:vAlign w:val="center"/>
          </w:tcPr>
          <w:p w14:paraId="07721E96" w14:textId="77777777" w:rsidR="007F6686" w:rsidRPr="007F6686" w:rsidRDefault="007F6686" w:rsidP="007F6686">
            <w:pPr>
              <w:jc w:val="right"/>
              <w:rPr>
                <w:i/>
                <w:sz w:val="14"/>
                <w:szCs w:val="14"/>
              </w:rPr>
            </w:pPr>
          </w:p>
        </w:tc>
        <w:tc>
          <w:tcPr>
            <w:tcW w:w="5243" w:type="dxa"/>
          </w:tcPr>
          <w:p w14:paraId="400C1504" w14:textId="77777777" w:rsidR="007F6686" w:rsidRPr="000127EF" w:rsidRDefault="007F6686" w:rsidP="007F6686">
            <w:pPr>
              <w:rPr>
                <w:sz w:val="14"/>
                <w:szCs w:val="14"/>
              </w:rPr>
            </w:pPr>
          </w:p>
        </w:tc>
        <w:tc>
          <w:tcPr>
            <w:tcW w:w="1179" w:type="dxa"/>
            <w:vAlign w:val="center"/>
          </w:tcPr>
          <w:p w14:paraId="2A8F20F5" w14:textId="77777777" w:rsidR="007F6686" w:rsidRPr="008C7117" w:rsidRDefault="007F6686" w:rsidP="007F6686">
            <w:pPr>
              <w:jc w:val="right"/>
              <w:rPr>
                <w:sz w:val="14"/>
                <w:szCs w:val="14"/>
              </w:rPr>
            </w:pPr>
          </w:p>
        </w:tc>
        <w:tc>
          <w:tcPr>
            <w:tcW w:w="1437" w:type="dxa"/>
            <w:vAlign w:val="center"/>
          </w:tcPr>
          <w:p w14:paraId="4FF01D10" w14:textId="77777777" w:rsidR="007F6686" w:rsidRPr="008C7117" w:rsidRDefault="007F6686" w:rsidP="007F6686">
            <w:pPr>
              <w:jc w:val="right"/>
              <w:rPr>
                <w:sz w:val="14"/>
                <w:szCs w:val="14"/>
              </w:rPr>
            </w:pPr>
          </w:p>
        </w:tc>
        <w:tc>
          <w:tcPr>
            <w:tcW w:w="1158" w:type="dxa"/>
            <w:shd w:val="clear" w:color="auto" w:fill="C5E0B3" w:themeFill="accent6" w:themeFillTint="66"/>
            <w:vAlign w:val="center"/>
          </w:tcPr>
          <w:p w14:paraId="4997C248" w14:textId="77777777" w:rsidR="007F6686" w:rsidRPr="008C7117" w:rsidRDefault="007F6686" w:rsidP="007F6686">
            <w:pPr>
              <w:jc w:val="right"/>
              <w:rPr>
                <w:sz w:val="14"/>
                <w:szCs w:val="14"/>
              </w:rPr>
            </w:pPr>
          </w:p>
        </w:tc>
      </w:tr>
      <w:tr w:rsidR="007F6686" w:rsidRPr="000127EF" w14:paraId="3D27956C" w14:textId="77777777" w:rsidTr="00840EA0">
        <w:tc>
          <w:tcPr>
            <w:tcW w:w="1184" w:type="dxa"/>
            <w:vAlign w:val="center"/>
          </w:tcPr>
          <w:p w14:paraId="075C3A4B" w14:textId="77777777" w:rsidR="007F6686" w:rsidRPr="007F6686" w:rsidRDefault="007F6686" w:rsidP="007F6686">
            <w:pPr>
              <w:jc w:val="right"/>
              <w:rPr>
                <w:i/>
              </w:rPr>
            </w:pPr>
          </w:p>
        </w:tc>
        <w:tc>
          <w:tcPr>
            <w:tcW w:w="5243" w:type="dxa"/>
          </w:tcPr>
          <w:p w14:paraId="7834FDA0" w14:textId="77777777" w:rsidR="007F6686" w:rsidRPr="000127EF" w:rsidRDefault="007F6686" w:rsidP="007F6686">
            <w:pPr>
              <w:rPr>
                <w:b/>
                <w:i/>
              </w:rPr>
            </w:pPr>
            <w:r w:rsidRPr="000127EF">
              <w:rPr>
                <w:b/>
                <w:i/>
              </w:rPr>
              <w:t>Business Rates Shares</w:t>
            </w:r>
          </w:p>
        </w:tc>
        <w:tc>
          <w:tcPr>
            <w:tcW w:w="1179" w:type="dxa"/>
            <w:vAlign w:val="center"/>
          </w:tcPr>
          <w:p w14:paraId="23F2CDAD" w14:textId="77777777" w:rsidR="007F6686" w:rsidRPr="008C7117" w:rsidRDefault="007F6686" w:rsidP="007F6686">
            <w:pPr>
              <w:jc w:val="right"/>
            </w:pPr>
          </w:p>
        </w:tc>
        <w:tc>
          <w:tcPr>
            <w:tcW w:w="1437" w:type="dxa"/>
            <w:vAlign w:val="center"/>
          </w:tcPr>
          <w:p w14:paraId="34C924B7" w14:textId="77777777" w:rsidR="007F6686" w:rsidRPr="008C7117" w:rsidRDefault="007F6686" w:rsidP="007F6686">
            <w:pPr>
              <w:jc w:val="right"/>
            </w:pPr>
          </w:p>
        </w:tc>
        <w:tc>
          <w:tcPr>
            <w:tcW w:w="1158" w:type="dxa"/>
            <w:shd w:val="clear" w:color="auto" w:fill="C5E0B3" w:themeFill="accent6" w:themeFillTint="66"/>
            <w:vAlign w:val="center"/>
          </w:tcPr>
          <w:p w14:paraId="2392432B" w14:textId="77777777" w:rsidR="007F6686" w:rsidRPr="008C7117" w:rsidRDefault="007F6686" w:rsidP="007F6686">
            <w:pPr>
              <w:jc w:val="right"/>
            </w:pPr>
          </w:p>
        </w:tc>
      </w:tr>
      <w:tr w:rsidR="007F6686" w:rsidRPr="000127EF" w14:paraId="1FE52AE5" w14:textId="77777777" w:rsidTr="00840EA0">
        <w:tc>
          <w:tcPr>
            <w:tcW w:w="1184" w:type="dxa"/>
            <w:vAlign w:val="center"/>
          </w:tcPr>
          <w:p w14:paraId="329C310B" w14:textId="0D227B1B" w:rsidR="007F6686" w:rsidRPr="007F6686" w:rsidRDefault="007F6686" w:rsidP="007F6686">
            <w:pPr>
              <w:jc w:val="right"/>
              <w:rPr>
                <w:i/>
              </w:rPr>
            </w:pPr>
            <w:r w:rsidRPr="007F6686">
              <w:rPr>
                <w:i/>
              </w:rPr>
              <w:fldChar w:fldCharType="begin"/>
            </w:r>
            <w:r w:rsidRPr="007F6686">
              <w:rPr>
                <w:i/>
              </w:rPr>
              <w:instrText xml:space="preserve"> =SUM(c21,d21) </w:instrText>
            </w:r>
            <w:r w:rsidRPr="007F6686">
              <w:rPr>
                <w:i/>
              </w:rPr>
              <w:fldChar w:fldCharType="separate"/>
            </w:r>
            <w:r w:rsidRPr="007F6686">
              <w:rPr>
                <w:i/>
                <w:noProof/>
              </w:rPr>
              <w:t>5,614</w:t>
            </w:r>
            <w:r w:rsidRPr="007F6686">
              <w:rPr>
                <w:i/>
              </w:rPr>
              <w:fldChar w:fldCharType="end"/>
            </w:r>
          </w:p>
        </w:tc>
        <w:tc>
          <w:tcPr>
            <w:tcW w:w="5243" w:type="dxa"/>
          </w:tcPr>
          <w:p w14:paraId="2D12408C" w14:textId="77777777" w:rsidR="007F6686" w:rsidRPr="000127EF" w:rsidRDefault="007F6686" w:rsidP="007F6686">
            <w:pPr>
              <w:ind w:left="171"/>
            </w:pPr>
            <w:r w:rsidRPr="000127EF">
              <w:t>Central Government</w:t>
            </w:r>
          </w:p>
        </w:tc>
        <w:tc>
          <w:tcPr>
            <w:tcW w:w="1179" w:type="dxa"/>
            <w:vAlign w:val="center"/>
          </w:tcPr>
          <w:p w14:paraId="304314A0" w14:textId="74D2FD46" w:rsidR="007F6686" w:rsidRPr="008C7117" w:rsidRDefault="000215B2" w:rsidP="007F6686">
            <w:pPr>
              <w:jc w:val="right"/>
            </w:pPr>
            <w:r w:rsidRPr="008C7117">
              <w:t>-</w:t>
            </w:r>
          </w:p>
        </w:tc>
        <w:tc>
          <w:tcPr>
            <w:tcW w:w="1437" w:type="dxa"/>
            <w:vAlign w:val="center"/>
          </w:tcPr>
          <w:p w14:paraId="187B08D5" w14:textId="2E7AD612" w:rsidR="007F6686" w:rsidRPr="008C7117" w:rsidRDefault="00E75D5A" w:rsidP="007F6686">
            <w:pPr>
              <w:jc w:val="right"/>
            </w:pPr>
            <w:r w:rsidRPr="008C7117">
              <w:t>5,635</w:t>
            </w:r>
          </w:p>
        </w:tc>
        <w:tc>
          <w:tcPr>
            <w:tcW w:w="1158" w:type="dxa"/>
            <w:shd w:val="clear" w:color="auto" w:fill="C5E0B3" w:themeFill="accent6" w:themeFillTint="66"/>
            <w:vAlign w:val="center"/>
          </w:tcPr>
          <w:p w14:paraId="430E8A87" w14:textId="76F6D317" w:rsidR="007F6686" w:rsidRPr="008C7117" w:rsidRDefault="008C7117" w:rsidP="007F6686">
            <w:pPr>
              <w:jc w:val="right"/>
            </w:pPr>
            <w:r w:rsidRPr="008C7117">
              <w:t>5,635</w:t>
            </w:r>
          </w:p>
        </w:tc>
      </w:tr>
      <w:tr w:rsidR="007F6686" w:rsidRPr="000127EF" w14:paraId="343EEB9B" w14:textId="77777777" w:rsidTr="00840EA0">
        <w:tc>
          <w:tcPr>
            <w:tcW w:w="1184" w:type="dxa"/>
            <w:vAlign w:val="center"/>
          </w:tcPr>
          <w:p w14:paraId="35AB6277" w14:textId="793757DB" w:rsidR="007F6686" w:rsidRPr="007F6686" w:rsidRDefault="007F6686" w:rsidP="007F6686">
            <w:pPr>
              <w:jc w:val="right"/>
              <w:rPr>
                <w:i/>
              </w:rPr>
            </w:pPr>
            <w:r w:rsidRPr="007F6686">
              <w:rPr>
                <w:i/>
              </w:rPr>
              <w:fldChar w:fldCharType="begin"/>
            </w:r>
            <w:r w:rsidRPr="007F6686">
              <w:rPr>
                <w:i/>
              </w:rPr>
              <w:instrText xml:space="preserve"> =SUM(c22,d22) </w:instrText>
            </w:r>
            <w:r w:rsidRPr="007F6686">
              <w:rPr>
                <w:i/>
              </w:rPr>
              <w:fldChar w:fldCharType="separate"/>
            </w:r>
            <w:r w:rsidRPr="007F6686">
              <w:rPr>
                <w:i/>
                <w:noProof/>
              </w:rPr>
              <w:t>5,501</w:t>
            </w:r>
            <w:r w:rsidRPr="007F6686">
              <w:rPr>
                <w:i/>
              </w:rPr>
              <w:fldChar w:fldCharType="end"/>
            </w:r>
          </w:p>
        </w:tc>
        <w:tc>
          <w:tcPr>
            <w:tcW w:w="5243" w:type="dxa"/>
          </w:tcPr>
          <w:p w14:paraId="0AED4FD1" w14:textId="77777777" w:rsidR="007F6686" w:rsidRPr="000127EF" w:rsidRDefault="007F6686" w:rsidP="007F6686">
            <w:pPr>
              <w:ind w:left="171"/>
            </w:pPr>
            <w:r w:rsidRPr="000127EF">
              <w:t>Rutland County Council</w:t>
            </w:r>
          </w:p>
        </w:tc>
        <w:tc>
          <w:tcPr>
            <w:tcW w:w="1179" w:type="dxa"/>
            <w:vAlign w:val="center"/>
          </w:tcPr>
          <w:p w14:paraId="4D1BBD92" w14:textId="5D4B4BBB" w:rsidR="007F6686" w:rsidRPr="008C7117" w:rsidRDefault="000215B2" w:rsidP="007F6686">
            <w:pPr>
              <w:jc w:val="right"/>
            </w:pPr>
            <w:r w:rsidRPr="008C7117">
              <w:t>-</w:t>
            </w:r>
          </w:p>
        </w:tc>
        <w:tc>
          <w:tcPr>
            <w:tcW w:w="1437" w:type="dxa"/>
            <w:vAlign w:val="center"/>
          </w:tcPr>
          <w:p w14:paraId="3C44702B" w14:textId="59BCD211" w:rsidR="007F6686" w:rsidRPr="008C7117" w:rsidRDefault="00E75D5A" w:rsidP="007F6686">
            <w:pPr>
              <w:jc w:val="right"/>
            </w:pPr>
            <w:r w:rsidRPr="008C7117">
              <w:t>5,522</w:t>
            </w:r>
          </w:p>
        </w:tc>
        <w:tc>
          <w:tcPr>
            <w:tcW w:w="1158" w:type="dxa"/>
            <w:shd w:val="clear" w:color="auto" w:fill="C5E0B3" w:themeFill="accent6" w:themeFillTint="66"/>
            <w:vAlign w:val="center"/>
          </w:tcPr>
          <w:p w14:paraId="288FEB34" w14:textId="7ADFE14E" w:rsidR="007F6686" w:rsidRPr="008C7117" w:rsidRDefault="008C7117" w:rsidP="007F6686">
            <w:pPr>
              <w:jc w:val="right"/>
            </w:pPr>
            <w:r w:rsidRPr="008C7117">
              <w:t>5,522</w:t>
            </w:r>
          </w:p>
        </w:tc>
      </w:tr>
      <w:tr w:rsidR="007F6686" w:rsidRPr="000127EF" w14:paraId="205BF3FA" w14:textId="77777777" w:rsidTr="00840EA0">
        <w:tc>
          <w:tcPr>
            <w:tcW w:w="1184" w:type="dxa"/>
            <w:tcBorders>
              <w:bottom w:val="single" w:sz="4" w:space="0" w:color="auto"/>
            </w:tcBorders>
            <w:vAlign w:val="center"/>
          </w:tcPr>
          <w:p w14:paraId="6CE1583F" w14:textId="3946BDCB" w:rsidR="007F6686" w:rsidRPr="007F6686" w:rsidRDefault="007F6686" w:rsidP="007F6686">
            <w:pPr>
              <w:jc w:val="right"/>
              <w:rPr>
                <w:i/>
              </w:rPr>
            </w:pPr>
            <w:r w:rsidRPr="007F6686">
              <w:rPr>
                <w:i/>
              </w:rPr>
              <w:fldChar w:fldCharType="begin"/>
            </w:r>
            <w:r w:rsidRPr="007F6686">
              <w:rPr>
                <w:i/>
              </w:rPr>
              <w:instrText xml:space="preserve"> =SUM(c23,d23) </w:instrText>
            </w:r>
            <w:r w:rsidRPr="007F6686">
              <w:rPr>
                <w:i/>
              </w:rPr>
              <w:fldChar w:fldCharType="separate"/>
            </w:r>
            <w:r w:rsidRPr="007F6686">
              <w:rPr>
                <w:i/>
                <w:noProof/>
              </w:rPr>
              <w:t>112</w:t>
            </w:r>
            <w:r w:rsidRPr="007F6686">
              <w:rPr>
                <w:i/>
              </w:rPr>
              <w:fldChar w:fldCharType="end"/>
            </w:r>
          </w:p>
        </w:tc>
        <w:tc>
          <w:tcPr>
            <w:tcW w:w="5243" w:type="dxa"/>
          </w:tcPr>
          <w:p w14:paraId="1C0358E8" w14:textId="77777777" w:rsidR="007F6686" w:rsidRPr="000127EF" w:rsidRDefault="007F6686" w:rsidP="007F6686">
            <w:pPr>
              <w:ind w:left="171"/>
            </w:pPr>
            <w:r w:rsidRPr="000127EF">
              <w:t>Leicester, Leicestershire &amp; Rutland Fire Authority</w:t>
            </w:r>
          </w:p>
        </w:tc>
        <w:tc>
          <w:tcPr>
            <w:tcW w:w="1179" w:type="dxa"/>
            <w:tcBorders>
              <w:bottom w:val="single" w:sz="4" w:space="0" w:color="auto"/>
            </w:tcBorders>
            <w:vAlign w:val="center"/>
          </w:tcPr>
          <w:p w14:paraId="47768509" w14:textId="2CA534F4" w:rsidR="007F6686" w:rsidRPr="008C7117" w:rsidRDefault="000215B2" w:rsidP="007F6686">
            <w:pPr>
              <w:jc w:val="right"/>
            </w:pPr>
            <w:r w:rsidRPr="008C7117">
              <w:t>-</w:t>
            </w:r>
          </w:p>
        </w:tc>
        <w:tc>
          <w:tcPr>
            <w:tcW w:w="1437" w:type="dxa"/>
            <w:tcBorders>
              <w:bottom w:val="single" w:sz="4" w:space="0" w:color="auto"/>
            </w:tcBorders>
            <w:vAlign w:val="center"/>
          </w:tcPr>
          <w:p w14:paraId="28DA926C" w14:textId="0ADE80D4" w:rsidR="007F6686" w:rsidRPr="008C7117" w:rsidRDefault="00E75D5A" w:rsidP="007F6686">
            <w:pPr>
              <w:jc w:val="right"/>
            </w:pPr>
            <w:r w:rsidRPr="008C7117">
              <w:t>113</w:t>
            </w:r>
          </w:p>
        </w:tc>
        <w:tc>
          <w:tcPr>
            <w:tcW w:w="1158" w:type="dxa"/>
            <w:tcBorders>
              <w:bottom w:val="single" w:sz="4" w:space="0" w:color="auto"/>
            </w:tcBorders>
            <w:shd w:val="clear" w:color="auto" w:fill="C5E0B3" w:themeFill="accent6" w:themeFillTint="66"/>
            <w:vAlign w:val="center"/>
          </w:tcPr>
          <w:p w14:paraId="642FFF24" w14:textId="49B8C6E3" w:rsidR="007F6686" w:rsidRPr="008C7117" w:rsidRDefault="008C7117" w:rsidP="007F6686">
            <w:pPr>
              <w:jc w:val="right"/>
            </w:pPr>
            <w:r w:rsidRPr="008C7117">
              <w:t>113</w:t>
            </w:r>
          </w:p>
        </w:tc>
      </w:tr>
      <w:tr w:rsidR="007F6686" w:rsidRPr="000127EF" w14:paraId="2EA378B7" w14:textId="77777777" w:rsidTr="00840EA0">
        <w:tc>
          <w:tcPr>
            <w:tcW w:w="1184" w:type="dxa"/>
            <w:tcBorders>
              <w:top w:val="single" w:sz="4" w:space="0" w:color="auto"/>
            </w:tcBorders>
            <w:vAlign w:val="center"/>
          </w:tcPr>
          <w:p w14:paraId="02AB86E1" w14:textId="1A666B17" w:rsidR="007F6686" w:rsidRPr="007F6686" w:rsidRDefault="007F6686" w:rsidP="007F6686">
            <w:pPr>
              <w:jc w:val="right"/>
              <w:rPr>
                <w:b/>
                <w:i/>
              </w:rPr>
            </w:pPr>
            <w:r w:rsidRPr="007F6686">
              <w:rPr>
                <w:b/>
                <w:i/>
              </w:rPr>
              <w:fldChar w:fldCharType="begin"/>
            </w:r>
            <w:r w:rsidRPr="007F6686">
              <w:rPr>
                <w:b/>
                <w:i/>
              </w:rPr>
              <w:instrText xml:space="preserve"> =SUM(e21:e23) </w:instrText>
            </w:r>
            <w:r w:rsidRPr="007F6686">
              <w:rPr>
                <w:b/>
                <w:i/>
              </w:rPr>
              <w:fldChar w:fldCharType="separate"/>
            </w:r>
            <w:r w:rsidRPr="007F6686">
              <w:rPr>
                <w:b/>
                <w:i/>
                <w:noProof/>
              </w:rPr>
              <w:t>11,227</w:t>
            </w:r>
            <w:r w:rsidRPr="007F6686">
              <w:rPr>
                <w:b/>
                <w:i/>
              </w:rPr>
              <w:fldChar w:fldCharType="end"/>
            </w:r>
          </w:p>
        </w:tc>
        <w:tc>
          <w:tcPr>
            <w:tcW w:w="5243" w:type="dxa"/>
          </w:tcPr>
          <w:p w14:paraId="09621D0A" w14:textId="77777777" w:rsidR="007F6686" w:rsidRPr="000127EF" w:rsidRDefault="007F6686" w:rsidP="007F6686">
            <w:pPr>
              <w:rPr>
                <w:b/>
                <w:i/>
              </w:rPr>
            </w:pPr>
            <w:r w:rsidRPr="000127EF">
              <w:rPr>
                <w:b/>
                <w:i/>
              </w:rPr>
              <w:t>Total Business Rates Shares</w:t>
            </w:r>
          </w:p>
        </w:tc>
        <w:tc>
          <w:tcPr>
            <w:tcW w:w="1179" w:type="dxa"/>
            <w:tcBorders>
              <w:top w:val="single" w:sz="4" w:space="0" w:color="auto"/>
            </w:tcBorders>
            <w:vAlign w:val="center"/>
          </w:tcPr>
          <w:p w14:paraId="1400BE10" w14:textId="58ED3D52" w:rsidR="007F6686" w:rsidRPr="008C7117" w:rsidRDefault="000215B2" w:rsidP="007F6686">
            <w:pPr>
              <w:jc w:val="right"/>
              <w:rPr>
                <w:b/>
              </w:rPr>
            </w:pPr>
            <w:r w:rsidRPr="008C7117">
              <w:rPr>
                <w:b/>
              </w:rPr>
              <w:t>-</w:t>
            </w:r>
          </w:p>
        </w:tc>
        <w:tc>
          <w:tcPr>
            <w:tcW w:w="1437" w:type="dxa"/>
            <w:tcBorders>
              <w:top w:val="single" w:sz="4" w:space="0" w:color="auto"/>
            </w:tcBorders>
            <w:vAlign w:val="center"/>
          </w:tcPr>
          <w:p w14:paraId="7B882379" w14:textId="281C57D6" w:rsidR="007F6686" w:rsidRPr="008C7117" w:rsidRDefault="00E75D5A" w:rsidP="007F6686">
            <w:pPr>
              <w:jc w:val="right"/>
              <w:rPr>
                <w:b/>
              </w:rPr>
            </w:pPr>
            <w:r w:rsidRPr="008C7117">
              <w:rPr>
                <w:b/>
              </w:rPr>
              <w:t>11,270</w:t>
            </w:r>
          </w:p>
        </w:tc>
        <w:tc>
          <w:tcPr>
            <w:tcW w:w="1158" w:type="dxa"/>
            <w:tcBorders>
              <w:top w:val="single" w:sz="4" w:space="0" w:color="auto"/>
            </w:tcBorders>
            <w:shd w:val="clear" w:color="auto" w:fill="C5E0B3" w:themeFill="accent6" w:themeFillTint="66"/>
            <w:vAlign w:val="center"/>
          </w:tcPr>
          <w:p w14:paraId="30C5C857" w14:textId="0A8A610A" w:rsidR="007F6686" w:rsidRPr="008C7117" w:rsidRDefault="008C7117" w:rsidP="007F6686">
            <w:pPr>
              <w:jc w:val="right"/>
              <w:rPr>
                <w:b/>
              </w:rPr>
            </w:pPr>
            <w:r w:rsidRPr="008C7117">
              <w:rPr>
                <w:b/>
              </w:rPr>
              <w:t>11,270</w:t>
            </w:r>
          </w:p>
        </w:tc>
      </w:tr>
      <w:tr w:rsidR="007F6686" w:rsidRPr="000127EF" w14:paraId="330E9FC4" w14:textId="77777777" w:rsidTr="00840EA0">
        <w:tc>
          <w:tcPr>
            <w:tcW w:w="1184" w:type="dxa"/>
            <w:vAlign w:val="center"/>
          </w:tcPr>
          <w:p w14:paraId="505AC66B" w14:textId="77777777" w:rsidR="007F6686" w:rsidRPr="007F6686" w:rsidRDefault="007F6686" w:rsidP="007F6686">
            <w:pPr>
              <w:jc w:val="right"/>
              <w:rPr>
                <w:i/>
                <w:sz w:val="14"/>
                <w:szCs w:val="14"/>
              </w:rPr>
            </w:pPr>
          </w:p>
        </w:tc>
        <w:tc>
          <w:tcPr>
            <w:tcW w:w="5243" w:type="dxa"/>
          </w:tcPr>
          <w:p w14:paraId="457ACAB7" w14:textId="77777777" w:rsidR="007F6686" w:rsidRPr="000127EF" w:rsidRDefault="007F6686" w:rsidP="007F6686">
            <w:pPr>
              <w:rPr>
                <w:sz w:val="14"/>
                <w:szCs w:val="14"/>
              </w:rPr>
            </w:pPr>
          </w:p>
        </w:tc>
        <w:tc>
          <w:tcPr>
            <w:tcW w:w="1179" w:type="dxa"/>
            <w:vAlign w:val="center"/>
          </w:tcPr>
          <w:p w14:paraId="12BFB223" w14:textId="77777777" w:rsidR="007F6686" w:rsidRPr="008C7117" w:rsidRDefault="007F6686" w:rsidP="007F6686">
            <w:pPr>
              <w:jc w:val="right"/>
              <w:rPr>
                <w:sz w:val="14"/>
                <w:szCs w:val="14"/>
              </w:rPr>
            </w:pPr>
          </w:p>
        </w:tc>
        <w:tc>
          <w:tcPr>
            <w:tcW w:w="1437" w:type="dxa"/>
            <w:vAlign w:val="center"/>
          </w:tcPr>
          <w:p w14:paraId="5F21B285" w14:textId="77777777" w:rsidR="007F6686" w:rsidRPr="008C7117" w:rsidRDefault="007F6686" w:rsidP="007F6686">
            <w:pPr>
              <w:jc w:val="right"/>
              <w:rPr>
                <w:sz w:val="14"/>
                <w:szCs w:val="14"/>
              </w:rPr>
            </w:pPr>
          </w:p>
        </w:tc>
        <w:tc>
          <w:tcPr>
            <w:tcW w:w="1158" w:type="dxa"/>
            <w:shd w:val="clear" w:color="auto" w:fill="C5E0B3" w:themeFill="accent6" w:themeFillTint="66"/>
            <w:vAlign w:val="center"/>
          </w:tcPr>
          <w:p w14:paraId="2ACA6EEF" w14:textId="77777777" w:rsidR="007F6686" w:rsidRPr="008C7117" w:rsidRDefault="007F6686" w:rsidP="007F6686">
            <w:pPr>
              <w:jc w:val="right"/>
              <w:rPr>
                <w:sz w:val="14"/>
                <w:szCs w:val="14"/>
              </w:rPr>
            </w:pPr>
          </w:p>
        </w:tc>
      </w:tr>
      <w:tr w:rsidR="007F6686" w:rsidRPr="000127EF" w14:paraId="3626B6DE" w14:textId="77777777" w:rsidTr="00840EA0">
        <w:tc>
          <w:tcPr>
            <w:tcW w:w="1184" w:type="dxa"/>
            <w:vAlign w:val="center"/>
          </w:tcPr>
          <w:p w14:paraId="5313ECFB" w14:textId="77777777" w:rsidR="007F6686" w:rsidRPr="007F6686" w:rsidRDefault="007F6686" w:rsidP="007F6686">
            <w:pPr>
              <w:jc w:val="right"/>
              <w:rPr>
                <w:i/>
              </w:rPr>
            </w:pPr>
          </w:p>
        </w:tc>
        <w:tc>
          <w:tcPr>
            <w:tcW w:w="5243" w:type="dxa"/>
          </w:tcPr>
          <w:p w14:paraId="3E773DAA" w14:textId="77777777" w:rsidR="007F6686" w:rsidRPr="000127EF" w:rsidRDefault="007F6686" w:rsidP="007F6686">
            <w:pPr>
              <w:rPr>
                <w:b/>
                <w:i/>
              </w:rPr>
            </w:pPr>
            <w:r w:rsidRPr="000127EF">
              <w:rPr>
                <w:b/>
                <w:i/>
              </w:rPr>
              <w:t>Charges to the Collection Fund</w:t>
            </w:r>
          </w:p>
        </w:tc>
        <w:tc>
          <w:tcPr>
            <w:tcW w:w="1179" w:type="dxa"/>
            <w:vAlign w:val="center"/>
          </w:tcPr>
          <w:p w14:paraId="7F856C7C" w14:textId="77777777" w:rsidR="007F6686" w:rsidRPr="008C7117" w:rsidRDefault="007F6686" w:rsidP="007F6686">
            <w:pPr>
              <w:jc w:val="right"/>
            </w:pPr>
          </w:p>
        </w:tc>
        <w:tc>
          <w:tcPr>
            <w:tcW w:w="1437" w:type="dxa"/>
            <w:vAlign w:val="center"/>
          </w:tcPr>
          <w:p w14:paraId="3C9FC70F" w14:textId="77777777" w:rsidR="007F6686" w:rsidRPr="008C7117" w:rsidRDefault="007F6686" w:rsidP="007F6686">
            <w:pPr>
              <w:jc w:val="right"/>
            </w:pPr>
          </w:p>
        </w:tc>
        <w:tc>
          <w:tcPr>
            <w:tcW w:w="1158" w:type="dxa"/>
            <w:shd w:val="clear" w:color="auto" w:fill="C5E0B3" w:themeFill="accent6" w:themeFillTint="66"/>
            <w:vAlign w:val="center"/>
          </w:tcPr>
          <w:p w14:paraId="58A46795" w14:textId="77777777" w:rsidR="007F6686" w:rsidRPr="008C7117" w:rsidRDefault="007F6686" w:rsidP="007F6686">
            <w:pPr>
              <w:jc w:val="right"/>
            </w:pPr>
          </w:p>
        </w:tc>
      </w:tr>
      <w:tr w:rsidR="007F6686" w:rsidRPr="000127EF" w14:paraId="4010F618" w14:textId="77777777" w:rsidTr="00840EA0">
        <w:tc>
          <w:tcPr>
            <w:tcW w:w="1184" w:type="dxa"/>
            <w:vAlign w:val="center"/>
          </w:tcPr>
          <w:p w14:paraId="0642202B" w14:textId="043E768B" w:rsidR="007F6686" w:rsidRPr="007F6686" w:rsidRDefault="007F6686" w:rsidP="007F6686">
            <w:pPr>
              <w:jc w:val="right"/>
              <w:rPr>
                <w:i/>
              </w:rPr>
            </w:pPr>
            <w:r w:rsidRPr="007F6686">
              <w:rPr>
                <w:i/>
              </w:rPr>
              <w:fldChar w:fldCharType="begin"/>
            </w:r>
            <w:r w:rsidRPr="007F6686">
              <w:rPr>
                <w:i/>
              </w:rPr>
              <w:instrText xml:space="preserve"> =SUM(c27,d27) </w:instrText>
            </w:r>
            <w:r w:rsidRPr="007F6686">
              <w:rPr>
                <w:i/>
              </w:rPr>
              <w:fldChar w:fldCharType="separate"/>
            </w:r>
            <w:r w:rsidRPr="007F6686">
              <w:rPr>
                <w:i/>
                <w:noProof/>
              </w:rPr>
              <w:t>64</w:t>
            </w:r>
            <w:r w:rsidRPr="007F6686">
              <w:rPr>
                <w:i/>
              </w:rPr>
              <w:fldChar w:fldCharType="end"/>
            </w:r>
          </w:p>
        </w:tc>
        <w:tc>
          <w:tcPr>
            <w:tcW w:w="5243" w:type="dxa"/>
          </w:tcPr>
          <w:p w14:paraId="31D8C9F8" w14:textId="77777777" w:rsidR="007F6686" w:rsidRPr="000127EF" w:rsidRDefault="007F6686" w:rsidP="007F6686">
            <w:pPr>
              <w:ind w:left="171"/>
            </w:pPr>
            <w:r w:rsidRPr="000127EF">
              <w:t>Write Off - Uncollectable Amounts</w:t>
            </w:r>
          </w:p>
        </w:tc>
        <w:tc>
          <w:tcPr>
            <w:tcW w:w="1179" w:type="dxa"/>
            <w:vAlign w:val="center"/>
          </w:tcPr>
          <w:p w14:paraId="64C8F959" w14:textId="2AE0417D" w:rsidR="007F6686" w:rsidRPr="008C7117" w:rsidRDefault="000215B2" w:rsidP="007F6686">
            <w:pPr>
              <w:jc w:val="right"/>
            </w:pPr>
            <w:r w:rsidRPr="008C7117">
              <w:t>51</w:t>
            </w:r>
          </w:p>
        </w:tc>
        <w:tc>
          <w:tcPr>
            <w:tcW w:w="1437" w:type="dxa"/>
            <w:vAlign w:val="center"/>
          </w:tcPr>
          <w:p w14:paraId="0D12A566" w14:textId="7816FC34" w:rsidR="007F6686" w:rsidRPr="008C7117" w:rsidRDefault="00E75D5A" w:rsidP="007F6686">
            <w:pPr>
              <w:jc w:val="right"/>
            </w:pPr>
            <w:r w:rsidRPr="008C7117">
              <w:t>42</w:t>
            </w:r>
          </w:p>
        </w:tc>
        <w:tc>
          <w:tcPr>
            <w:tcW w:w="1158" w:type="dxa"/>
            <w:shd w:val="clear" w:color="auto" w:fill="C5E0B3" w:themeFill="accent6" w:themeFillTint="66"/>
            <w:vAlign w:val="center"/>
          </w:tcPr>
          <w:p w14:paraId="1F5FFA45" w14:textId="59A73880" w:rsidR="007F6686" w:rsidRPr="008C7117" w:rsidRDefault="008C7117" w:rsidP="007F6686">
            <w:pPr>
              <w:jc w:val="right"/>
            </w:pPr>
            <w:r w:rsidRPr="008C7117">
              <w:t>93</w:t>
            </w:r>
          </w:p>
        </w:tc>
      </w:tr>
      <w:tr w:rsidR="007F6686" w:rsidRPr="000127EF" w14:paraId="6B84767D" w14:textId="77777777" w:rsidTr="00840EA0">
        <w:tc>
          <w:tcPr>
            <w:tcW w:w="1184" w:type="dxa"/>
            <w:vAlign w:val="center"/>
          </w:tcPr>
          <w:p w14:paraId="65BDC611" w14:textId="6C61F553" w:rsidR="007F6686" w:rsidRPr="007F6686" w:rsidRDefault="007F6686" w:rsidP="007F6686">
            <w:pPr>
              <w:jc w:val="right"/>
              <w:rPr>
                <w:i/>
              </w:rPr>
            </w:pPr>
            <w:r w:rsidRPr="007F6686">
              <w:rPr>
                <w:i/>
              </w:rPr>
              <w:fldChar w:fldCharType="begin"/>
            </w:r>
            <w:r w:rsidRPr="007F6686">
              <w:rPr>
                <w:i/>
              </w:rPr>
              <w:instrText xml:space="preserve"> =SUM(c28,d28) </w:instrText>
            </w:r>
            <w:r w:rsidRPr="007F6686">
              <w:rPr>
                <w:i/>
              </w:rPr>
              <w:fldChar w:fldCharType="separate"/>
            </w:r>
            <w:r w:rsidRPr="007F6686">
              <w:rPr>
                <w:i/>
                <w:noProof/>
              </w:rPr>
              <w:t>(11)</w:t>
            </w:r>
            <w:r w:rsidRPr="007F6686">
              <w:rPr>
                <w:i/>
              </w:rPr>
              <w:fldChar w:fldCharType="end"/>
            </w:r>
          </w:p>
        </w:tc>
        <w:tc>
          <w:tcPr>
            <w:tcW w:w="5243" w:type="dxa"/>
          </w:tcPr>
          <w:p w14:paraId="3C6461BA" w14:textId="77777777" w:rsidR="007F6686" w:rsidRPr="000127EF" w:rsidRDefault="007F6686" w:rsidP="007F6686">
            <w:pPr>
              <w:ind w:left="171"/>
            </w:pPr>
            <w:r w:rsidRPr="000127EF">
              <w:t xml:space="preserve">Increase / (Decrease) in Bad Debt Provision </w:t>
            </w:r>
          </w:p>
        </w:tc>
        <w:tc>
          <w:tcPr>
            <w:tcW w:w="1179" w:type="dxa"/>
            <w:vAlign w:val="center"/>
          </w:tcPr>
          <w:p w14:paraId="7205F775" w14:textId="783D1D91" w:rsidR="007F6686" w:rsidRPr="008C7117" w:rsidRDefault="000215B2" w:rsidP="007F6686">
            <w:pPr>
              <w:jc w:val="right"/>
            </w:pPr>
            <w:r w:rsidRPr="008C7117">
              <w:t>9</w:t>
            </w:r>
          </w:p>
        </w:tc>
        <w:tc>
          <w:tcPr>
            <w:tcW w:w="1437" w:type="dxa"/>
            <w:vAlign w:val="center"/>
          </w:tcPr>
          <w:p w14:paraId="69F32A01" w14:textId="24D655F9" w:rsidR="007F6686" w:rsidRPr="008C7117" w:rsidRDefault="00E75D5A" w:rsidP="007F6686">
            <w:pPr>
              <w:jc w:val="right"/>
            </w:pPr>
            <w:r w:rsidRPr="008C7117">
              <w:t>3</w:t>
            </w:r>
          </w:p>
        </w:tc>
        <w:tc>
          <w:tcPr>
            <w:tcW w:w="1158" w:type="dxa"/>
            <w:shd w:val="clear" w:color="auto" w:fill="C5E0B3" w:themeFill="accent6" w:themeFillTint="66"/>
            <w:vAlign w:val="center"/>
          </w:tcPr>
          <w:p w14:paraId="309F54C9" w14:textId="56C0C496" w:rsidR="007F6686" w:rsidRPr="008C7117" w:rsidRDefault="008C7117" w:rsidP="007F6686">
            <w:pPr>
              <w:jc w:val="right"/>
            </w:pPr>
            <w:r w:rsidRPr="008C7117">
              <w:t>12</w:t>
            </w:r>
          </w:p>
        </w:tc>
      </w:tr>
      <w:tr w:rsidR="007F6686" w:rsidRPr="000127EF" w14:paraId="283F03F9" w14:textId="77777777" w:rsidTr="00840EA0">
        <w:tc>
          <w:tcPr>
            <w:tcW w:w="1184" w:type="dxa"/>
            <w:vAlign w:val="center"/>
          </w:tcPr>
          <w:p w14:paraId="53C28096" w14:textId="6EB44DF6" w:rsidR="007F6686" w:rsidRPr="007F6686" w:rsidRDefault="007F6686" w:rsidP="007F6686">
            <w:pPr>
              <w:jc w:val="right"/>
              <w:rPr>
                <w:i/>
              </w:rPr>
            </w:pPr>
            <w:r w:rsidRPr="007F6686">
              <w:rPr>
                <w:i/>
              </w:rPr>
              <w:fldChar w:fldCharType="begin"/>
            </w:r>
            <w:r w:rsidRPr="007F6686">
              <w:rPr>
                <w:i/>
              </w:rPr>
              <w:instrText xml:space="preserve"> =SUM(c29:d29) </w:instrText>
            </w:r>
            <w:r w:rsidRPr="007F6686">
              <w:rPr>
                <w:i/>
              </w:rPr>
              <w:fldChar w:fldCharType="separate"/>
            </w:r>
            <w:r w:rsidRPr="007F6686">
              <w:rPr>
                <w:i/>
                <w:noProof/>
              </w:rPr>
              <w:t>822</w:t>
            </w:r>
            <w:r w:rsidRPr="007F6686">
              <w:rPr>
                <w:i/>
              </w:rPr>
              <w:fldChar w:fldCharType="end"/>
            </w:r>
          </w:p>
        </w:tc>
        <w:tc>
          <w:tcPr>
            <w:tcW w:w="5243" w:type="dxa"/>
          </w:tcPr>
          <w:p w14:paraId="67CBD8FA" w14:textId="77777777" w:rsidR="007F6686" w:rsidRPr="000127EF" w:rsidRDefault="007F6686" w:rsidP="007F6686">
            <w:pPr>
              <w:ind w:left="171"/>
            </w:pPr>
            <w:r w:rsidRPr="000127EF">
              <w:t>Increase / (Decrease) in Appeals Provision</w:t>
            </w:r>
          </w:p>
        </w:tc>
        <w:tc>
          <w:tcPr>
            <w:tcW w:w="1179" w:type="dxa"/>
            <w:vAlign w:val="center"/>
          </w:tcPr>
          <w:p w14:paraId="124FCA89" w14:textId="5BA4369D" w:rsidR="007F6686" w:rsidRPr="008C7117" w:rsidRDefault="000215B2" w:rsidP="007F6686">
            <w:pPr>
              <w:jc w:val="right"/>
            </w:pPr>
            <w:r w:rsidRPr="008C7117">
              <w:t>-</w:t>
            </w:r>
          </w:p>
        </w:tc>
        <w:tc>
          <w:tcPr>
            <w:tcW w:w="1437" w:type="dxa"/>
            <w:vAlign w:val="center"/>
          </w:tcPr>
          <w:p w14:paraId="1A19A9D6" w14:textId="39B6FC07" w:rsidR="007F6686" w:rsidRPr="008C7117" w:rsidRDefault="00E75D5A" w:rsidP="007F6686">
            <w:pPr>
              <w:jc w:val="right"/>
            </w:pPr>
            <w:r w:rsidRPr="008C7117">
              <w:t>758</w:t>
            </w:r>
          </w:p>
        </w:tc>
        <w:tc>
          <w:tcPr>
            <w:tcW w:w="1158" w:type="dxa"/>
            <w:shd w:val="clear" w:color="auto" w:fill="C5E0B3" w:themeFill="accent6" w:themeFillTint="66"/>
            <w:vAlign w:val="center"/>
          </w:tcPr>
          <w:p w14:paraId="659535D4" w14:textId="637537F0" w:rsidR="007F6686" w:rsidRPr="008C7117" w:rsidRDefault="008C7117" w:rsidP="007F6686">
            <w:pPr>
              <w:jc w:val="right"/>
            </w:pPr>
            <w:r w:rsidRPr="008C7117">
              <w:t>758</w:t>
            </w:r>
          </w:p>
        </w:tc>
      </w:tr>
      <w:tr w:rsidR="007F6686" w:rsidRPr="000127EF" w14:paraId="3DB19F15" w14:textId="77777777" w:rsidTr="00840EA0">
        <w:tc>
          <w:tcPr>
            <w:tcW w:w="1184" w:type="dxa"/>
            <w:vAlign w:val="center"/>
          </w:tcPr>
          <w:p w14:paraId="148827E6" w14:textId="5A418135" w:rsidR="007F6686" w:rsidRPr="007F6686" w:rsidRDefault="007F6686" w:rsidP="007F6686">
            <w:pPr>
              <w:jc w:val="right"/>
              <w:rPr>
                <w:i/>
              </w:rPr>
            </w:pPr>
            <w:r w:rsidRPr="007F6686">
              <w:rPr>
                <w:i/>
              </w:rPr>
              <w:fldChar w:fldCharType="begin"/>
            </w:r>
            <w:r w:rsidRPr="007F6686">
              <w:rPr>
                <w:i/>
              </w:rPr>
              <w:instrText xml:space="preserve"> =SUM(c30,d30) </w:instrText>
            </w:r>
            <w:r w:rsidRPr="007F6686">
              <w:rPr>
                <w:i/>
              </w:rPr>
              <w:fldChar w:fldCharType="separate"/>
            </w:r>
            <w:r w:rsidRPr="007F6686">
              <w:rPr>
                <w:i/>
                <w:noProof/>
              </w:rPr>
              <w:t>58</w:t>
            </w:r>
            <w:r w:rsidRPr="007F6686">
              <w:rPr>
                <w:i/>
              </w:rPr>
              <w:fldChar w:fldCharType="end"/>
            </w:r>
          </w:p>
        </w:tc>
        <w:tc>
          <w:tcPr>
            <w:tcW w:w="5243" w:type="dxa"/>
          </w:tcPr>
          <w:p w14:paraId="466F5E1F" w14:textId="77777777" w:rsidR="007F6686" w:rsidRPr="000127EF" w:rsidRDefault="007F6686" w:rsidP="007F6686">
            <w:pPr>
              <w:ind w:left="171"/>
            </w:pPr>
            <w:r w:rsidRPr="000127EF">
              <w:t>Cost of Collection</w:t>
            </w:r>
          </w:p>
        </w:tc>
        <w:tc>
          <w:tcPr>
            <w:tcW w:w="1179" w:type="dxa"/>
            <w:vAlign w:val="center"/>
          </w:tcPr>
          <w:p w14:paraId="397AB49D" w14:textId="45D01773" w:rsidR="007F6686" w:rsidRPr="008C7117" w:rsidRDefault="000215B2" w:rsidP="007F6686">
            <w:pPr>
              <w:jc w:val="right"/>
            </w:pPr>
            <w:r w:rsidRPr="008C7117">
              <w:t>-</w:t>
            </w:r>
          </w:p>
        </w:tc>
        <w:tc>
          <w:tcPr>
            <w:tcW w:w="1437" w:type="dxa"/>
            <w:vAlign w:val="center"/>
          </w:tcPr>
          <w:p w14:paraId="336FAD59" w14:textId="6C152A7F" w:rsidR="007F6686" w:rsidRPr="008C7117" w:rsidRDefault="00E75D5A" w:rsidP="007F6686">
            <w:pPr>
              <w:jc w:val="right"/>
            </w:pPr>
            <w:r w:rsidRPr="008C7117">
              <w:t>61</w:t>
            </w:r>
          </w:p>
        </w:tc>
        <w:tc>
          <w:tcPr>
            <w:tcW w:w="1158" w:type="dxa"/>
            <w:shd w:val="clear" w:color="auto" w:fill="C5E0B3" w:themeFill="accent6" w:themeFillTint="66"/>
            <w:vAlign w:val="center"/>
          </w:tcPr>
          <w:p w14:paraId="5E59FFA7" w14:textId="6658C45B" w:rsidR="007F6686" w:rsidRPr="008C7117" w:rsidRDefault="008C7117" w:rsidP="007F6686">
            <w:pPr>
              <w:jc w:val="right"/>
            </w:pPr>
            <w:r w:rsidRPr="008C7117">
              <w:t>61</w:t>
            </w:r>
          </w:p>
        </w:tc>
      </w:tr>
      <w:tr w:rsidR="007F6686" w:rsidRPr="000127EF" w14:paraId="471E44BC" w14:textId="77777777" w:rsidTr="00840EA0">
        <w:tc>
          <w:tcPr>
            <w:tcW w:w="1184" w:type="dxa"/>
            <w:tcBorders>
              <w:bottom w:val="nil"/>
            </w:tcBorders>
            <w:vAlign w:val="center"/>
          </w:tcPr>
          <w:p w14:paraId="6230B44E" w14:textId="01FB006B" w:rsidR="007F6686" w:rsidRPr="007F6686" w:rsidRDefault="007F6686" w:rsidP="007F6686">
            <w:pPr>
              <w:jc w:val="right"/>
              <w:rPr>
                <w:i/>
              </w:rPr>
            </w:pPr>
            <w:r w:rsidRPr="007F6686">
              <w:rPr>
                <w:i/>
              </w:rPr>
              <w:fldChar w:fldCharType="begin"/>
            </w:r>
            <w:r w:rsidRPr="007F6686">
              <w:rPr>
                <w:i/>
              </w:rPr>
              <w:instrText xml:space="preserve"> =SUM(c31:d31) </w:instrText>
            </w:r>
            <w:r w:rsidRPr="007F6686">
              <w:rPr>
                <w:i/>
              </w:rPr>
              <w:fldChar w:fldCharType="separate"/>
            </w:r>
            <w:r w:rsidRPr="007F6686">
              <w:rPr>
                <w:i/>
                <w:noProof/>
              </w:rPr>
              <w:t>45</w:t>
            </w:r>
            <w:r w:rsidRPr="007F6686">
              <w:rPr>
                <w:i/>
              </w:rPr>
              <w:fldChar w:fldCharType="end"/>
            </w:r>
          </w:p>
        </w:tc>
        <w:tc>
          <w:tcPr>
            <w:tcW w:w="5243" w:type="dxa"/>
            <w:tcBorders>
              <w:bottom w:val="nil"/>
            </w:tcBorders>
          </w:tcPr>
          <w:p w14:paraId="0181FFB6" w14:textId="77777777" w:rsidR="007F6686" w:rsidRPr="000127EF" w:rsidRDefault="007F6686" w:rsidP="007F6686">
            <w:pPr>
              <w:ind w:left="171"/>
            </w:pPr>
            <w:r w:rsidRPr="000127EF">
              <w:t>Renewable Energy</w:t>
            </w:r>
          </w:p>
        </w:tc>
        <w:tc>
          <w:tcPr>
            <w:tcW w:w="1179" w:type="dxa"/>
            <w:tcBorders>
              <w:bottom w:val="nil"/>
            </w:tcBorders>
            <w:vAlign w:val="center"/>
          </w:tcPr>
          <w:p w14:paraId="733BA7C1" w14:textId="5B207EA0" w:rsidR="007F6686" w:rsidRPr="008C7117" w:rsidRDefault="000215B2" w:rsidP="007F6686">
            <w:pPr>
              <w:jc w:val="right"/>
            </w:pPr>
            <w:r w:rsidRPr="008C7117">
              <w:t>-</w:t>
            </w:r>
          </w:p>
        </w:tc>
        <w:tc>
          <w:tcPr>
            <w:tcW w:w="1437" w:type="dxa"/>
            <w:tcBorders>
              <w:bottom w:val="nil"/>
            </w:tcBorders>
            <w:vAlign w:val="center"/>
          </w:tcPr>
          <w:p w14:paraId="529F919F" w14:textId="05C6E8CF" w:rsidR="007F6686" w:rsidRPr="008C7117" w:rsidRDefault="00E75D5A" w:rsidP="007F6686">
            <w:pPr>
              <w:jc w:val="right"/>
            </w:pPr>
            <w:r w:rsidRPr="008C7117">
              <w:t>37</w:t>
            </w:r>
          </w:p>
        </w:tc>
        <w:tc>
          <w:tcPr>
            <w:tcW w:w="1158" w:type="dxa"/>
            <w:tcBorders>
              <w:bottom w:val="nil"/>
            </w:tcBorders>
            <w:shd w:val="clear" w:color="auto" w:fill="C5E0B3" w:themeFill="accent6" w:themeFillTint="66"/>
            <w:vAlign w:val="center"/>
          </w:tcPr>
          <w:p w14:paraId="4EA2658A" w14:textId="0767A202" w:rsidR="007F6686" w:rsidRPr="008C7117" w:rsidRDefault="008C7117" w:rsidP="007F6686">
            <w:pPr>
              <w:jc w:val="right"/>
            </w:pPr>
            <w:r w:rsidRPr="008C7117">
              <w:t>37</w:t>
            </w:r>
          </w:p>
        </w:tc>
      </w:tr>
      <w:tr w:rsidR="007F6686" w:rsidRPr="000127EF" w14:paraId="735DDCA6" w14:textId="77777777" w:rsidTr="00840EA0">
        <w:tc>
          <w:tcPr>
            <w:tcW w:w="1184" w:type="dxa"/>
            <w:tcBorders>
              <w:top w:val="single" w:sz="4" w:space="0" w:color="auto"/>
            </w:tcBorders>
            <w:vAlign w:val="bottom"/>
          </w:tcPr>
          <w:p w14:paraId="67F12697" w14:textId="15D8D042" w:rsidR="007F6686" w:rsidRPr="007F6686" w:rsidRDefault="007F6686" w:rsidP="007F6686">
            <w:pPr>
              <w:jc w:val="right"/>
              <w:rPr>
                <w:b/>
                <w:i/>
              </w:rPr>
            </w:pPr>
            <w:r w:rsidRPr="007F6686">
              <w:rPr>
                <w:b/>
                <w:i/>
              </w:rPr>
              <w:fldChar w:fldCharType="begin"/>
            </w:r>
            <w:r w:rsidRPr="007F6686">
              <w:rPr>
                <w:b/>
                <w:i/>
              </w:rPr>
              <w:instrText xml:space="preserve"> =SUM(e27:e31) </w:instrText>
            </w:r>
            <w:r w:rsidRPr="007F6686">
              <w:rPr>
                <w:b/>
                <w:i/>
              </w:rPr>
              <w:fldChar w:fldCharType="separate"/>
            </w:r>
            <w:r w:rsidRPr="007F6686">
              <w:rPr>
                <w:b/>
                <w:i/>
                <w:noProof/>
              </w:rPr>
              <w:t>978</w:t>
            </w:r>
            <w:r w:rsidRPr="007F6686">
              <w:rPr>
                <w:b/>
                <w:i/>
              </w:rPr>
              <w:fldChar w:fldCharType="end"/>
            </w:r>
          </w:p>
        </w:tc>
        <w:tc>
          <w:tcPr>
            <w:tcW w:w="5243" w:type="dxa"/>
          </w:tcPr>
          <w:p w14:paraId="29624CAB" w14:textId="77777777" w:rsidR="007F6686" w:rsidRPr="000127EF" w:rsidRDefault="007F6686" w:rsidP="007F6686">
            <w:pPr>
              <w:ind w:left="29"/>
            </w:pPr>
            <w:r w:rsidRPr="000127EF">
              <w:rPr>
                <w:b/>
                <w:i/>
              </w:rPr>
              <w:t>Total Charges to the Collection Fund</w:t>
            </w:r>
          </w:p>
        </w:tc>
        <w:tc>
          <w:tcPr>
            <w:tcW w:w="1179" w:type="dxa"/>
            <w:tcBorders>
              <w:top w:val="single" w:sz="4" w:space="0" w:color="auto"/>
            </w:tcBorders>
            <w:vAlign w:val="bottom"/>
          </w:tcPr>
          <w:p w14:paraId="3B23FF7B" w14:textId="7EC2F87B" w:rsidR="007F6686" w:rsidRPr="008C7117" w:rsidRDefault="000215B2" w:rsidP="007F6686">
            <w:pPr>
              <w:jc w:val="right"/>
              <w:rPr>
                <w:b/>
              </w:rPr>
            </w:pPr>
            <w:r w:rsidRPr="008C7117">
              <w:rPr>
                <w:b/>
              </w:rPr>
              <w:t>60</w:t>
            </w:r>
          </w:p>
        </w:tc>
        <w:tc>
          <w:tcPr>
            <w:tcW w:w="1437" w:type="dxa"/>
            <w:tcBorders>
              <w:top w:val="single" w:sz="4" w:space="0" w:color="auto"/>
            </w:tcBorders>
            <w:vAlign w:val="bottom"/>
          </w:tcPr>
          <w:p w14:paraId="6F0CF6D6" w14:textId="0149C13C" w:rsidR="007F6686" w:rsidRPr="008C7117" w:rsidRDefault="00E75D5A" w:rsidP="007F6686">
            <w:pPr>
              <w:jc w:val="right"/>
              <w:rPr>
                <w:b/>
              </w:rPr>
            </w:pPr>
            <w:r w:rsidRPr="008C7117">
              <w:rPr>
                <w:b/>
              </w:rPr>
              <w:t>901</w:t>
            </w:r>
          </w:p>
        </w:tc>
        <w:tc>
          <w:tcPr>
            <w:tcW w:w="1158" w:type="dxa"/>
            <w:tcBorders>
              <w:top w:val="single" w:sz="4" w:space="0" w:color="auto"/>
            </w:tcBorders>
            <w:shd w:val="clear" w:color="auto" w:fill="C5E0B3" w:themeFill="accent6" w:themeFillTint="66"/>
            <w:vAlign w:val="bottom"/>
          </w:tcPr>
          <w:p w14:paraId="5F6651D2" w14:textId="2D9FE8ED" w:rsidR="007F6686" w:rsidRPr="008C7117" w:rsidRDefault="008C7117" w:rsidP="007F6686">
            <w:pPr>
              <w:jc w:val="right"/>
              <w:rPr>
                <w:b/>
              </w:rPr>
            </w:pPr>
            <w:r w:rsidRPr="008C7117">
              <w:rPr>
                <w:b/>
              </w:rPr>
              <w:t>961</w:t>
            </w:r>
          </w:p>
        </w:tc>
      </w:tr>
      <w:tr w:rsidR="007F6686" w:rsidRPr="000127EF" w14:paraId="24AC4F45" w14:textId="77777777" w:rsidTr="00840EA0">
        <w:tc>
          <w:tcPr>
            <w:tcW w:w="1184" w:type="dxa"/>
            <w:vAlign w:val="bottom"/>
          </w:tcPr>
          <w:p w14:paraId="72E6B3B4" w14:textId="77777777" w:rsidR="007F6686" w:rsidRPr="007F6686" w:rsidRDefault="007F6686" w:rsidP="007F6686">
            <w:pPr>
              <w:jc w:val="right"/>
              <w:rPr>
                <w:i/>
                <w:sz w:val="14"/>
                <w:szCs w:val="14"/>
              </w:rPr>
            </w:pPr>
          </w:p>
        </w:tc>
        <w:tc>
          <w:tcPr>
            <w:tcW w:w="5243" w:type="dxa"/>
          </w:tcPr>
          <w:p w14:paraId="1788F3B5" w14:textId="77777777" w:rsidR="007F6686" w:rsidRPr="000127EF" w:rsidRDefault="007F6686" w:rsidP="007F6686">
            <w:pPr>
              <w:ind w:left="171"/>
              <w:rPr>
                <w:sz w:val="14"/>
                <w:szCs w:val="14"/>
              </w:rPr>
            </w:pPr>
          </w:p>
        </w:tc>
        <w:tc>
          <w:tcPr>
            <w:tcW w:w="1179" w:type="dxa"/>
            <w:vAlign w:val="bottom"/>
          </w:tcPr>
          <w:p w14:paraId="7BFA2F35" w14:textId="77777777" w:rsidR="007F6686" w:rsidRPr="008C7117" w:rsidRDefault="007F6686" w:rsidP="007F6686">
            <w:pPr>
              <w:jc w:val="right"/>
              <w:rPr>
                <w:sz w:val="14"/>
                <w:szCs w:val="14"/>
              </w:rPr>
            </w:pPr>
          </w:p>
        </w:tc>
        <w:tc>
          <w:tcPr>
            <w:tcW w:w="1437" w:type="dxa"/>
            <w:vAlign w:val="bottom"/>
          </w:tcPr>
          <w:p w14:paraId="47F1F6E5" w14:textId="77777777" w:rsidR="007F6686" w:rsidRPr="008C7117" w:rsidRDefault="007F6686" w:rsidP="007F6686">
            <w:pPr>
              <w:jc w:val="right"/>
              <w:rPr>
                <w:sz w:val="14"/>
                <w:szCs w:val="14"/>
              </w:rPr>
            </w:pPr>
          </w:p>
        </w:tc>
        <w:tc>
          <w:tcPr>
            <w:tcW w:w="1158" w:type="dxa"/>
            <w:shd w:val="clear" w:color="auto" w:fill="C5E0B3" w:themeFill="accent6" w:themeFillTint="66"/>
            <w:vAlign w:val="bottom"/>
          </w:tcPr>
          <w:p w14:paraId="289985BC" w14:textId="77777777" w:rsidR="007F6686" w:rsidRPr="008C7117" w:rsidRDefault="007F6686" w:rsidP="007F6686">
            <w:pPr>
              <w:jc w:val="right"/>
              <w:rPr>
                <w:sz w:val="14"/>
                <w:szCs w:val="14"/>
              </w:rPr>
            </w:pPr>
          </w:p>
        </w:tc>
      </w:tr>
      <w:tr w:rsidR="007F6686" w:rsidRPr="000127EF" w14:paraId="5D3573DE" w14:textId="77777777" w:rsidTr="00840EA0">
        <w:tc>
          <w:tcPr>
            <w:tcW w:w="1184" w:type="dxa"/>
            <w:vAlign w:val="bottom"/>
          </w:tcPr>
          <w:p w14:paraId="0169D8F8" w14:textId="77777777" w:rsidR="007F6686" w:rsidRPr="007F6686" w:rsidRDefault="007F6686" w:rsidP="007F6686">
            <w:pPr>
              <w:jc w:val="right"/>
              <w:rPr>
                <w:i/>
              </w:rPr>
            </w:pPr>
          </w:p>
        </w:tc>
        <w:tc>
          <w:tcPr>
            <w:tcW w:w="5243" w:type="dxa"/>
          </w:tcPr>
          <w:p w14:paraId="54B55FD5" w14:textId="77777777" w:rsidR="007F6686" w:rsidRPr="000127EF" w:rsidRDefault="007F6686" w:rsidP="007F6686">
            <w:pPr>
              <w:ind w:left="29"/>
              <w:rPr>
                <w:b/>
                <w:i/>
              </w:rPr>
            </w:pPr>
            <w:r w:rsidRPr="000127EF">
              <w:rPr>
                <w:b/>
                <w:i/>
              </w:rPr>
              <w:t>Distribution of Previous Year’s Estimated Collection Fund Surplus</w:t>
            </w:r>
          </w:p>
        </w:tc>
        <w:tc>
          <w:tcPr>
            <w:tcW w:w="1179" w:type="dxa"/>
            <w:vAlign w:val="bottom"/>
          </w:tcPr>
          <w:p w14:paraId="4D2A61FE" w14:textId="77777777" w:rsidR="007F6686" w:rsidRPr="008C7117" w:rsidRDefault="007F6686" w:rsidP="007F6686">
            <w:pPr>
              <w:jc w:val="right"/>
            </w:pPr>
          </w:p>
        </w:tc>
        <w:tc>
          <w:tcPr>
            <w:tcW w:w="1437" w:type="dxa"/>
            <w:vAlign w:val="bottom"/>
          </w:tcPr>
          <w:p w14:paraId="6DFE3CFD" w14:textId="77777777" w:rsidR="007F6686" w:rsidRPr="008C7117" w:rsidRDefault="007F6686" w:rsidP="007F6686">
            <w:pPr>
              <w:jc w:val="right"/>
            </w:pPr>
          </w:p>
        </w:tc>
        <w:tc>
          <w:tcPr>
            <w:tcW w:w="1158" w:type="dxa"/>
            <w:shd w:val="clear" w:color="auto" w:fill="C5E0B3" w:themeFill="accent6" w:themeFillTint="66"/>
            <w:vAlign w:val="bottom"/>
          </w:tcPr>
          <w:p w14:paraId="4D76AF72" w14:textId="77777777" w:rsidR="007F6686" w:rsidRPr="008C7117" w:rsidRDefault="007F6686" w:rsidP="007F6686">
            <w:pPr>
              <w:jc w:val="right"/>
            </w:pPr>
          </w:p>
        </w:tc>
      </w:tr>
      <w:tr w:rsidR="007F6686" w:rsidRPr="000127EF" w14:paraId="681672EF" w14:textId="77777777" w:rsidTr="00840EA0">
        <w:tc>
          <w:tcPr>
            <w:tcW w:w="1184" w:type="dxa"/>
            <w:vAlign w:val="center"/>
          </w:tcPr>
          <w:p w14:paraId="66AAE21D" w14:textId="383FFF84" w:rsidR="007F6686" w:rsidRPr="007F6686" w:rsidRDefault="007F6686" w:rsidP="007F6686">
            <w:pPr>
              <w:jc w:val="right"/>
              <w:rPr>
                <w:i/>
              </w:rPr>
            </w:pPr>
            <w:r w:rsidRPr="007F6686">
              <w:rPr>
                <w:i/>
              </w:rPr>
              <w:fldChar w:fldCharType="begin"/>
            </w:r>
            <w:r w:rsidRPr="007F6686">
              <w:rPr>
                <w:i/>
              </w:rPr>
              <w:instrText xml:space="preserve"> =SUM(c36,d36) </w:instrText>
            </w:r>
            <w:r w:rsidRPr="007F6686">
              <w:rPr>
                <w:i/>
              </w:rPr>
              <w:fldChar w:fldCharType="separate"/>
            </w:r>
            <w:r w:rsidRPr="007F6686">
              <w:rPr>
                <w:i/>
                <w:noProof/>
              </w:rPr>
              <w:t>(323)</w:t>
            </w:r>
            <w:r w:rsidRPr="007F6686">
              <w:rPr>
                <w:i/>
              </w:rPr>
              <w:fldChar w:fldCharType="end"/>
            </w:r>
          </w:p>
        </w:tc>
        <w:tc>
          <w:tcPr>
            <w:tcW w:w="5243" w:type="dxa"/>
          </w:tcPr>
          <w:p w14:paraId="44B163E7" w14:textId="77777777" w:rsidR="007F6686" w:rsidRPr="000127EF" w:rsidRDefault="007F6686" w:rsidP="007F6686">
            <w:pPr>
              <w:ind w:left="171"/>
            </w:pPr>
            <w:r w:rsidRPr="000127EF">
              <w:t>Central Government</w:t>
            </w:r>
          </w:p>
        </w:tc>
        <w:tc>
          <w:tcPr>
            <w:tcW w:w="1179" w:type="dxa"/>
            <w:vAlign w:val="center"/>
          </w:tcPr>
          <w:p w14:paraId="645267F0" w14:textId="11B4A6DF" w:rsidR="007F6686" w:rsidRPr="008C7117" w:rsidRDefault="007F6686" w:rsidP="007F6686">
            <w:pPr>
              <w:jc w:val="right"/>
            </w:pPr>
          </w:p>
        </w:tc>
        <w:tc>
          <w:tcPr>
            <w:tcW w:w="1437" w:type="dxa"/>
            <w:vAlign w:val="center"/>
          </w:tcPr>
          <w:p w14:paraId="486A45EB" w14:textId="2D222365" w:rsidR="007F6686" w:rsidRPr="008C7117" w:rsidRDefault="007F6686" w:rsidP="007F6686">
            <w:pPr>
              <w:jc w:val="right"/>
            </w:pPr>
          </w:p>
        </w:tc>
        <w:tc>
          <w:tcPr>
            <w:tcW w:w="1158" w:type="dxa"/>
            <w:shd w:val="clear" w:color="auto" w:fill="C5E0B3" w:themeFill="accent6" w:themeFillTint="66"/>
            <w:vAlign w:val="center"/>
          </w:tcPr>
          <w:p w14:paraId="30091925" w14:textId="19E8E8FE" w:rsidR="007F6686" w:rsidRPr="008C7117" w:rsidRDefault="007F6686" w:rsidP="007F6686">
            <w:pPr>
              <w:jc w:val="right"/>
            </w:pPr>
          </w:p>
        </w:tc>
      </w:tr>
      <w:tr w:rsidR="007F6686" w:rsidRPr="000127EF" w14:paraId="62D5EA23" w14:textId="77777777" w:rsidTr="00840EA0">
        <w:tc>
          <w:tcPr>
            <w:tcW w:w="1184" w:type="dxa"/>
            <w:vAlign w:val="center"/>
          </w:tcPr>
          <w:p w14:paraId="40443A81" w14:textId="786271EF" w:rsidR="007F6686" w:rsidRPr="007F6686" w:rsidRDefault="007F6686" w:rsidP="007F6686">
            <w:pPr>
              <w:jc w:val="right"/>
              <w:rPr>
                <w:i/>
              </w:rPr>
            </w:pPr>
            <w:r w:rsidRPr="007F6686">
              <w:rPr>
                <w:i/>
              </w:rPr>
              <w:fldChar w:fldCharType="begin"/>
            </w:r>
            <w:r w:rsidRPr="007F6686">
              <w:rPr>
                <w:i/>
              </w:rPr>
              <w:instrText xml:space="preserve"> =SUM(c37:d37) </w:instrText>
            </w:r>
            <w:r w:rsidRPr="007F6686">
              <w:rPr>
                <w:i/>
              </w:rPr>
              <w:fldChar w:fldCharType="separate"/>
            </w:r>
            <w:r w:rsidRPr="007F6686">
              <w:rPr>
                <w:i/>
                <w:noProof/>
              </w:rPr>
              <w:t>(386)</w:t>
            </w:r>
            <w:r w:rsidRPr="007F6686">
              <w:rPr>
                <w:i/>
              </w:rPr>
              <w:fldChar w:fldCharType="end"/>
            </w:r>
          </w:p>
        </w:tc>
        <w:tc>
          <w:tcPr>
            <w:tcW w:w="5243" w:type="dxa"/>
          </w:tcPr>
          <w:p w14:paraId="14852E20" w14:textId="77777777" w:rsidR="007F6686" w:rsidRPr="000127EF" w:rsidRDefault="007F6686" w:rsidP="007F6686">
            <w:pPr>
              <w:ind w:left="171"/>
            </w:pPr>
            <w:r w:rsidRPr="000127EF">
              <w:t>Rutland County Council</w:t>
            </w:r>
          </w:p>
        </w:tc>
        <w:tc>
          <w:tcPr>
            <w:tcW w:w="1179" w:type="dxa"/>
            <w:vAlign w:val="center"/>
          </w:tcPr>
          <w:p w14:paraId="54472B22" w14:textId="6A8C063D" w:rsidR="007F6686" w:rsidRPr="008C7117" w:rsidRDefault="000215B2" w:rsidP="007F6686">
            <w:pPr>
              <w:jc w:val="right"/>
            </w:pPr>
            <w:r w:rsidRPr="008C7117">
              <w:t>6</w:t>
            </w:r>
            <w:r w:rsidR="0049188C">
              <w:t>4</w:t>
            </w:r>
          </w:p>
        </w:tc>
        <w:tc>
          <w:tcPr>
            <w:tcW w:w="1437" w:type="dxa"/>
            <w:vAlign w:val="center"/>
          </w:tcPr>
          <w:p w14:paraId="494EA951" w14:textId="0586CDAD" w:rsidR="007F6686" w:rsidRPr="008C7117" w:rsidRDefault="00E75D5A" w:rsidP="007F6686">
            <w:pPr>
              <w:jc w:val="right"/>
            </w:pPr>
            <w:r w:rsidRPr="008C7117">
              <w:t>2</w:t>
            </w:r>
          </w:p>
        </w:tc>
        <w:tc>
          <w:tcPr>
            <w:tcW w:w="1158" w:type="dxa"/>
            <w:shd w:val="clear" w:color="auto" w:fill="C5E0B3" w:themeFill="accent6" w:themeFillTint="66"/>
            <w:vAlign w:val="center"/>
          </w:tcPr>
          <w:p w14:paraId="69C26CD4" w14:textId="3C80BB1B" w:rsidR="007F6686" w:rsidRPr="008C7117" w:rsidRDefault="008C7117" w:rsidP="007F6686">
            <w:pPr>
              <w:jc w:val="right"/>
            </w:pPr>
            <w:r w:rsidRPr="008C7117">
              <w:t>6</w:t>
            </w:r>
            <w:r w:rsidR="0049188C">
              <w:t>6</w:t>
            </w:r>
          </w:p>
        </w:tc>
      </w:tr>
      <w:tr w:rsidR="007F6686" w:rsidRPr="000127EF" w14:paraId="60D7774A" w14:textId="77777777" w:rsidTr="00840EA0">
        <w:tc>
          <w:tcPr>
            <w:tcW w:w="1184" w:type="dxa"/>
            <w:vAlign w:val="center"/>
          </w:tcPr>
          <w:p w14:paraId="43843AD9" w14:textId="392EEAD4" w:rsidR="007F6686" w:rsidRPr="007F6686" w:rsidRDefault="007F6686" w:rsidP="007F6686">
            <w:pPr>
              <w:jc w:val="right"/>
              <w:rPr>
                <w:i/>
              </w:rPr>
            </w:pPr>
            <w:r w:rsidRPr="007F6686">
              <w:rPr>
                <w:i/>
              </w:rPr>
              <w:fldChar w:fldCharType="begin"/>
            </w:r>
            <w:r w:rsidRPr="007F6686">
              <w:rPr>
                <w:i/>
              </w:rPr>
              <w:instrText xml:space="preserve"> =SUM(c38,d38) </w:instrText>
            </w:r>
            <w:r w:rsidRPr="007F6686">
              <w:rPr>
                <w:i/>
              </w:rPr>
              <w:fldChar w:fldCharType="separate"/>
            </w:r>
            <w:r w:rsidRPr="007F6686">
              <w:rPr>
                <w:i/>
                <w:noProof/>
              </w:rPr>
              <w:t>(8)</w:t>
            </w:r>
            <w:r w:rsidRPr="007F6686">
              <w:rPr>
                <w:i/>
              </w:rPr>
              <w:fldChar w:fldCharType="end"/>
            </w:r>
          </w:p>
        </w:tc>
        <w:tc>
          <w:tcPr>
            <w:tcW w:w="5243" w:type="dxa"/>
          </w:tcPr>
          <w:p w14:paraId="42D27385" w14:textId="77777777" w:rsidR="007F6686" w:rsidRPr="000127EF" w:rsidRDefault="007F6686" w:rsidP="007F6686">
            <w:pPr>
              <w:ind w:left="171"/>
            </w:pPr>
            <w:r w:rsidRPr="000127EF">
              <w:t>Leicestershire Police</w:t>
            </w:r>
          </w:p>
        </w:tc>
        <w:tc>
          <w:tcPr>
            <w:tcW w:w="1179" w:type="dxa"/>
            <w:vAlign w:val="center"/>
          </w:tcPr>
          <w:p w14:paraId="1EA6833F" w14:textId="1931FEA8" w:rsidR="007F6686" w:rsidRPr="008C7117" w:rsidRDefault="000215B2" w:rsidP="007F6686">
            <w:pPr>
              <w:jc w:val="right"/>
            </w:pPr>
            <w:r w:rsidRPr="008C7117">
              <w:t>8</w:t>
            </w:r>
          </w:p>
        </w:tc>
        <w:tc>
          <w:tcPr>
            <w:tcW w:w="1437" w:type="dxa"/>
            <w:vAlign w:val="center"/>
          </w:tcPr>
          <w:p w14:paraId="7505B7C3" w14:textId="1F8D2624" w:rsidR="007F6686" w:rsidRPr="008C7117" w:rsidRDefault="00E75D5A" w:rsidP="007F6686">
            <w:pPr>
              <w:jc w:val="right"/>
            </w:pPr>
            <w:r w:rsidRPr="008C7117">
              <w:t>2</w:t>
            </w:r>
          </w:p>
        </w:tc>
        <w:tc>
          <w:tcPr>
            <w:tcW w:w="1158" w:type="dxa"/>
            <w:shd w:val="clear" w:color="auto" w:fill="C5E0B3" w:themeFill="accent6" w:themeFillTint="66"/>
            <w:vAlign w:val="center"/>
          </w:tcPr>
          <w:p w14:paraId="7767B6A9" w14:textId="50CB20E6" w:rsidR="007F6686" w:rsidRPr="008C7117" w:rsidRDefault="008C7117" w:rsidP="007F6686">
            <w:pPr>
              <w:jc w:val="right"/>
            </w:pPr>
            <w:r w:rsidRPr="008C7117">
              <w:t>10</w:t>
            </w:r>
          </w:p>
        </w:tc>
      </w:tr>
      <w:tr w:rsidR="007F6686" w:rsidRPr="000127EF" w14:paraId="7035BED4" w14:textId="77777777" w:rsidTr="00840EA0">
        <w:tc>
          <w:tcPr>
            <w:tcW w:w="1184" w:type="dxa"/>
            <w:tcBorders>
              <w:bottom w:val="single" w:sz="4" w:space="0" w:color="auto"/>
            </w:tcBorders>
            <w:vAlign w:val="center"/>
          </w:tcPr>
          <w:p w14:paraId="45084280" w14:textId="397CF713" w:rsidR="007F6686" w:rsidRPr="007F6686" w:rsidRDefault="007F6686" w:rsidP="007F6686">
            <w:pPr>
              <w:jc w:val="right"/>
              <w:rPr>
                <w:i/>
              </w:rPr>
            </w:pPr>
            <w:r w:rsidRPr="007F6686">
              <w:rPr>
                <w:i/>
              </w:rPr>
              <w:fldChar w:fldCharType="begin"/>
            </w:r>
            <w:r w:rsidRPr="007F6686">
              <w:rPr>
                <w:i/>
              </w:rPr>
              <w:instrText xml:space="preserve"> =SUM(c39,d39) </w:instrText>
            </w:r>
            <w:r w:rsidRPr="007F6686">
              <w:rPr>
                <w:i/>
              </w:rPr>
              <w:fldChar w:fldCharType="separate"/>
            </w:r>
            <w:r w:rsidRPr="007F6686">
              <w:rPr>
                <w:i/>
                <w:noProof/>
              </w:rPr>
              <w:t>(9)</w:t>
            </w:r>
            <w:r w:rsidRPr="007F6686">
              <w:rPr>
                <w:i/>
              </w:rPr>
              <w:fldChar w:fldCharType="end"/>
            </w:r>
          </w:p>
        </w:tc>
        <w:tc>
          <w:tcPr>
            <w:tcW w:w="5243" w:type="dxa"/>
          </w:tcPr>
          <w:p w14:paraId="68EC0290" w14:textId="77777777" w:rsidR="007F6686" w:rsidRPr="000127EF" w:rsidRDefault="007F6686" w:rsidP="007F6686">
            <w:pPr>
              <w:ind w:left="171"/>
            </w:pPr>
            <w:r w:rsidRPr="000127EF">
              <w:t>Leicester, Leicestershire &amp; Rutland Fire Authority</w:t>
            </w:r>
          </w:p>
        </w:tc>
        <w:tc>
          <w:tcPr>
            <w:tcW w:w="1179" w:type="dxa"/>
            <w:tcBorders>
              <w:bottom w:val="single" w:sz="4" w:space="0" w:color="auto"/>
            </w:tcBorders>
            <w:vAlign w:val="center"/>
          </w:tcPr>
          <w:p w14:paraId="412B34E4" w14:textId="2E032E73" w:rsidR="007F6686" w:rsidRPr="008C7117" w:rsidRDefault="000215B2" w:rsidP="007F6686">
            <w:pPr>
              <w:jc w:val="right"/>
            </w:pPr>
            <w:r w:rsidRPr="008C7117">
              <w:t>3</w:t>
            </w:r>
          </w:p>
        </w:tc>
        <w:tc>
          <w:tcPr>
            <w:tcW w:w="1437" w:type="dxa"/>
            <w:tcBorders>
              <w:bottom w:val="single" w:sz="4" w:space="0" w:color="auto"/>
            </w:tcBorders>
            <w:vAlign w:val="center"/>
          </w:tcPr>
          <w:p w14:paraId="3198DBDB" w14:textId="04FCEC36" w:rsidR="007F6686" w:rsidRPr="008C7117" w:rsidRDefault="00E75D5A" w:rsidP="007F6686">
            <w:pPr>
              <w:jc w:val="right"/>
            </w:pPr>
            <w:r w:rsidRPr="008C7117">
              <w:t>0</w:t>
            </w:r>
          </w:p>
        </w:tc>
        <w:tc>
          <w:tcPr>
            <w:tcW w:w="1158" w:type="dxa"/>
            <w:tcBorders>
              <w:bottom w:val="single" w:sz="4" w:space="0" w:color="auto"/>
            </w:tcBorders>
            <w:shd w:val="clear" w:color="auto" w:fill="C5E0B3" w:themeFill="accent6" w:themeFillTint="66"/>
            <w:vAlign w:val="center"/>
          </w:tcPr>
          <w:p w14:paraId="50372FE8" w14:textId="1BBA00FB" w:rsidR="007F6686" w:rsidRPr="008C7117" w:rsidRDefault="008C7117" w:rsidP="007F6686">
            <w:pPr>
              <w:jc w:val="right"/>
            </w:pPr>
            <w:r w:rsidRPr="008C7117">
              <w:t>3</w:t>
            </w:r>
          </w:p>
        </w:tc>
      </w:tr>
      <w:tr w:rsidR="007F6686" w:rsidRPr="000127EF" w14:paraId="7C8BB7E7" w14:textId="77777777" w:rsidTr="00840EA0">
        <w:tc>
          <w:tcPr>
            <w:tcW w:w="1184" w:type="dxa"/>
            <w:tcBorders>
              <w:top w:val="single" w:sz="4" w:space="0" w:color="auto"/>
              <w:bottom w:val="single" w:sz="4" w:space="0" w:color="auto"/>
            </w:tcBorders>
            <w:vAlign w:val="center"/>
          </w:tcPr>
          <w:p w14:paraId="58E6CC44" w14:textId="7220EAEF" w:rsidR="007F6686" w:rsidRPr="007F6686" w:rsidRDefault="007F6686" w:rsidP="007F6686">
            <w:pPr>
              <w:jc w:val="right"/>
              <w:rPr>
                <w:b/>
                <w:i/>
              </w:rPr>
            </w:pPr>
            <w:r w:rsidRPr="007F6686">
              <w:rPr>
                <w:b/>
                <w:i/>
              </w:rPr>
              <w:fldChar w:fldCharType="begin"/>
            </w:r>
            <w:r w:rsidRPr="007F6686">
              <w:rPr>
                <w:b/>
                <w:i/>
              </w:rPr>
              <w:instrText xml:space="preserve"> =SUM(e33:e38) </w:instrText>
            </w:r>
            <w:r w:rsidRPr="007F6686">
              <w:rPr>
                <w:b/>
                <w:i/>
              </w:rPr>
              <w:fldChar w:fldCharType="separate"/>
            </w:r>
            <w:r w:rsidRPr="007F6686">
              <w:rPr>
                <w:b/>
                <w:i/>
                <w:noProof/>
              </w:rPr>
              <w:t>(726)</w:t>
            </w:r>
            <w:r w:rsidRPr="007F6686">
              <w:rPr>
                <w:b/>
                <w:i/>
              </w:rPr>
              <w:fldChar w:fldCharType="end"/>
            </w:r>
          </w:p>
        </w:tc>
        <w:tc>
          <w:tcPr>
            <w:tcW w:w="5243" w:type="dxa"/>
          </w:tcPr>
          <w:p w14:paraId="29373348" w14:textId="77777777" w:rsidR="007F6686" w:rsidRPr="000127EF" w:rsidRDefault="007F6686" w:rsidP="007F6686">
            <w:pPr>
              <w:ind w:left="171"/>
            </w:pPr>
            <w:r w:rsidRPr="000127EF">
              <w:rPr>
                <w:b/>
                <w:i/>
              </w:rPr>
              <w:t>Total Distribution of Previous Year’s Estimated Collection Fund Surplus</w:t>
            </w:r>
          </w:p>
        </w:tc>
        <w:tc>
          <w:tcPr>
            <w:tcW w:w="1179" w:type="dxa"/>
            <w:tcBorders>
              <w:top w:val="single" w:sz="4" w:space="0" w:color="auto"/>
              <w:bottom w:val="single" w:sz="4" w:space="0" w:color="auto"/>
            </w:tcBorders>
            <w:vAlign w:val="center"/>
          </w:tcPr>
          <w:p w14:paraId="45B71E2F" w14:textId="2DBAE752" w:rsidR="007F6686" w:rsidRPr="008C7117" w:rsidRDefault="000215B2" w:rsidP="007F6686">
            <w:pPr>
              <w:jc w:val="right"/>
              <w:rPr>
                <w:b/>
              </w:rPr>
            </w:pPr>
            <w:r w:rsidRPr="008C7117">
              <w:rPr>
                <w:b/>
              </w:rPr>
              <w:t>7</w:t>
            </w:r>
            <w:r w:rsidR="00744BBB">
              <w:rPr>
                <w:b/>
              </w:rPr>
              <w:t>5</w:t>
            </w:r>
          </w:p>
        </w:tc>
        <w:tc>
          <w:tcPr>
            <w:tcW w:w="1437" w:type="dxa"/>
            <w:tcBorders>
              <w:top w:val="single" w:sz="4" w:space="0" w:color="auto"/>
              <w:bottom w:val="single" w:sz="4" w:space="0" w:color="auto"/>
            </w:tcBorders>
            <w:vAlign w:val="center"/>
          </w:tcPr>
          <w:p w14:paraId="1D0DC06D" w14:textId="75FE7F7C" w:rsidR="007F6686" w:rsidRPr="008C7117" w:rsidRDefault="00E75D5A" w:rsidP="007F6686">
            <w:pPr>
              <w:jc w:val="right"/>
              <w:rPr>
                <w:b/>
              </w:rPr>
            </w:pPr>
            <w:r w:rsidRPr="008C7117">
              <w:rPr>
                <w:b/>
              </w:rPr>
              <w:t>4</w:t>
            </w:r>
          </w:p>
        </w:tc>
        <w:tc>
          <w:tcPr>
            <w:tcW w:w="1158" w:type="dxa"/>
            <w:tcBorders>
              <w:top w:val="single" w:sz="4" w:space="0" w:color="auto"/>
              <w:bottom w:val="single" w:sz="4" w:space="0" w:color="auto"/>
            </w:tcBorders>
            <w:shd w:val="clear" w:color="auto" w:fill="C5E0B3" w:themeFill="accent6" w:themeFillTint="66"/>
            <w:vAlign w:val="center"/>
          </w:tcPr>
          <w:p w14:paraId="339BD6C9" w14:textId="277E86C1" w:rsidR="007F6686" w:rsidRPr="008C7117" w:rsidRDefault="0049188C" w:rsidP="007F6686">
            <w:pPr>
              <w:jc w:val="right"/>
              <w:rPr>
                <w:b/>
              </w:rPr>
            </w:pPr>
            <w:r>
              <w:rPr>
                <w:b/>
              </w:rPr>
              <w:t>79</w:t>
            </w:r>
          </w:p>
        </w:tc>
      </w:tr>
      <w:tr w:rsidR="007F6686" w:rsidRPr="000127EF" w14:paraId="657925E4" w14:textId="77777777" w:rsidTr="00840EA0">
        <w:tc>
          <w:tcPr>
            <w:tcW w:w="1184" w:type="dxa"/>
            <w:tcBorders>
              <w:top w:val="single" w:sz="4" w:space="0" w:color="auto"/>
              <w:bottom w:val="single" w:sz="4" w:space="0" w:color="auto"/>
            </w:tcBorders>
            <w:vAlign w:val="bottom"/>
          </w:tcPr>
          <w:p w14:paraId="171B25C9" w14:textId="396F4508" w:rsidR="007F6686" w:rsidRPr="007F6686" w:rsidRDefault="007F6686" w:rsidP="007F6686">
            <w:pPr>
              <w:jc w:val="right"/>
              <w:rPr>
                <w:b/>
                <w:i/>
              </w:rPr>
            </w:pPr>
            <w:r w:rsidRPr="007F6686">
              <w:rPr>
                <w:b/>
                <w:i/>
              </w:rPr>
              <w:fldChar w:fldCharType="begin"/>
            </w:r>
            <w:r w:rsidRPr="007F6686">
              <w:rPr>
                <w:b/>
                <w:i/>
              </w:rPr>
              <w:instrText xml:space="preserve"> =SUM(e18,e24,e32,e39) </w:instrText>
            </w:r>
            <w:r w:rsidRPr="007F6686">
              <w:rPr>
                <w:b/>
                <w:i/>
              </w:rPr>
              <w:fldChar w:fldCharType="separate"/>
            </w:r>
            <w:r w:rsidRPr="007F6686">
              <w:rPr>
                <w:b/>
                <w:i/>
                <w:noProof/>
              </w:rPr>
              <w:t>41,123</w:t>
            </w:r>
            <w:r w:rsidRPr="007F6686">
              <w:rPr>
                <w:b/>
                <w:i/>
              </w:rPr>
              <w:fldChar w:fldCharType="end"/>
            </w:r>
          </w:p>
        </w:tc>
        <w:tc>
          <w:tcPr>
            <w:tcW w:w="5243" w:type="dxa"/>
          </w:tcPr>
          <w:p w14:paraId="07855615" w14:textId="77777777" w:rsidR="007F6686" w:rsidRPr="000127EF" w:rsidRDefault="007F6686" w:rsidP="007F6686">
            <w:pPr>
              <w:jc w:val="both"/>
              <w:rPr>
                <w:b/>
              </w:rPr>
            </w:pPr>
            <w:r w:rsidRPr="000127EF">
              <w:rPr>
                <w:b/>
              </w:rPr>
              <w:t>Total Expenditure</w:t>
            </w:r>
          </w:p>
        </w:tc>
        <w:tc>
          <w:tcPr>
            <w:tcW w:w="1179" w:type="dxa"/>
            <w:tcBorders>
              <w:top w:val="single" w:sz="4" w:space="0" w:color="auto"/>
              <w:bottom w:val="single" w:sz="4" w:space="0" w:color="auto"/>
            </w:tcBorders>
            <w:vAlign w:val="bottom"/>
          </w:tcPr>
          <w:p w14:paraId="214410BD" w14:textId="6A6737CE" w:rsidR="007F6686" w:rsidRPr="008C7117" w:rsidRDefault="000215B2" w:rsidP="007F6686">
            <w:pPr>
              <w:jc w:val="right"/>
              <w:rPr>
                <w:b/>
              </w:rPr>
            </w:pPr>
            <w:r w:rsidRPr="008C7117">
              <w:rPr>
                <w:b/>
              </w:rPr>
              <w:t>31,80</w:t>
            </w:r>
            <w:r w:rsidR="00744BBB">
              <w:rPr>
                <w:b/>
              </w:rPr>
              <w:t>5</w:t>
            </w:r>
          </w:p>
        </w:tc>
        <w:tc>
          <w:tcPr>
            <w:tcW w:w="1437" w:type="dxa"/>
            <w:tcBorders>
              <w:top w:val="single" w:sz="4" w:space="0" w:color="auto"/>
              <w:bottom w:val="single" w:sz="4" w:space="0" w:color="auto"/>
            </w:tcBorders>
            <w:vAlign w:val="bottom"/>
          </w:tcPr>
          <w:p w14:paraId="4B42E379" w14:textId="0C20CCF8" w:rsidR="007F6686" w:rsidRPr="008C7117" w:rsidRDefault="00E75D5A" w:rsidP="007F6686">
            <w:pPr>
              <w:jc w:val="right"/>
              <w:rPr>
                <w:b/>
              </w:rPr>
            </w:pPr>
            <w:r w:rsidRPr="008C7117">
              <w:rPr>
                <w:b/>
              </w:rPr>
              <w:t>12,175</w:t>
            </w:r>
          </w:p>
        </w:tc>
        <w:tc>
          <w:tcPr>
            <w:tcW w:w="1158" w:type="dxa"/>
            <w:tcBorders>
              <w:top w:val="single" w:sz="4" w:space="0" w:color="auto"/>
              <w:bottom w:val="single" w:sz="4" w:space="0" w:color="auto"/>
            </w:tcBorders>
            <w:shd w:val="clear" w:color="auto" w:fill="C5E0B3" w:themeFill="accent6" w:themeFillTint="66"/>
            <w:vAlign w:val="bottom"/>
          </w:tcPr>
          <w:p w14:paraId="601D775D" w14:textId="115FCF23" w:rsidR="007F6686" w:rsidRPr="008C7117" w:rsidRDefault="008C7117" w:rsidP="007F6686">
            <w:pPr>
              <w:jc w:val="right"/>
              <w:rPr>
                <w:b/>
              </w:rPr>
            </w:pPr>
            <w:r w:rsidRPr="008C7117">
              <w:rPr>
                <w:b/>
              </w:rPr>
              <w:t>43,98</w:t>
            </w:r>
            <w:r w:rsidR="0049188C">
              <w:rPr>
                <w:b/>
              </w:rPr>
              <w:t>0</w:t>
            </w:r>
          </w:p>
        </w:tc>
      </w:tr>
      <w:tr w:rsidR="007F6686" w:rsidRPr="000127EF" w14:paraId="4AD010A7" w14:textId="77777777" w:rsidTr="00840EA0">
        <w:tc>
          <w:tcPr>
            <w:tcW w:w="1184" w:type="dxa"/>
            <w:tcBorders>
              <w:top w:val="single" w:sz="4" w:space="0" w:color="auto"/>
              <w:bottom w:val="single" w:sz="4" w:space="0" w:color="auto"/>
            </w:tcBorders>
            <w:vAlign w:val="bottom"/>
          </w:tcPr>
          <w:p w14:paraId="73AF8660" w14:textId="3E1ABCE7" w:rsidR="007F6686" w:rsidRPr="007F6686" w:rsidRDefault="007F6686" w:rsidP="007F6686">
            <w:pPr>
              <w:jc w:val="right"/>
              <w:rPr>
                <w:b/>
                <w:i/>
              </w:rPr>
            </w:pPr>
            <w:r w:rsidRPr="007F6686">
              <w:rPr>
                <w:b/>
                <w:i/>
              </w:rPr>
              <w:fldChar w:fldCharType="begin"/>
            </w:r>
            <w:r w:rsidRPr="007F6686">
              <w:rPr>
                <w:b/>
                <w:i/>
              </w:rPr>
              <w:instrText xml:space="preserve"> =SUM(e10,e40) </w:instrText>
            </w:r>
            <w:r w:rsidRPr="007F6686">
              <w:rPr>
                <w:b/>
                <w:i/>
              </w:rPr>
              <w:fldChar w:fldCharType="separate"/>
            </w:r>
            <w:r w:rsidRPr="007F6686">
              <w:rPr>
                <w:b/>
                <w:i/>
                <w:noProof/>
              </w:rPr>
              <w:t>(846)</w:t>
            </w:r>
            <w:r w:rsidRPr="007F6686">
              <w:rPr>
                <w:b/>
                <w:i/>
              </w:rPr>
              <w:fldChar w:fldCharType="end"/>
            </w:r>
          </w:p>
        </w:tc>
        <w:tc>
          <w:tcPr>
            <w:tcW w:w="5243" w:type="dxa"/>
          </w:tcPr>
          <w:p w14:paraId="2FC2F5F4" w14:textId="77777777" w:rsidR="007F6686" w:rsidRPr="000127EF" w:rsidRDefault="007F6686" w:rsidP="007F6686">
            <w:pPr>
              <w:jc w:val="both"/>
              <w:rPr>
                <w:b/>
              </w:rPr>
            </w:pPr>
            <w:r w:rsidRPr="000127EF">
              <w:rPr>
                <w:b/>
              </w:rPr>
              <w:t>(Surplus) / Deficit on Collection Fund</w:t>
            </w:r>
          </w:p>
        </w:tc>
        <w:tc>
          <w:tcPr>
            <w:tcW w:w="1179" w:type="dxa"/>
            <w:tcBorders>
              <w:top w:val="single" w:sz="4" w:space="0" w:color="auto"/>
              <w:bottom w:val="single" w:sz="4" w:space="0" w:color="auto"/>
            </w:tcBorders>
            <w:vAlign w:val="bottom"/>
          </w:tcPr>
          <w:p w14:paraId="65626CD4" w14:textId="44AC4415" w:rsidR="007F6686" w:rsidRPr="008C7117" w:rsidRDefault="00744BBB" w:rsidP="007F6686">
            <w:pPr>
              <w:jc w:val="right"/>
              <w:rPr>
                <w:b/>
              </w:rPr>
            </w:pPr>
            <w:r>
              <w:rPr>
                <w:b/>
              </w:rPr>
              <w:t>7</w:t>
            </w:r>
          </w:p>
        </w:tc>
        <w:tc>
          <w:tcPr>
            <w:tcW w:w="1437" w:type="dxa"/>
            <w:tcBorders>
              <w:top w:val="single" w:sz="4" w:space="0" w:color="auto"/>
              <w:bottom w:val="single" w:sz="4" w:space="0" w:color="auto"/>
            </w:tcBorders>
            <w:vAlign w:val="bottom"/>
          </w:tcPr>
          <w:p w14:paraId="0BF5DD08" w14:textId="543EDE24" w:rsidR="007F6686" w:rsidRPr="008C7117" w:rsidRDefault="00E75D5A" w:rsidP="007F6686">
            <w:pPr>
              <w:jc w:val="right"/>
              <w:rPr>
                <w:b/>
              </w:rPr>
            </w:pPr>
            <w:r w:rsidRPr="008C7117">
              <w:rPr>
                <w:b/>
              </w:rPr>
              <w:t>77</w:t>
            </w:r>
          </w:p>
        </w:tc>
        <w:tc>
          <w:tcPr>
            <w:tcW w:w="1158" w:type="dxa"/>
            <w:tcBorders>
              <w:top w:val="single" w:sz="4" w:space="0" w:color="auto"/>
              <w:bottom w:val="single" w:sz="4" w:space="0" w:color="auto"/>
            </w:tcBorders>
            <w:shd w:val="clear" w:color="auto" w:fill="C5E0B3" w:themeFill="accent6" w:themeFillTint="66"/>
            <w:vAlign w:val="bottom"/>
          </w:tcPr>
          <w:p w14:paraId="722D317A" w14:textId="6385ADF4" w:rsidR="007F6686" w:rsidRPr="008C7117" w:rsidRDefault="008C7117" w:rsidP="007F6686">
            <w:pPr>
              <w:jc w:val="right"/>
              <w:rPr>
                <w:b/>
              </w:rPr>
            </w:pPr>
            <w:r w:rsidRPr="008C7117">
              <w:rPr>
                <w:b/>
              </w:rPr>
              <w:t>8</w:t>
            </w:r>
            <w:r w:rsidR="00744BBB">
              <w:rPr>
                <w:b/>
              </w:rPr>
              <w:t>4</w:t>
            </w:r>
          </w:p>
        </w:tc>
      </w:tr>
      <w:tr w:rsidR="007F6686" w:rsidRPr="000127EF" w14:paraId="52C7BE1B" w14:textId="77777777" w:rsidTr="00840EA0">
        <w:tc>
          <w:tcPr>
            <w:tcW w:w="1184" w:type="dxa"/>
            <w:tcBorders>
              <w:top w:val="single" w:sz="4" w:space="0" w:color="auto"/>
            </w:tcBorders>
          </w:tcPr>
          <w:p w14:paraId="2B1BAFE9" w14:textId="77777777" w:rsidR="007F6686" w:rsidRPr="007F6686" w:rsidRDefault="007F6686" w:rsidP="007F6686">
            <w:pPr>
              <w:jc w:val="both"/>
              <w:rPr>
                <w:i/>
              </w:rPr>
            </w:pPr>
          </w:p>
        </w:tc>
        <w:tc>
          <w:tcPr>
            <w:tcW w:w="5243" w:type="dxa"/>
          </w:tcPr>
          <w:p w14:paraId="60383DEE" w14:textId="77777777" w:rsidR="007F6686" w:rsidRPr="000127EF" w:rsidRDefault="007F6686" w:rsidP="007F6686">
            <w:pPr>
              <w:jc w:val="both"/>
            </w:pPr>
          </w:p>
        </w:tc>
        <w:tc>
          <w:tcPr>
            <w:tcW w:w="1179" w:type="dxa"/>
            <w:tcBorders>
              <w:top w:val="single" w:sz="4" w:space="0" w:color="auto"/>
            </w:tcBorders>
          </w:tcPr>
          <w:p w14:paraId="68ACCDD1" w14:textId="77777777" w:rsidR="007F6686" w:rsidRPr="008C7117" w:rsidRDefault="007F6686" w:rsidP="007F6686">
            <w:pPr>
              <w:jc w:val="both"/>
            </w:pPr>
          </w:p>
        </w:tc>
        <w:tc>
          <w:tcPr>
            <w:tcW w:w="1437" w:type="dxa"/>
            <w:tcBorders>
              <w:top w:val="single" w:sz="4" w:space="0" w:color="auto"/>
            </w:tcBorders>
          </w:tcPr>
          <w:p w14:paraId="4860BC84" w14:textId="77777777" w:rsidR="007F6686" w:rsidRPr="008C7117" w:rsidRDefault="007F6686" w:rsidP="007F6686">
            <w:pPr>
              <w:jc w:val="both"/>
            </w:pPr>
          </w:p>
        </w:tc>
        <w:tc>
          <w:tcPr>
            <w:tcW w:w="1158" w:type="dxa"/>
            <w:tcBorders>
              <w:top w:val="single" w:sz="4" w:space="0" w:color="auto"/>
            </w:tcBorders>
            <w:shd w:val="clear" w:color="auto" w:fill="C5E0B3" w:themeFill="accent6" w:themeFillTint="66"/>
          </w:tcPr>
          <w:p w14:paraId="422CFBE1" w14:textId="77777777" w:rsidR="007F6686" w:rsidRPr="008C7117" w:rsidRDefault="007F6686" w:rsidP="007F6686">
            <w:pPr>
              <w:jc w:val="both"/>
            </w:pPr>
          </w:p>
        </w:tc>
      </w:tr>
      <w:tr w:rsidR="007F6686" w:rsidRPr="000127EF" w14:paraId="2D0451AE" w14:textId="77777777" w:rsidTr="00840EA0">
        <w:tc>
          <w:tcPr>
            <w:tcW w:w="1184" w:type="dxa"/>
            <w:vAlign w:val="center"/>
          </w:tcPr>
          <w:p w14:paraId="53D4E3B4" w14:textId="77777777" w:rsidR="007F6686" w:rsidRPr="007F6686" w:rsidRDefault="007F6686" w:rsidP="007F6686">
            <w:pPr>
              <w:jc w:val="center"/>
              <w:rPr>
                <w:i/>
              </w:rPr>
            </w:pPr>
          </w:p>
        </w:tc>
        <w:tc>
          <w:tcPr>
            <w:tcW w:w="5243" w:type="dxa"/>
          </w:tcPr>
          <w:p w14:paraId="29305EB0" w14:textId="77777777" w:rsidR="007F6686" w:rsidRPr="000127EF" w:rsidRDefault="007F6686" w:rsidP="007F6686">
            <w:pPr>
              <w:jc w:val="both"/>
              <w:rPr>
                <w:b/>
              </w:rPr>
            </w:pPr>
            <w:r w:rsidRPr="000127EF">
              <w:rPr>
                <w:b/>
              </w:rPr>
              <w:t>Collection Fund Balance</w:t>
            </w:r>
          </w:p>
        </w:tc>
        <w:tc>
          <w:tcPr>
            <w:tcW w:w="1179" w:type="dxa"/>
          </w:tcPr>
          <w:p w14:paraId="3FAD47CD" w14:textId="77777777" w:rsidR="007F6686" w:rsidRPr="008C7117" w:rsidRDefault="007F6686" w:rsidP="007F6686">
            <w:pPr>
              <w:jc w:val="both"/>
            </w:pPr>
          </w:p>
        </w:tc>
        <w:tc>
          <w:tcPr>
            <w:tcW w:w="1437" w:type="dxa"/>
          </w:tcPr>
          <w:p w14:paraId="75A85059" w14:textId="77777777" w:rsidR="007F6686" w:rsidRPr="008C7117" w:rsidRDefault="007F6686" w:rsidP="007F6686">
            <w:pPr>
              <w:jc w:val="both"/>
            </w:pPr>
          </w:p>
        </w:tc>
        <w:tc>
          <w:tcPr>
            <w:tcW w:w="1158" w:type="dxa"/>
            <w:shd w:val="clear" w:color="auto" w:fill="C5E0B3" w:themeFill="accent6" w:themeFillTint="66"/>
            <w:vAlign w:val="center"/>
          </w:tcPr>
          <w:p w14:paraId="551F4E1B" w14:textId="77777777" w:rsidR="007F6686" w:rsidRPr="008C7117" w:rsidRDefault="007F6686" w:rsidP="007F6686">
            <w:pPr>
              <w:jc w:val="center"/>
            </w:pPr>
          </w:p>
        </w:tc>
      </w:tr>
      <w:tr w:rsidR="007F6686" w:rsidRPr="000127EF" w14:paraId="20C668DE" w14:textId="77777777" w:rsidTr="00840EA0">
        <w:trPr>
          <w:trHeight w:val="570"/>
        </w:trPr>
        <w:tc>
          <w:tcPr>
            <w:tcW w:w="1184" w:type="dxa"/>
          </w:tcPr>
          <w:p w14:paraId="19BE3AF5" w14:textId="4CE123DF" w:rsidR="007F6686" w:rsidRPr="007F6686" w:rsidRDefault="007F6686" w:rsidP="007F6686">
            <w:pPr>
              <w:jc w:val="right"/>
              <w:rPr>
                <w:i/>
              </w:rPr>
            </w:pPr>
            <w:r w:rsidRPr="007F6686">
              <w:rPr>
                <w:i/>
              </w:rPr>
              <w:fldChar w:fldCharType="begin"/>
            </w:r>
            <w:r w:rsidRPr="007F6686">
              <w:rPr>
                <w:i/>
              </w:rPr>
              <w:instrText xml:space="preserve"> =SUM(c44:d44) </w:instrText>
            </w:r>
            <w:r w:rsidRPr="007F6686">
              <w:rPr>
                <w:i/>
              </w:rPr>
              <w:fldChar w:fldCharType="separate"/>
            </w:r>
            <w:r w:rsidRPr="007F6686">
              <w:rPr>
                <w:i/>
                <w:noProof/>
              </w:rPr>
              <w:t>878</w:t>
            </w:r>
            <w:r w:rsidRPr="007F6686">
              <w:rPr>
                <w:i/>
              </w:rPr>
              <w:fldChar w:fldCharType="end"/>
            </w:r>
          </w:p>
        </w:tc>
        <w:tc>
          <w:tcPr>
            <w:tcW w:w="5243" w:type="dxa"/>
          </w:tcPr>
          <w:p w14:paraId="31E88C11" w14:textId="77777777" w:rsidR="007F6686" w:rsidRPr="000127EF" w:rsidRDefault="007F6686" w:rsidP="007F6686">
            <w:pPr>
              <w:spacing w:line="480" w:lineRule="auto"/>
            </w:pPr>
            <w:r w:rsidRPr="000127EF">
              <w:t>(Surplus)/Deficit B/Fwd 1 April</w:t>
            </w:r>
          </w:p>
        </w:tc>
        <w:tc>
          <w:tcPr>
            <w:tcW w:w="1179" w:type="dxa"/>
          </w:tcPr>
          <w:p w14:paraId="41523175" w14:textId="720EA195" w:rsidR="007F6686" w:rsidRPr="008C7117" w:rsidRDefault="000215B2" w:rsidP="007F6686">
            <w:pPr>
              <w:jc w:val="right"/>
            </w:pPr>
            <w:r w:rsidRPr="008C7117">
              <w:t>(9</w:t>
            </w:r>
            <w:r w:rsidR="00744BBB">
              <w:t>3</w:t>
            </w:r>
            <w:r w:rsidRPr="008C7117">
              <w:t>)</w:t>
            </w:r>
          </w:p>
        </w:tc>
        <w:tc>
          <w:tcPr>
            <w:tcW w:w="1437" w:type="dxa"/>
          </w:tcPr>
          <w:p w14:paraId="094021B6" w14:textId="721B0E32" w:rsidR="007F6686" w:rsidRPr="008C7117" w:rsidRDefault="00E75D5A" w:rsidP="007F6686">
            <w:pPr>
              <w:jc w:val="right"/>
            </w:pPr>
            <w:r w:rsidRPr="008C7117">
              <w:t>125</w:t>
            </w:r>
          </w:p>
        </w:tc>
        <w:tc>
          <w:tcPr>
            <w:tcW w:w="1158" w:type="dxa"/>
            <w:shd w:val="clear" w:color="auto" w:fill="C5E0B3" w:themeFill="accent6" w:themeFillTint="66"/>
          </w:tcPr>
          <w:p w14:paraId="7C59EC2D" w14:textId="286F0BB2" w:rsidR="007F6686" w:rsidRPr="008C7117" w:rsidRDefault="008C7117" w:rsidP="007F6686">
            <w:pPr>
              <w:jc w:val="right"/>
            </w:pPr>
            <w:r w:rsidRPr="008C7117">
              <w:t>3</w:t>
            </w:r>
            <w:r w:rsidR="003848BE">
              <w:t>2</w:t>
            </w:r>
          </w:p>
        </w:tc>
      </w:tr>
      <w:tr w:rsidR="007F6686" w:rsidRPr="000127EF" w14:paraId="04C89372" w14:textId="77777777" w:rsidTr="00840EA0">
        <w:tc>
          <w:tcPr>
            <w:tcW w:w="1184" w:type="dxa"/>
            <w:tcBorders>
              <w:bottom w:val="single" w:sz="4" w:space="0" w:color="auto"/>
            </w:tcBorders>
            <w:vAlign w:val="center"/>
          </w:tcPr>
          <w:p w14:paraId="76B1E37D" w14:textId="07B002E4" w:rsidR="007F6686" w:rsidRPr="007F6686" w:rsidRDefault="007F6686" w:rsidP="007F6686">
            <w:pPr>
              <w:jc w:val="right"/>
              <w:rPr>
                <w:i/>
              </w:rPr>
            </w:pPr>
            <w:r w:rsidRPr="007F6686">
              <w:rPr>
                <w:i/>
              </w:rPr>
              <w:fldChar w:fldCharType="begin"/>
            </w:r>
            <w:r w:rsidRPr="007F6686">
              <w:rPr>
                <w:i/>
              </w:rPr>
              <w:instrText xml:space="preserve"> =SUM(c45,d45) </w:instrText>
            </w:r>
            <w:r w:rsidRPr="007F6686">
              <w:rPr>
                <w:i/>
              </w:rPr>
              <w:fldChar w:fldCharType="separate"/>
            </w:r>
            <w:r w:rsidRPr="007F6686">
              <w:rPr>
                <w:i/>
                <w:noProof/>
              </w:rPr>
              <w:t>(846)</w:t>
            </w:r>
            <w:r w:rsidRPr="007F6686">
              <w:rPr>
                <w:i/>
              </w:rPr>
              <w:fldChar w:fldCharType="end"/>
            </w:r>
          </w:p>
        </w:tc>
        <w:tc>
          <w:tcPr>
            <w:tcW w:w="5243" w:type="dxa"/>
            <w:vMerge w:val="restart"/>
          </w:tcPr>
          <w:p w14:paraId="0BEF428C" w14:textId="7849AAF8" w:rsidR="007F6686" w:rsidRPr="000127EF" w:rsidRDefault="007F6686" w:rsidP="007F6686">
            <w:pPr>
              <w:jc w:val="both"/>
            </w:pPr>
            <w:r w:rsidRPr="000127EF">
              <w:t>(Surplus)/Deficit Arising During the Year</w:t>
            </w:r>
          </w:p>
          <w:p w14:paraId="74D89BAB" w14:textId="77777777" w:rsidR="007F6686" w:rsidRPr="000127EF" w:rsidRDefault="007F6686" w:rsidP="007F6686">
            <w:pPr>
              <w:jc w:val="both"/>
            </w:pPr>
            <w:r w:rsidRPr="000127EF">
              <w:rPr>
                <w:b/>
              </w:rPr>
              <w:t>(Surplus)/Deficit C/Fwd 31 March</w:t>
            </w:r>
          </w:p>
        </w:tc>
        <w:tc>
          <w:tcPr>
            <w:tcW w:w="1179" w:type="dxa"/>
            <w:tcBorders>
              <w:bottom w:val="single" w:sz="4" w:space="0" w:color="auto"/>
            </w:tcBorders>
          </w:tcPr>
          <w:p w14:paraId="34D8F2C5" w14:textId="23216C95" w:rsidR="007F6686" w:rsidRPr="008C7117" w:rsidRDefault="00744BBB" w:rsidP="007F6686">
            <w:pPr>
              <w:jc w:val="right"/>
            </w:pPr>
            <w:r>
              <w:t>7</w:t>
            </w:r>
          </w:p>
        </w:tc>
        <w:tc>
          <w:tcPr>
            <w:tcW w:w="1437" w:type="dxa"/>
            <w:tcBorders>
              <w:bottom w:val="single" w:sz="4" w:space="0" w:color="auto"/>
            </w:tcBorders>
          </w:tcPr>
          <w:p w14:paraId="01E64EF4" w14:textId="7E3692EE" w:rsidR="007F6686" w:rsidRPr="008C7117" w:rsidRDefault="00E75D5A" w:rsidP="007F6686">
            <w:pPr>
              <w:jc w:val="right"/>
            </w:pPr>
            <w:r w:rsidRPr="008C7117">
              <w:t>77</w:t>
            </w:r>
          </w:p>
        </w:tc>
        <w:tc>
          <w:tcPr>
            <w:tcW w:w="1158" w:type="dxa"/>
            <w:tcBorders>
              <w:bottom w:val="single" w:sz="4" w:space="0" w:color="auto"/>
            </w:tcBorders>
            <w:shd w:val="clear" w:color="auto" w:fill="C5E0B3" w:themeFill="accent6" w:themeFillTint="66"/>
            <w:vAlign w:val="center"/>
          </w:tcPr>
          <w:p w14:paraId="7B6FA2E1" w14:textId="66602795" w:rsidR="007F6686" w:rsidRPr="008C7117" w:rsidRDefault="008C7117" w:rsidP="007F6686">
            <w:pPr>
              <w:jc w:val="right"/>
            </w:pPr>
            <w:r w:rsidRPr="008C7117">
              <w:t>8</w:t>
            </w:r>
            <w:r w:rsidR="00744BBB">
              <w:t>4</w:t>
            </w:r>
          </w:p>
        </w:tc>
      </w:tr>
      <w:tr w:rsidR="007F6686" w:rsidRPr="000127EF" w14:paraId="68735826" w14:textId="77777777" w:rsidTr="00840EA0">
        <w:tc>
          <w:tcPr>
            <w:tcW w:w="1184" w:type="dxa"/>
            <w:tcBorders>
              <w:top w:val="single" w:sz="4" w:space="0" w:color="auto"/>
              <w:bottom w:val="single" w:sz="4" w:space="0" w:color="auto"/>
            </w:tcBorders>
            <w:vAlign w:val="center"/>
          </w:tcPr>
          <w:p w14:paraId="1DCD30A4" w14:textId="695FB2C3" w:rsidR="007F6686" w:rsidRPr="007F6686" w:rsidRDefault="007F6686" w:rsidP="007F6686">
            <w:pPr>
              <w:jc w:val="right"/>
              <w:rPr>
                <w:b/>
                <w:i/>
              </w:rPr>
            </w:pPr>
            <w:r w:rsidRPr="007F6686">
              <w:rPr>
                <w:b/>
                <w:i/>
              </w:rPr>
              <w:fldChar w:fldCharType="begin"/>
            </w:r>
            <w:r w:rsidRPr="007F6686">
              <w:rPr>
                <w:b/>
                <w:i/>
              </w:rPr>
              <w:instrText xml:space="preserve"> =SUM(c46:d46) </w:instrText>
            </w:r>
            <w:r w:rsidRPr="007F6686">
              <w:rPr>
                <w:b/>
                <w:i/>
              </w:rPr>
              <w:fldChar w:fldCharType="separate"/>
            </w:r>
            <w:r w:rsidRPr="007F6686">
              <w:rPr>
                <w:b/>
                <w:i/>
                <w:noProof/>
              </w:rPr>
              <w:t>32</w:t>
            </w:r>
            <w:r w:rsidRPr="007F6686">
              <w:rPr>
                <w:b/>
                <w:i/>
              </w:rPr>
              <w:fldChar w:fldCharType="end"/>
            </w:r>
          </w:p>
        </w:tc>
        <w:tc>
          <w:tcPr>
            <w:tcW w:w="5243" w:type="dxa"/>
            <w:vMerge/>
          </w:tcPr>
          <w:p w14:paraId="63CFCE34" w14:textId="77777777" w:rsidR="007F6686" w:rsidRPr="000127EF" w:rsidRDefault="007F6686" w:rsidP="007F6686">
            <w:pPr>
              <w:jc w:val="both"/>
              <w:rPr>
                <w:b/>
              </w:rPr>
            </w:pPr>
          </w:p>
        </w:tc>
        <w:tc>
          <w:tcPr>
            <w:tcW w:w="1179" w:type="dxa"/>
            <w:tcBorders>
              <w:top w:val="single" w:sz="4" w:space="0" w:color="auto"/>
              <w:bottom w:val="single" w:sz="4" w:space="0" w:color="auto"/>
            </w:tcBorders>
            <w:vAlign w:val="center"/>
          </w:tcPr>
          <w:p w14:paraId="36269DCC" w14:textId="00EF96D4" w:rsidR="007F6686" w:rsidRPr="008C7117" w:rsidRDefault="000215B2" w:rsidP="007F6686">
            <w:pPr>
              <w:jc w:val="right"/>
              <w:rPr>
                <w:b/>
              </w:rPr>
            </w:pPr>
            <w:r w:rsidRPr="008C7117">
              <w:rPr>
                <w:b/>
              </w:rPr>
              <w:t>(8</w:t>
            </w:r>
            <w:r w:rsidR="00744BBB">
              <w:rPr>
                <w:b/>
              </w:rPr>
              <w:t>6</w:t>
            </w:r>
            <w:r w:rsidRPr="008C7117">
              <w:rPr>
                <w:b/>
              </w:rPr>
              <w:t>)</w:t>
            </w:r>
          </w:p>
        </w:tc>
        <w:tc>
          <w:tcPr>
            <w:tcW w:w="1437" w:type="dxa"/>
            <w:tcBorders>
              <w:top w:val="single" w:sz="4" w:space="0" w:color="auto"/>
              <w:bottom w:val="single" w:sz="4" w:space="0" w:color="auto"/>
            </w:tcBorders>
            <w:vAlign w:val="center"/>
          </w:tcPr>
          <w:p w14:paraId="02806D16" w14:textId="060315DB" w:rsidR="007F6686" w:rsidRPr="008C7117" w:rsidRDefault="00E75D5A" w:rsidP="007F6686">
            <w:pPr>
              <w:jc w:val="right"/>
              <w:rPr>
                <w:b/>
              </w:rPr>
            </w:pPr>
            <w:r w:rsidRPr="008C7117">
              <w:rPr>
                <w:b/>
              </w:rPr>
              <w:t>20</w:t>
            </w:r>
            <w:r w:rsidR="00744BBB">
              <w:rPr>
                <w:b/>
              </w:rPr>
              <w:t>2</w:t>
            </w:r>
          </w:p>
        </w:tc>
        <w:tc>
          <w:tcPr>
            <w:tcW w:w="1158" w:type="dxa"/>
            <w:tcBorders>
              <w:top w:val="single" w:sz="4" w:space="0" w:color="auto"/>
              <w:bottom w:val="single" w:sz="4" w:space="0" w:color="auto"/>
            </w:tcBorders>
            <w:shd w:val="clear" w:color="auto" w:fill="C5E0B3" w:themeFill="accent6" w:themeFillTint="66"/>
            <w:vAlign w:val="center"/>
          </w:tcPr>
          <w:p w14:paraId="13E58D88" w14:textId="2904BBD8" w:rsidR="007F6686" w:rsidRPr="008C7117" w:rsidRDefault="008C7117" w:rsidP="007F6686">
            <w:pPr>
              <w:jc w:val="right"/>
              <w:rPr>
                <w:b/>
              </w:rPr>
            </w:pPr>
            <w:r w:rsidRPr="008C7117">
              <w:rPr>
                <w:b/>
              </w:rPr>
              <w:t>11</w:t>
            </w:r>
            <w:r w:rsidR="00744BBB">
              <w:rPr>
                <w:b/>
              </w:rPr>
              <w:t>6</w:t>
            </w:r>
          </w:p>
        </w:tc>
      </w:tr>
      <w:tr w:rsidR="00086AAF" w:rsidRPr="000127EF" w14:paraId="4D8454C1" w14:textId="77777777" w:rsidTr="00840EA0">
        <w:tc>
          <w:tcPr>
            <w:tcW w:w="1184" w:type="dxa"/>
          </w:tcPr>
          <w:p w14:paraId="2C098E0F" w14:textId="77777777" w:rsidR="00086AAF" w:rsidRPr="000127EF" w:rsidRDefault="00086AAF" w:rsidP="00086AAF">
            <w:pPr>
              <w:jc w:val="both"/>
              <w:rPr>
                <w:i/>
              </w:rPr>
            </w:pPr>
          </w:p>
        </w:tc>
        <w:tc>
          <w:tcPr>
            <w:tcW w:w="5243" w:type="dxa"/>
          </w:tcPr>
          <w:p w14:paraId="059BB0A4" w14:textId="77777777" w:rsidR="00086AAF" w:rsidRPr="000127EF" w:rsidRDefault="00086AAF" w:rsidP="00086AAF">
            <w:pPr>
              <w:jc w:val="both"/>
            </w:pPr>
          </w:p>
        </w:tc>
        <w:tc>
          <w:tcPr>
            <w:tcW w:w="1179" w:type="dxa"/>
            <w:tcBorders>
              <w:top w:val="single" w:sz="4" w:space="0" w:color="auto"/>
            </w:tcBorders>
          </w:tcPr>
          <w:p w14:paraId="40D4393A" w14:textId="77777777" w:rsidR="00086AAF" w:rsidRPr="008C7117" w:rsidRDefault="00086AAF" w:rsidP="00086AAF">
            <w:pPr>
              <w:jc w:val="both"/>
            </w:pPr>
          </w:p>
        </w:tc>
        <w:tc>
          <w:tcPr>
            <w:tcW w:w="1437" w:type="dxa"/>
            <w:tcBorders>
              <w:top w:val="single" w:sz="4" w:space="0" w:color="auto"/>
            </w:tcBorders>
          </w:tcPr>
          <w:p w14:paraId="28A44202" w14:textId="77777777" w:rsidR="00086AAF" w:rsidRPr="008C7117" w:rsidRDefault="00086AAF" w:rsidP="00086AAF">
            <w:pPr>
              <w:jc w:val="both"/>
            </w:pPr>
          </w:p>
        </w:tc>
        <w:tc>
          <w:tcPr>
            <w:tcW w:w="1158" w:type="dxa"/>
            <w:tcBorders>
              <w:top w:val="single" w:sz="4" w:space="0" w:color="auto"/>
            </w:tcBorders>
            <w:shd w:val="clear" w:color="auto" w:fill="C5E0B3" w:themeFill="accent6" w:themeFillTint="66"/>
          </w:tcPr>
          <w:p w14:paraId="40851BB2" w14:textId="77777777" w:rsidR="00086AAF" w:rsidRPr="008C7117" w:rsidRDefault="00086AAF" w:rsidP="00086AAF">
            <w:pPr>
              <w:jc w:val="both"/>
            </w:pPr>
          </w:p>
        </w:tc>
      </w:tr>
    </w:tbl>
    <w:p w14:paraId="675AC940" w14:textId="77777777" w:rsidR="00244C1C" w:rsidRPr="000127EF" w:rsidRDefault="00244C1C" w:rsidP="005676B7">
      <w:pPr>
        <w:pStyle w:val="Heading1"/>
        <w:numPr>
          <w:ilvl w:val="0"/>
          <w:numId w:val="12"/>
        </w:numPr>
        <w:ind w:left="426"/>
        <w:rPr>
          <w:sz w:val="22"/>
          <w:szCs w:val="22"/>
        </w:rPr>
      </w:pPr>
      <w:r w:rsidRPr="000127EF">
        <w:rPr>
          <w:sz w:val="22"/>
          <w:szCs w:val="22"/>
        </w:rPr>
        <w:lastRenderedPageBreak/>
        <w:t>Collection Fund Overview</w:t>
      </w:r>
    </w:p>
    <w:p w14:paraId="20E78D18" w14:textId="77777777" w:rsidR="00244C1C" w:rsidRPr="000127EF" w:rsidRDefault="00244C1C" w:rsidP="00CE4257">
      <w:pPr>
        <w:spacing w:after="120"/>
      </w:pPr>
      <w:r w:rsidRPr="000127EF">
        <w:t xml:space="preserve">The Collection Fund is an agent’s statement that reflects the statutory obligation of billing authorities to maintain a separate Collection Fund. The statement shows the transactions of the billing authority in relation to the collection from taxpayers of Council Tax and Business Rates (BR) and its distribution to local government bodies and the Government. The Council, as a billing authority, has a statutory requirement to operate a Collection Fund as a separate account to the General Fund. </w:t>
      </w:r>
    </w:p>
    <w:p w14:paraId="6E1C9A52" w14:textId="77777777" w:rsidR="00244C1C" w:rsidRPr="000127EF" w:rsidRDefault="00244C1C" w:rsidP="00CE4257">
      <w:pPr>
        <w:spacing w:after="120"/>
      </w:pPr>
      <w:r w:rsidRPr="000127EF">
        <w:t>There is no requirement for a separate Collection Fund balance sheet. Instead Collection Fund balances are distributed across the balance sheet of the billing authority, the Government and precepting authorities.</w:t>
      </w:r>
    </w:p>
    <w:p w14:paraId="5A593C5D" w14:textId="2932FF5B" w:rsidR="00244C1C" w:rsidRPr="000127EF" w:rsidRDefault="00244C1C" w:rsidP="00CE4257">
      <w:pPr>
        <w:spacing w:after="120"/>
      </w:pPr>
      <w:r w:rsidRPr="000127EF">
        <w:t xml:space="preserve">In 2014/15, the local government finance regime was revised with the introduction of the retained business rates scheme. The scheme allows the Council to retain a proportion of the total BR received. Rutland County Council share is 49% with the remainder </w:t>
      </w:r>
      <w:r w:rsidR="009B3D29" w:rsidRPr="000127EF">
        <w:t xml:space="preserve">distributed </w:t>
      </w:r>
      <w:r w:rsidRPr="000127EF">
        <w:t xml:space="preserve">to </w:t>
      </w:r>
      <w:r w:rsidR="009B3D29" w:rsidRPr="000127EF">
        <w:t>other</w:t>
      </w:r>
      <w:r w:rsidRPr="000127EF">
        <w:t xml:space="preserve"> bodies. For </w:t>
      </w:r>
      <w:r w:rsidR="009B3D29" w:rsidRPr="000127EF">
        <w:t>Rutland</w:t>
      </w:r>
      <w:r w:rsidRPr="000127EF">
        <w:t xml:space="preserve"> the </w:t>
      </w:r>
      <w:r w:rsidR="003E6022" w:rsidRPr="000127EF">
        <w:t>BR bodies</w:t>
      </w:r>
      <w:r w:rsidRPr="000127EF">
        <w:t xml:space="preserve"> are Central Government (50% share) and The </w:t>
      </w:r>
      <w:r w:rsidR="009B3D29" w:rsidRPr="000127EF">
        <w:t xml:space="preserve">Leicestershire Fire Authority </w:t>
      </w:r>
      <w:r w:rsidRPr="000127EF">
        <w:t>(1% share).</w:t>
      </w:r>
    </w:p>
    <w:p w14:paraId="2C6DB04D" w14:textId="77777777" w:rsidR="00244C1C" w:rsidRPr="000127EF" w:rsidRDefault="00244C1C" w:rsidP="00CE4257">
      <w:pPr>
        <w:spacing w:after="120"/>
      </w:pPr>
      <w:r w:rsidRPr="000127EF">
        <w:t>In its Spending Review the Government announced that it would localise support for Council Tax from April 2013, this meant that there would no longer be a nationally governed Council Tax Benefit (CTB) scheme and each</w:t>
      </w:r>
      <w:r w:rsidR="009B3D29" w:rsidRPr="000127EF">
        <w:t xml:space="preserve"> council set their own schemes.</w:t>
      </w:r>
    </w:p>
    <w:p w14:paraId="07113EC3" w14:textId="77777777" w:rsidR="009B3D29" w:rsidRPr="000127EF" w:rsidRDefault="009B3D29" w:rsidP="005676B7">
      <w:pPr>
        <w:pStyle w:val="Heading1"/>
        <w:numPr>
          <w:ilvl w:val="0"/>
          <w:numId w:val="12"/>
        </w:numPr>
        <w:ind w:left="426"/>
        <w:rPr>
          <w:sz w:val="22"/>
          <w:szCs w:val="22"/>
        </w:rPr>
      </w:pPr>
      <w:r w:rsidRPr="000127EF">
        <w:rPr>
          <w:sz w:val="22"/>
          <w:szCs w:val="22"/>
        </w:rPr>
        <w:t>Business Rates</w:t>
      </w:r>
    </w:p>
    <w:p w14:paraId="3BA16893" w14:textId="1B5118B1" w:rsidR="009B3D29" w:rsidRPr="00E75D5A" w:rsidRDefault="009B3D29" w:rsidP="00CE4257">
      <w:pPr>
        <w:spacing w:after="120"/>
      </w:pPr>
      <w:r w:rsidRPr="00E75D5A">
        <w:t>The total non-domestic rateable value as at 31 March 20</w:t>
      </w:r>
      <w:r w:rsidR="00E75D5A" w:rsidRPr="00E75D5A">
        <w:t>20</w:t>
      </w:r>
      <w:r w:rsidRPr="00E75D5A">
        <w:t xml:space="preserve"> was £</w:t>
      </w:r>
      <w:r w:rsidR="00CC6147" w:rsidRPr="00E75D5A">
        <w:t>3</w:t>
      </w:r>
      <w:r w:rsidR="00E75D5A" w:rsidRPr="00E75D5A">
        <w:t>3</w:t>
      </w:r>
      <w:r w:rsidR="00744BBB">
        <w:t>.0</w:t>
      </w:r>
      <w:r w:rsidR="0014616B" w:rsidRPr="00E75D5A">
        <w:t xml:space="preserve"> </w:t>
      </w:r>
      <w:r w:rsidRPr="00E75D5A">
        <w:t>million (31 March 201</w:t>
      </w:r>
      <w:r w:rsidR="00E75D5A" w:rsidRPr="00E75D5A">
        <w:t>9</w:t>
      </w:r>
      <w:r w:rsidRPr="00E75D5A">
        <w:t xml:space="preserve"> - £</w:t>
      </w:r>
      <w:r w:rsidR="00F63C14" w:rsidRPr="00E75D5A">
        <w:t>32</w:t>
      </w:r>
      <w:r w:rsidRPr="00E75D5A">
        <w:t>.</w:t>
      </w:r>
      <w:r w:rsidR="00E75D5A" w:rsidRPr="00E75D5A">
        <w:t>500</w:t>
      </w:r>
      <w:r w:rsidRPr="00E75D5A">
        <w:t xml:space="preserve"> million).</w:t>
      </w:r>
    </w:p>
    <w:p w14:paraId="3A35AFE9" w14:textId="07B09F06" w:rsidR="009B3D29" w:rsidRPr="000127EF" w:rsidRDefault="009B3D29" w:rsidP="00CE4257">
      <w:pPr>
        <w:spacing w:after="120"/>
      </w:pPr>
      <w:r w:rsidRPr="00E75D5A">
        <w:t>The standard BR multiplier for 201</w:t>
      </w:r>
      <w:r w:rsidR="00E75D5A" w:rsidRPr="00E75D5A">
        <w:t>9/20</w:t>
      </w:r>
      <w:r w:rsidRPr="00E75D5A">
        <w:t xml:space="preserve"> was </w:t>
      </w:r>
      <w:r w:rsidR="00E75D5A" w:rsidRPr="00E75D5A">
        <w:t>50.4</w:t>
      </w:r>
      <w:r w:rsidRPr="00E75D5A">
        <w:t xml:space="preserve"> pence (201</w:t>
      </w:r>
      <w:r w:rsidR="00E75D5A" w:rsidRPr="00E75D5A">
        <w:t>8</w:t>
      </w:r>
      <w:r w:rsidRPr="00E75D5A">
        <w:t>/1</w:t>
      </w:r>
      <w:r w:rsidR="00E75D5A" w:rsidRPr="00E75D5A">
        <w:t>9</w:t>
      </w:r>
      <w:r w:rsidRPr="00E75D5A">
        <w:t xml:space="preserve"> – 4</w:t>
      </w:r>
      <w:r w:rsidR="00E75D5A" w:rsidRPr="00E75D5A">
        <w:t>9.3</w:t>
      </w:r>
      <w:r w:rsidRPr="00E75D5A">
        <w:t xml:space="preserve"> pence).  The small business multiplier for 201</w:t>
      </w:r>
      <w:r w:rsidR="00E75D5A" w:rsidRPr="00E75D5A">
        <w:t>8</w:t>
      </w:r>
      <w:r w:rsidRPr="00E75D5A">
        <w:t>/1</w:t>
      </w:r>
      <w:r w:rsidR="00E75D5A" w:rsidRPr="00E75D5A">
        <w:t>9</w:t>
      </w:r>
      <w:r w:rsidRPr="00E75D5A">
        <w:t xml:space="preserve"> was 4</w:t>
      </w:r>
      <w:r w:rsidR="00E75D5A" w:rsidRPr="00E75D5A">
        <w:t>9</w:t>
      </w:r>
      <w:r w:rsidR="00F63C14" w:rsidRPr="00E75D5A">
        <w:t>.</w:t>
      </w:r>
      <w:r w:rsidR="00E75D5A" w:rsidRPr="00E75D5A">
        <w:t>1</w:t>
      </w:r>
      <w:r w:rsidR="00F63C14" w:rsidRPr="00E75D5A">
        <w:t>0</w:t>
      </w:r>
      <w:r w:rsidRPr="00E75D5A">
        <w:t xml:space="preserve"> pence (201</w:t>
      </w:r>
      <w:r w:rsidR="00E75D5A" w:rsidRPr="00E75D5A">
        <w:t>8</w:t>
      </w:r>
      <w:r w:rsidRPr="00E75D5A">
        <w:t>/1</w:t>
      </w:r>
      <w:r w:rsidR="00E75D5A" w:rsidRPr="00E75D5A">
        <w:t>9</w:t>
      </w:r>
      <w:r w:rsidRPr="00E75D5A">
        <w:t xml:space="preserve"> 4</w:t>
      </w:r>
      <w:r w:rsidR="00E75D5A" w:rsidRPr="00E75D5A">
        <w:t>8.00</w:t>
      </w:r>
      <w:r w:rsidR="00F63C14" w:rsidRPr="00E75D5A">
        <w:t xml:space="preserve"> </w:t>
      </w:r>
      <w:r w:rsidRPr="00E75D5A">
        <w:t>pence).</w:t>
      </w:r>
    </w:p>
    <w:p w14:paraId="38AA55B0" w14:textId="77777777" w:rsidR="009B3D29" w:rsidRPr="000127EF" w:rsidRDefault="009B3D29" w:rsidP="005676B7">
      <w:pPr>
        <w:pStyle w:val="Heading1"/>
        <w:numPr>
          <w:ilvl w:val="0"/>
          <w:numId w:val="12"/>
        </w:numPr>
        <w:ind w:left="426"/>
        <w:rPr>
          <w:sz w:val="22"/>
          <w:szCs w:val="22"/>
        </w:rPr>
      </w:pPr>
      <w:r w:rsidRPr="000127EF">
        <w:rPr>
          <w:sz w:val="22"/>
          <w:szCs w:val="22"/>
        </w:rPr>
        <w:t>Council Tax</w:t>
      </w:r>
    </w:p>
    <w:p w14:paraId="79A604D2" w14:textId="20B8B409" w:rsidR="009B3D29" w:rsidRPr="000127EF" w:rsidRDefault="009B3D29" w:rsidP="00CE4257">
      <w:pPr>
        <w:spacing w:after="120"/>
      </w:pPr>
      <w:r w:rsidRPr="000127EF">
        <w:t>The Council's tax base, i.e. the number of chargeable dwellings in each valuation band (adjusted for dwellings where discounts apply) converted to an equivalent number of band D dwellings for 201</w:t>
      </w:r>
      <w:r w:rsidR="002C4A07" w:rsidRPr="000127EF">
        <w:t>8</w:t>
      </w:r>
      <w:r w:rsidRPr="000127EF">
        <w:t>/1</w:t>
      </w:r>
      <w:r w:rsidR="002C4A07" w:rsidRPr="000127EF">
        <w:t>9</w:t>
      </w:r>
      <w:r w:rsidRPr="000127EF">
        <w:t xml:space="preserve"> is calculated as follows:</w:t>
      </w:r>
    </w:p>
    <w:tbl>
      <w:tblPr>
        <w:tblStyle w:val="TableGrid"/>
        <w:tblW w:w="8624" w:type="dxa"/>
        <w:jc w:val="center"/>
        <w:tbl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insideH w:val="none" w:sz="0" w:space="0" w:color="auto"/>
          <w:insideV w:val="none" w:sz="0" w:space="0" w:color="auto"/>
        </w:tblBorders>
        <w:tblLook w:val="04A0" w:firstRow="1" w:lastRow="0" w:firstColumn="1" w:lastColumn="0" w:noHBand="0" w:noVBand="1"/>
      </w:tblPr>
      <w:tblGrid>
        <w:gridCol w:w="1604"/>
        <w:gridCol w:w="2535"/>
        <w:gridCol w:w="899"/>
        <w:gridCol w:w="2190"/>
        <w:gridCol w:w="1396"/>
      </w:tblGrid>
      <w:tr w:rsidR="00FE5798" w:rsidRPr="000127EF" w14:paraId="62E2FC2B" w14:textId="77777777" w:rsidTr="008C7EF5">
        <w:trPr>
          <w:jc w:val="center"/>
        </w:trPr>
        <w:tc>
          <w:tcPr>
            <w:tcW w:w="1604" w:type="dxa"/>
            <w:tcBorders>
              <w:top w:val="single" w:sz="18" w:space="0" w:color="C5E0B3" w:themeColor="accent6" w:themeTint="66"/>
            </w:tcBorders>
          </w:tcPr>
          <w:p w14:paraId="7113DBDB" w14:textId="27518B44" w:rsidR="00AD650A" w:rsidRPr="000127EF" w:rsidRDefault="0063603D" w:rsidP="00AD650A">
            <w:pPr>
              <w:jc w:val="center"/>
              <w:rPr>
                <w:b/>
                <w:i/>
              </w:rPr>
            </w:pPr>
            <w:r w:rsidRPr="000127EF">
              <w:rPr>
                <w:b/>
                <w:i/>
              </w:rPr>
              <w:t>201</w:t>
            </w:r>
            <w:r w:rsidR="009A3034">
              <w:rPr>
                <w:b/>
                <w:i/>
              </w:rPr>
              <w:t>8</w:t>
            </w:r>
            <w:r w:rsidRPr="000127EF">
              <w:rPr>
                <w:b/>
                <w:i/>
              </w:rPr>
              <w:t>/1</w:t>
            </w:r>
            <w:r w:rsidR="009A3034">
              <w:rPr>
                <w:b/>
                <w:i/>
              </w:rPr>
              <w:t>9</w:t>
            </w:r>
          </w:p>
          <w:p w14:paraId="21E64C3C" w14:textId="77777777" w:rsidR="00AD650A" w:rsidRPr="000127EF" w:rsidRDefault="00AD650A" w:rsidP="00AD650A">
            <w:pPr>
              <w:jc w:val="center"/>
              <w:rPr>
                <w:b/>
                <w:i/>
              </w:rPr>
            </w:pPr>
            <w:r w:rsidRPr="000127EF">
              <w:rPr>
                <w:b/>
                <w:i/>
              </w:rPr>
              <w:t>Band D Equivalent</w:t>
            </w:r>
          </w:p>
        </w:tc>
        <w:tc>
          <w:tcPr>
            <w:tcW w:w="2535" w:type="dxa"/>
            <w:tcBorders>
              <w:top w:val="single" w:sz="18" w:space="0" w:color="C5E0B3" w:themeColor="accent6" w:themeTint="66"/>
            </w:tcBorders>
          </w:tcPr>
          <w:p w14:paraId="1B074E06" w14:textId="77777777" w:rsidR="00AD650A" w:rsidRPr="000127EF" w:rsidRDefault="00AD650A" w:rsidP="00AD650A">
            <w:pPr>
              <w:jc w:val="center"/>
              <w:rPr>
                <w:b/>
              </w:rPr>
            </w:pPr>
            <w:r w:rsidRPr="000127EF">
              <w:rPr>
                <w:b/>
              </w:rPr>
              <w:t>Band</w:t>
            </w:r>
          </w:p>
        </w:tc>
        <w:tc>
          <w:tcPr>
            <w:tcW w:w="899" w:type="dxa"/>
            <w:tcBorders>
              <w:top w:val="single" w:sz="18" w:space="0" w:color="C5E0B3" w:themeColor="accent6" w:themeTint="66"/>
            </w:tcBorders>
          </w:tcPr>
          <w:p w14:paraId="024906D0" w14:textId="77777777" w:rsidR="00AD650A" w:rsidRPr="000127EF" w:rsidRDefault="00AD650A" w:rsidP="00AD650A">
            <w:pPr>
              <w:jc w:val="center"/>
              <w:rPr>
                <w:b/>
              </w:rPr>
            </w:pPr>
            <w:r w:rsidRPr="000127EF">
              <w:rPr>
                <w:b/>
              </w:rPr>
              <w:t>Ratio</w:t>
            </w:r>
          </w:p>
        </w:tc>
        <w:tc>
          <w:tcPr>
            <w:tcW w:w="2190" w:type="dxa"/>
            <w:tcBorders>
              <w:top w:val="single" w:sz="18" w:space="0" w:color="C5E0B3" w:themeColor="accent6" w:themeTint="66"/>
            </w:tcBorders>
          </w:tcPr>
          <w:p w14:paraId="469709BE" w14:textId="77777777" w:rsidR="00AD650A" w:rsidRPr="000215B2" w:rsidRDefault="00AD650A" w:rsidP="00AD650A">
            <w:pPr>
              <w:jc w:val="center"/>
              <w:rPr>
                <w:b/>
              </w:rPr>
            </w:pPr>
            <w:r w:rsidRPr="000215B2">
              <w:rPr>
                <w:b/>
              </w:rPr>
              <w:t>Number of Chargeable Dwellings</w:t>
            </w:r>
          </w:p>
        </w:tc>
        <w:tc>
          <w:tcPr>
            <w:tcW w:w="1396" w:type="dxa"/>
            <w:tcBorders>
              <w:top w:val="single" w:sz="18" w:space="0" w:color="C5E0B3" w:themeColor="accent6" w:themeTint="66"/>
            </w:tcBorders>
          </w:tcPr>
          <w:p w14:paraId="2B5D9000" w14:textId="776CA220" w:rsidR="00AD650A" w:rsidRPr="000215B2" w:rsidRDefault="0063603D" w:rsidP="00AD650A">
            <w:pPr>
              <w:jc w:val="center"/>
              <w:rPr>
                <w:b/>
              </w:rPr>
            </w:pPr>
            <w:r w:rsidRPr="000215B2">
              <w:rPr>
                <w:b/>
              </w:rPr>
              <w:t>20</w:t>
            </w:r>
            <w:r w:rsidR="009A3034" w:rsidRPr="000215B2">
              <w:rPr>
                <w:b/>
              </w:rPr>
              <w:t>19</w:t>
            </w:r>
            <w:r w:rsidRPr="000215B2">
              <w:rPr>
                <w:b/>
              </w:rPr>
              <w:t>/</w:t>
            </w:r>
            <w:r w:rsidR="009A3034" w:rsidRPr="000215B2">
              <w:rPr>
                <w:b/>
              </w:rPr>
              <w:t>20</w:t>
            </w:r>
          </w:p>
          <w:p w14:paraId="3F6A0F8A" w14:textId="77777777" w:rsidR="00AD650A" w:rsidRPr="000215B2" w:rsidRDefault="00AD650A" w:rsidP="00AD650A">
            <w:pPr>
              <w:jc w:val="center"/>
              <w:rPr>
                <w:b/>
              </w:rPr>
            </w:pPr>
            <w:r w:rsidRPr="000215B2">
              <w:rPr>
                <w:b/>
              </w:rPr>
              <w:t>Band D Equivalent</w:t>
            </w:r>
          </w:p>
        </w:tc>
      </w:tr>
      <w:tr w:rsidR="00A72EAD" w:rsidRPr="000127EF" w14:paraId="4090DD09" w14:textId="77777777" w:rsidTr="00093EDD">
        <w:trPr>
          <w:jc w:val="center"/>
        </w:trPr>
        <w:tc>
          <w:tcPr>
            <w:tcW w:w="1604" w:type="dxa"/>
          </w:tcPr>
          <w:p w14:paraId="38F0F20F" w14:textId="15ADCEEE" w:rsidR="00A72EAD" w:rsidRPr="000127EF" w:rsidRDefault="00A72EAD" w:rsidP="00A72EAD">
            <w:pPr>
              <w:jc w:val="right"/>
              <w:rPr>
                <w:i/>
              </w:rPr>
            </w:pPr>
            <w:r w:rsidRPr="000127EF">
              <w:rPr>
                <w:i/>
              </w:rPr>
              <w:t>2.</w:t>
            </w:r>
            <w:r w:rsidR="009A3034">
              <w:rPr>
                <w:i/>
              </w:rPr>
              <w:t>91</w:t>
            </w:r>
          </w:p>
        </w:tc>
        <w:tc>
          <w:tcPr>
            <w:tcW w:w="2535" w:type="dxa"/>
          </w:tcPr>
          <w:p w14:paraId="0E830DA2" w14:textId="77777777" w:rsidR="00A72EAD" w:rsidRPr="000127EF" w:rsidRDefault="00A72EAD" w:rsidP="00A72EAD">
            <w:pPr>
              <w:jc w:val="center"/>
            </w:pPr>
            <w:r w:rsidRPr="000127EF">
              <w:t>A (with Disabled Relief)</w:t>
            </w:r>
          </w:p>
        </w:tc>
        <w:tc>
          <w:tcPr>
            <w:tcW w:w="899" w:type="dxa"/>
          </w:tcPr>
          <w:p w14:paraId="54AEADB5" w14:textId="77777777" w:rsidR="00A72EAD" w:rsidRPr="000127EF" w:rsidRDefault="00A72EAD" w:rsidP="00A72EAD">
            <w:pPr>
              <w:jc w:val="center"/>
            </w:pPr>
            <w:r w:rsidRPr="000127EF">
              <w:t>5/9</w:t>
            </w:r>
          </w:p>
        </w:tc>
        <w:tc>
          <w:tcPr>
            <w:tcW w:w="2190" w:type="dxa"/>
          </w:tcPr>
          <w:p w14:paraId="4C4AD8E3" w14:textId="211D35CB" w:rsidR="00A72EAD" w:rsidRPr="000215B2" w:rsidRDefault="000215B2" w:rsidP="00A72EAD">
            <w:pPr>
              <w:jc w:val="right"/>
            </w:pPr>
            <w:r w:rsidRPr="000215B2">
              <w:t>4.49</w:t>
            </w:r>
          </w:p>
        </w:tc>
        <w:tc>
          <w:tcPr>
            <w:tcW w:w="1396" w:type="dxa"/>
          </w:tcPr>
          <w:p w14:paraId="6E6F5806" w14:textId="66AA52EB" w:rsidR="00A72EAD" w:rsidRPr="000215B2" w:rsidRDefault="000215B2" w:rsidP="00196E5E">
            <w:pPr>
              <w:jc w:val="right"/>
            </w:pPr>
            <w:r w:rsidRPr="000215B2">
              <w:t>2.50</w:t>
            </w:r>
          </w:p>
        </w:tc>
      </w:tr>
      <w:tr w:rsidR="00A72EAD" w:rsidRPr="000127EF" w14:paraId="70831FF0" w14:textId="77777777" w:rsidTr="00093EDD">
        <w:trPr>
          <w:jc w:val="center"/>
        </w:trPr>
        <w:tc>
          <w:tcPr>
            <w:tcW w:w="1604" w:type="dxa"/>
          </w:tcPr>
          <w:p w14:paraId="107C69AE" w14:textId="22313E85" w:rsidR="00A72EAD" w:rsidRPr="000127EF" w:rsidRDefault="009A3034" w:rsidP="00A72EAD">
            <w:pPr>
              <w:jc w:val="right"/>
              <w:rPr>
                <w:i/>
              </w:rPr>
            </w:pPr>
            <w:r>
              <w:rPr>
                <w:i/>
              </w:rPr>
              <w:t>753.54</w:t>
            </w:r>
          </w:p>
        </w:tc>
        <w:tc>
          <w:tcPr>
            <w:tcW w:w="2535" w:type="dxa"/>
          </w:tcPr>
          <w:p w14:paraId="0FEEEFA9" w14:textId="77777777" w:rsidR="00A72EAD" w:rsidRPr="000127EF" w:rsidRDefault="00A72EAD" w:rsidP="00A72EAD">
            <w:pPr>
              <w:jc w:val="center"/>
            </w:pPr>
            <w:r w:rsidRPr="000127EF">
              <w:t>A</w:t>
            </w:r>
          </w:p>
        </w:tc>
        <w:tc>
          <w:tcPr>
            <w:tcW w:w="899" w:type="dxa"/>
          </w:tcPr>
          <w:p w14:paraId="5C6CE9C1" w14:textId="77777777" w:rsidR="00A72EAD" w:rsidRPr="000127EF" w:rsidRDefault="00A72EAD" w:rsidP="00A72EAD">
            <w:pPr>
              <w:jc w:val="center"/>
            </w:pPr>
            <w:r w:rsidRPr="000127EF">
              <w:t>6/9</w:t>
            </w:r>
          </w:p>
        </w:tc>
        <w:tc>
          <w:tcPr>
            <w:tcW w:w="2190" w:type="dxa"/>
          </w:tcPr>
          <w:p w14:paraId="59507644" w14:textId="4B6AFEF9" w:rsidR="00A72EAD" w:rsidRPr="000215B2" w:rsidRDefault="000215B2" w:rsidP="00EF5757">
            <w:pPr>
              <w:jc w:val="right"/>
            </w:pPr>
            <w:r w:rsidRPr="000215B2">
              <w:t>1,056.83</w:t>
            </w:r>
          </w:p>
        </w:tc>
        <w:tc>
          <w:tcPr>
            <w:tcW w:w="1396" w:type="dxa"/>
          </w:tcPr>
          <w:p w14:paraId="7ED5F0C8" w14:textId="0E5A47C3" w:rsidR="00A72EAD" w:rsidRPr="000215B2" w:rsidRDefault="000215B2" w:rsidP="00A72EAD">
            <w:pPr>
              <w:jc w:val="right"/>
            </w:pPr>
            <w:r w:rsidRPr="000215B2">
              <w:t>705.75</w:t>
            </w:r>
          </w:p>
        </w:tc>
      </w:tr>
      <w:tr w:rsidR="00A72EAD" w:rsidRPr="000127EF" w14:paraId="176E5AAA" w14:textId="77777777" w:rsidTr="00093EDD">
        <w:trPr>
          <w:jc w:val="center"/>
        </w:trPr>
        <w:tc>
          <w:tcPr>
            <w:tcW w:w="1604" w:type="dxa"/>
          </w:tcPr>
          <w:p w14:paraId="716D40FB" w14:textId="78B9304B" w:rsidR="00A72EAD" w:rsidRPr="000127EF" w:rsidRDefault="009A3034" w:rsidP="009A3034">
            <w:pPr>
              <w:jc w:val="right"/>
              <w:rPr>
                <w:i/>
              </w:rPr>
            </w:pPr>
            <w:r>
              <w:rPr>
                <w:i/>
              </w:rPr>
              <w:t>2,539.46</w:t>
            </w:r>
          </w:p>
        </w:tc>
        <w:tc>
          <w:tcPr>
            <w:tcW w:w="2535" w:type="dxa"/>
          </w:tcPr>
          <w:p w14:paraId="0762D4B3" w14:textId="77777777" w:rsidR="00A72EAD" w:rsidRPr="000127EF" w:rsidRDefault="00A72EAD" w:rsidP="00A72EAD">
            <w:pPr>
              <w:jc w:val="center"/>
            </w:pPr>
            <w:r w:rsidRPr="000127EF">
              <w:t>B</w:t>
            </w:r>
          </w:p>
        </w:tc>
        <w:tc>
          <w:tcPr>
            <w:tcW w:w="899" w:type="dxa"/>
          </w:tcPr>
          <w:p w14:paraId="75867FB6" w14:textId="77777777" w:rsidR="00A72EAD" w:rsidRPr="000127EF" w:rsidRDefault="00A72EAD" w:rsidP="00A72EAD">
            <w:pPr>
              <w:jc w:val="center"/>
            </w:pPr>
            <w:r w:rsidRPr="000127EF">
              <w:t>7/9</w:t>
            </w:r>
          </w:p>
        </w:tc>
        <w:tc>
          <w:tcPr>
            <w:tcW w:w="2190" w:type="dxa"/>
          </w:tcPr>
          <w:p w14:paraId="43DE5B28" w14:textId="6FA29640" w:rsidR="00A72EAD" w:rsidRPr="000215B2" w:rsidRDefault="000215B2" w:rsidP="00A72EAD">
            <w:pPr>
              <w:jc w:val="right"/>
            </w:pPr>
            <w:r w:rsidRPr="000215B2">
              <w:t>3,284.32</w:t>
            </w:r>
          </w:p>
        </w:tc>
        <w:tc>
          <w:tcPr>
            <w:tcW w:w="1396" w:type="dxa"/>
          </w:tcPr>
          <w:p w14:paraId="445BF90E" w14:textId="094428ED" w:rsidR="00A72EAD" w:rsidRPr="000215B2" w:rsidRDefault="000215B2" w:rsidP="00A72EAD">
            <w:pPr>
              <w:jc w:val="right"/>
            </w:pPr>
            <w:r w:rsidRPr="000215B2">
              <w:t>2,564.74</w:t>
            </w:r>
          </w:p>
        </w:tc>
      </w:tr>
      <w:tr w:rsidR="00A72EAD" w:rsidRPr="000127EF" w14:paraId="6AD3E30D" w14:textId="77777777" w:rsidTr="00093EDD">
        <w:trPr>
          <w:jc w:val="center"/>
        </w:trPr>
        <w:tc>
          <w:tcPr>
            <w:tcW w:w="1604" w:type="dxa"/>
          </w:tcPr>
          <w:p w14:paraId="7F98F7A8" w14:textId="79F5EA57" w:rsidR="00A72EAD" w:rsidRPr="000127EF" w:rsidRDefault="00A72EAD" w:rsidP="00A72EAD">
            <w:pPr>
              <w:jc w:val="right"/>
              <w:rPr>
                <w:i/>
              </w:rPr>
            </w:pPr>
            <w:r w:rsidRPr="000127EF">
              <w:rPr>
                <w:i/>
              </w:rPr>
              <w:t>2,</w:t>
            </w:r>
            <w:r w:rsidR="009A3034">
              <w:rPr>
                <w:i/>
              </w:rPr>
              <w:t>381.87</w:t>
            </w:r>
          </w:p>
        </w:tc>
        <w:tc>
          <w:tcPr>
            <w:tcW w:w="2535" w:type="dxa"/>
          </w:tcPr>
          <w:p w14:paraId="2A61E84F" w14:textId="77777777" w:rsidR="00A72EAD" w:rsidRPr="000127EF" w:rsidRDefault="00A72EAD" w:rsidP="00A72EAD">
            <w:pPr>
              <w:jc w:val="center"/>
            </w:pPr>
            <w:r w:rsidRPr="000127EF">
              <w:t>C</w:t>
            </w:r>
          </w:p>
        </w:tc>
        <w:tc>
          <w:tcPr>
            <w:tcW w:w="899" w:type="dxa"/>
          </w:tcPr>
          <w:p w14:paraId="0919F758" w14:textId="77777777" w:rsidR="00A72EAD" w:rsidRPr="000127EF" w:rsidRDefault="00A72EAD" w:rsidP="00A72EAD">
            <w:pPr>
              <w:jc w:val="center"/>
            </w:pPr>
            <w:r w:rsidRPr="000127EF">
              <w:t>8/9</w:t>
            </w:r>
          </w:p>
        </w:tc>
        <w:tc>
          <w:tcPr>
            <w:tcW w:w="2190" w:type="dxa"/>
          </w:tcPr>
          <w:p w14:paraId="443299E0" w14:textId="71D41124" w:rsidR="00A72EAD" w:rsidRPr="000215B2" w:rsidRDefault="000215B2" w:rsidP="00A72EAD">
            <w:pPr>
              <w:jc w:val="right"/>
            </w:pPr>
            <w:r w:rsidRPr="000215B2">
              <w:t>2,704.40</w:t>
            </w:r>
          </w:p>
        </w:tc>
        <w:tc>
          <w:tcPr>
            <w:tcW w:w="1396" w:type="dxa"/>
          </w:tcPr>
          <w:p w14:paraId="6445F4F9" w14:textId="443D0663" w:rsidR="00A72EAD" w:rsidRPr="000215B2" w:rsidRDefault="000215B2" w:rsidP="00A72EAD">
            <w:pPr>
              <w:jc w:val="right"/>
            </w:pPr>
            <w:r w:rsidRPr="000215B2">
              <w:t>2,406.04</w:t>
            </w:r>
          </w:p>
        </w:tc>
      </w:tr>
      <w:tr w:rsidR="00A72EAD" w:rsidRPr="000127EF" w14:paraId="23B0AFD3" w14:textId="77777777" w:rsidTr="00093EDD">
        <w:trPr>
          <w:jc w:val="center"/>
        </w:trPr>
        <w:tc>
          <w:tcPr>
            <w:tcW w:w="1604" w:type="dxa"/>
          </w:tcPr>
          <w:p w14:paraId="5DBA4775" w14:textId="15CB3B64" w:rsidR="00A72EAD" w:rsidRPr="000127EF" w:rsidRDefault="00A72EAD" w:rsidP="00A72EAD">
            <w:pPr>
              <w:jc w:val="right"/>
              <w:rPr>
                <w:i/>
              </w:rPr>
            </w:pPr>
            <w:r w:rsidRPr="000127EF">
              <w:rPr>
                <w:i/>
              </w:rPr>
              <w:t>2,</w:t>
            </w:r>
            <w:r w:rsidR="009A3034">
              <w:rPr>
                <w:i/>
              </w:rPr>
              <w:t>278.16</w:t>
            </w:r>
          </w:p>
        </w:tc>
        <w:tc>
          <w:tcPr>
            <w:tcW w:w="2535" w:type="dxa"/>
          </w:tcPr>
          <w:p w14:paraId="4E543655" w14:textId="77777777" w:rsidR="00A72EAD" w:rsidRPr="000127EF" w:rsidRDefault="00A72EAD" w:rsidP="00A72EAD">
            <w:pPr>
              <w:jc w:val="center"/>
            </w:pPr>
            <w:r w:rsidRPr="000127EF">
              <w:t>D</w:t>
            </w:r>
          </w:p>
        </w:tc>
        <w:tc>
          <w:tcPr>
            <w:tcW w:w="899" w:type="dxa"/>
          </w:tcPr>
          <w:p w14:paraId="0FB54B20" w14:textId="77777777" w:rsidR="00A72EAD" w:rsidRPr="000127EF" w:rsidRDefault="00A72EAD" w:rsidP="00A72EAD">
            <w:pPr>
              <w:jc w:val="center"/>
            </w:pPr>
            <w:r w:rsidRPr="000127EF">
              <w:t>9/9</w:t>
            </w:r>
          </w:p>
        </w:tc>
        <w:tc>
          <w:tcPr>
            <w:tcW w:w="2190" w:type="dxa"/>
          </w:tcPr>
          <w:p w14:paraId="390FC1D9" w14:textId="760383F3" w:rsidR="00A72EAD" w:rsidRPr="000215B2" w:rsidRDefault="000215B2" w:rsidP="00A72EAD">
            <w:pPr>
              <w:jc w:val="right"/>
            </w:pPr>
            <w:r w:rsidRPr="000215B2">
              <w:t>2,237.95</w:t>
            </w:r>
          </w:p>
        </w:tc>
        <w:tc>
          <w:tcPr>
            <w:tcW w:w="1396" w:type="dxa"/>
          </w:tcPr>
          <w:p w14:paraId="2C8C76A7" w14:textId="50116202" w:rsidR="00A72EAD" w:rsidRPr="000215B2" w:rsidRDefault="000215B2" w:rsidP="00A72EAD">
            <w:pPr>
              <w:jc w:val="right"/>
            </w:pPr>
            <w:r w:rsidRPr="000215B2">
              <w:t>2,392.15</w:t>
            </w:r>
          </w:p>
        </w:tc>
      </w:tr>
      <w:tr w:rsidR="00A72EAD" w:rsidRPr="000127EF" w14:paraId="188624AC" w14:textId="77777777" w:rsidTr="00093EDD">
        <w:trPr>
          <w:jc w:val="center"/>
        </w:trPr>
        <w:tc>
          <w:tcPr>
            <w:tcW w:w="1604" w:type="dxa"/>
          </w:tcPr>
          <w:p w14:paraId="4C55EC3F" w14:textId="5A4A9661" w:rsidR="00A72EAD" w:rsidRPr="000127EF" w:rsidRDefault="00A72EAD" w:rsidP="00A72EAD">
            <w:pPr>
              <w:jc w:val="right"/>
              <w:rPr>
                <w:i/>
              </w:rPr>
            </w:pPr>
            <w:r w:rsidRPr="000127EF">
              <w:rPr>
                <w:i/>
              </w:rPr>
              <w:t>2,</w:t>
            </w:r>
            <w:r w:rsidR="009A3034">
              <w:rPr>
                <w:i/>
              </w:rPr>
              <w:t>597.48</w:t>
            </w:r>
          </w:p>
        </w:tc>
        <w:tc>
          <w:tcPr>
            <w:tcW w:w="2535" w:type="dxa"/>
          </w:tcPr>
          <w:p w14:paraId="17550861" w14:textId="77777777" w:rsidR="00A72EAD" w:rsidRPr="000127EF" w:rsidRDefault="00A72EAD" w:rsidP="00A72EAD">
            <w:pPr>
              <w:jc w:val="center"/>
            </w:pPr>
            <w:r w:rsidRPr="000127EF">
              <w:t>E</w:t>
            </w:r>
          </w:p>
        </w:tc>
        <w:tc>
          <w:tcPr>
            <w:tcW w:w="899" w:type="dxa"/>
          </w:tcPr>
          <w:p w14:paraId="342F1C66" w14:textId="77777777" w:rsidR="00A72EAD" w:rsidRPr="000127EF" w:rsidRDefault="00A72EAD" w:rsidP="00A72EAD">
            <w:pPr>
              <w:jc w:val="center"/>
            </w:pPr>
            <w:r w:rsidRPr="000127EF">
              <w:t>11/9</w:t>
            </w:r>
          </w:p>
        </w:tc>
        <w:tc>
          <w:tcPr>
            <w:tcW w:w="2190" w:type="dxa"/>
          </w:tcPr>
          <w:p w14:paraId="0E614083" w14:textId="5C3B8907" w:rsidR="00A72EAD" w:rsidRPr="000215B2" w:rsidRDefault="000215B2" w:rsidP="00A72EAD">
            <w:pPr>
              <w:jc w:val="right"/>
            </w:pPr>
            <w:r w:rsidRPr="000215B2">
              <w:t>2,149.66</w:t>
            </w:r>
          </w:p>
        </w:tc>
        <w:tc>
          <w:tcPr>
            <w:tcW w:w="1396" w:type="dxa"/>
          </w:tcPr>
          <w:p w14:paraId="43F491B2" w14:textId="2C876B62" w:rsidR="00A72EAD" w:rsidRPr="000215B2" w:rsidRDefault="000215B2" w:rsidP="00A72EAD">
            <w:pPr>
              <w:jc w:val="right"/>
            </w:pPr>
            <w:r w:rsidRPr="000215B2">
              <w:t>2,627.37</w:t>
            </w:r>
          </w:p>
        </w:tc>
      </w:tr>
      <w:tr w:rsidR="00A72EAD" w:rsidRPr="000127EF" w14:paraId="7A0B9176" w14:textId="77777777" w:rsidTr="00093EDD">
        <w:trPr>
          <w:jc w:val="center"/>
        </w:trPr>
        <w:tc>
          <w:tcPr>
            <w:tcW w:w="1604" w:type="dxa"/>
          </w:tcPr>
          <w:p w14:paraId="6D398724" w14:textId="2E2B3066" w:rsidR="00A72EAD" w:rsidRPr="000127EF" w:rsidRDefault="00A72EAD" w:rsidP="00A72EAD">
            <w:pPr>
              <w:jc w:val="right"/>
              <w:rPr>
                <w:i/>
              </w:rPr>
            </w:pPr>
            <w:r w:rsidRPr="000127EF">
              <w:rPr>
                <w:i/>
              </w:rPr>
              <w:t>2,</w:t>
            </w:r>
            <w:r w:rsidR="009A3034">
              <w:rPr>
                <w:i/>
              </w:rPr>
              <w:t>216.30</w:t>
            </w:r>
          </w:p>
        </w:tc>
        <w:tc>
          <w:tcPr>
            <w:tcW w:w="2535" w:type="dxa"/>
          </w:tcPr>
          <w:p w14:paraId="530253CF" w14:textId="77777777" w:rsidR="00A72EAD" w:rsidRPr="000127EF" w:rsidRDefault="00A72EAD" w:rsidP="00A72EAD">
            <w:pPr>
              <w:jc w:val="center"/>
            </w:pPr>
            <w:r w:rsidRPr="000127EF">
              <w:t>F</w:t>
            </w:r>
          </w:p>
        </w:tc>
        <w:tc>
          <w:tcPr>
            <w:tcW w:w="899" w:type="dxa"/>
          </w:tcPr>
          <w:p w14:paraId="1B55FD0D" w14:textId="77777777" w:rsidR="00A72EAD" w:rsidRPr="000127EF" w:rsidRDefault="00A72EAD" w:rsidP="00A72EAD">
            <w:pPr>
              <w:jc w:val="center"/>
            </w:pPr>
            <w:r w:rsidRPr="000127EF">
              <w:t>13/9</w:t>
            </w:r>
          </w:p>
        </w:tc>
        <w:tc>
          <w:tcPr>
            <w:tcW w:w="2190" w:type="dxa"/>
          </w:tcPr>
          <w:p w14:paraId="4CD98ED3" w14:textId="14B3B8E1" w:rsidR="00A72EAD" w:rsidRPr="000215B2" w:rsidRDefault="000215B2" w:rsidP="00A72EAD">
            <w:pPr>
              <w:jc w:val="right"/>
            </w:pPr>
            <w:r w:rsidRPr="000215B2">
              <w:t>1,536.02</w:t>
            </w:r>
          </w:p>
        </w:tc>
        <w:tc>
          <w:tcPr>
            <w:tcW w:w="1396" w:type="dxa"/>
          </w:tcPr>
          <w:p w14:paraId="514909D8" w14:textId="6FFBF335" w:rsidR="00A72EAD" w:rsidRPr="000215B2" w:rsidRDefault="000215B2" w:rsidP="00A72EAD">
            <w:pPr>
              <w:jc w:val="right"/>
            </w:pPr>
            <w:r w:rsidRPr="000215B2">
              <w:t>2,219.56</w:t>
            </w:r>
          </w:p>
        </w:tc>
      </w:tr>
      <w:tr w:rsidR="00A72EAD" w:rsidRPr="000127EF" w14:paraId="563C35E1" w14:textId="77777777" w:rsidTr="00093EDD">
        <w:trPr>
          <w:jc w:val="center"/>
        </w:trPr>
        <w:tc>
          <w:tcPr>
            <w:tcW w:w="1604" w:type="dxa"/>
          </w:tcPr>
          <w:p w14:paraId="28D84E96" w14:textId="7E8D60A6" w:rsidR="00A72EAD" w:rsidRPr="000127EF" w:rsidRDefault="009A3034" w:rsidP="00A72EAD">
            <w:pPr>
              <w:jc w:val="right"/>
              <w:rPr>
                <w:i/>
              </w:rPr>
            </w:pPr>
            <w:r>
              <w:rPr>
                <w:i/>
              </w:rPr>
              <w:t>2,002.55</w:t>
            </w:r>
          </w:p>
        </w:tc>
        <w:tc>
          <w:tcPr>
            <w:tcW w:w="2535" w:type="dxa"/>
          </w:tcPr>
          <w:p w14:paraId="0D4B8791" w14:textId="77777777" w:rsidR="00A72EAD" w:rsidRPr="000127EF" w:rsidRDefault="00A72EAD" w:rsidP="00A72EAD">
            <w:pPr>
              <w:jc w:val="center"/>
            </w:pPr>
            <w:r w:rsidRPr="000127EF">
              <w:t>G</w:t>
            </w:r>
          </w:p>
        </w:tc>
        <w:tc>
          <w:tcPr>
            <w:tcW w:w="899" w:type="dxa"/>
          </w:tcPr>
          <w:p w14:paraId="259C8C8F" w14:textId="77777777" w:rsidR="00A72EAD" w:rsidRPr="000127EF" w:rsidRDefault="00A72EAD" w:rsidP="00A72EAD">
            <w:pPr>
              <w:jc w:val="center"/>
            </w:pPr>
            <w:r w:rsidRPr="000127EF">
              <w:t>15/9</w:t>
            </w:r>
          </w:p>
        </w:tc>
        <w:tc>
          <w:tcPr>
            <w:tcW w:w="2190" w:type="dxa"/>
          </w:tcPr>
          <w:p w14:paraId="01C91D59" w14:textId="0F18DED7" w:rsidR="00A72EAD" w:rsidRPr="000215B2" w:rsidRDefault="000215B2" w:rsidP="00A72EAD">
            <w:pPr>
              <w:jc w:val="right"/>
            </w:pPr>
            <w:r w:rsidRPr="000215B2">
              <w:t>1,207.98</w:t>
            </w:r>
          </w:p>
        </w:tc>
        <w:tc>
          <w:tcPr>
            <w:tcW w:w="1396" w:type="dxa"/>
          </w:tcPr>
          <w:p w14:paraId="1B77992E" w14:textId="3FA69ED1" w:rsidR="00A72EAD" w:rsidRPr="000215B2" w:rsidRDefault="000215B2" w:rsidP="00A72EAD">
            <w:pPr>
              <w:jc w:val="right"/>
            </w:pPr>
            <w:r w:rsidRPr="000215B2">
              <w:t>2,014.30</w:t>
            </w:r>
          </w:p>
        </w:tc>
      </w:tr>
      <w:tr w:rsidR="00A72EAD" w:rsidRPr="000127EF" w14:paraId="4E63C034" w14:textId="77777777" w:rsidTr="00093EDD">
        <w:trPr>
          <w:jc w:val="center"/>
        </w:trPr>
        <w:tc>
          <w:tcPr>
            <w:tcW w:w="1604" w:type="dxa"/>
            <w:tcBorders>
              <w:bottom w:val="single" w:sz="8" w:space="0" w:color="auto"/>
            </w:tcBorders>
          </w:tcPr>
          <w:p w14:paraId="5EEBE41C" w14:textId="16E73B36" w:rsidR="00A72EAD" w:rsidRPr="000127EF" w:rsidRDefault="00A72EAD" w:rsidP="00A72EAD">
            <w:pPr>
              <w:jc w:val="right"/>
              <w:rPr>
                <w:i/>
              </w:rPr>
            </w:pPr>
            <w:r w:rsidRPr="000127EF">
              <w:rPr>
                <w:i/>
              </w:rPr>
              <w:t>25</w:t>
            </w:r>
            <w:r w:rsidR="009A3034">
              <w:rPr>
                <w:i/>
              </w:rPr>
              <w:t>9.07</w:t>
            </w:r>
          </w:p>
        </w:tc>
        <w:tc>
          <w:tcPr>
            <w:tcW w:w="2535" w:type="dxa"/>
          </w:tcPr>
          <w:p w14:paraId="1A9AEB2E" w14:textId="77777777" w:rsidR="00A72EAD" w:rsidRPr="000127EF" w:rsidRDefault="00A72EAD" w:rsidP="00A72EAD">
            <w:pPr>
              <w:jc w:val="center"/>
            </w:pPr>
            <w:r w:rsidRPr="000127EF">
              <w:t>H</w:t>
            </w:r>
          </w:p>
        </w:tc>
        <w:tc>
          <w:tcPr>
            <w:tcW w:w="899" w:type="dxa"/>
          </w:tcPr>
          <w:p w14:paraId="443CF17E" w14:textId="77777777" w:rsidR="00A72EAD" w:rsidRPr="000127EF" w:rsidRDefault="00A72EAD" w:rsidP="00A72EAD">
            <w:pPr>
              <w:jc w:val="center"/>
            </w:pPr>
            <w:r w:rsidRPr="000127EF">
              <w:t>18/9</w:t>
            </w:r>
          </w:p>
        </w:tc>
        <w:tc>
          <w:tcPr>
            <w:tcW w:w="2190" w:type="dxa"/>
          </w:tcPr>
          <w:p w14:paraId="710947EF" w14:textId="762FD7A6" w:rsidR="00A72EAD" w:rsidRPr="000215B2" w:rsidRDefault="000215B2" w:rsidP="00A72EAD">
            <w:pPr>
              <w:jc w:val="right"/>
            </w:pPr>
            <w:r w:rsidRPr="000215B2">
              <w:t>125.50</w:t>
            </w:r>
          </w:p>
        </w:tc>
        <w:tc>
          <w:tcPr>
            <w:tcW w:w="1396" w:type="dxa"/>
            <w:tcBorders>
              <w:bottom w:val="single" w:sz="8" w:space="0" w:color="auto"/>
            </w:tcBorders>
          </w:tcPr>
          <w:p w14:paraId="0C19A1E0" w14:textId="68B80C32" w:rsidR="00A72EAD" w:rsidRPr="000215B2" w:rsidRDefault="000215B2" w:rsidP="00A72EAD">
            <w:pPr>
              <w:jc w:val="right"/>
            </w:pPr>
            <w:r w:rsidRPr="000215B2">
              <w:t>251.00</w:t>
            </w:r>
          </w:p>
        </w:tc>
      </w:tr>
      <w:tr w:rsidR="00A72EAD" w:rsidRPr="000127EF" w14:paraId="4931C5B5" w14:textId="77777777" w:rsidTr="0063603D">
        <w:trPr>
          <w:jc w:val="center"/>
        </w:trPr>
        <w:tc>
          <w:tcPr>
            <w:tcW w:w="1604" w:type="dxa"/>
            <w:tcBorders>
              <w:top w:val="single" w:sz="8" w:space="0" w:color="auto"/>
            </w:tcBorders>
          </w:tcPr>
          <w:p w14:paraId="63D15CB6" w14:textId="61A6615E" w:rsidR="00A72EAD" w:rsidRPr="000127EF" w:rsidRDefault="009A3034" w:rsidP="00A72EAD">
            <w:pPr>
              <w:jc w:val="right"/>
              <w:rPr>
                <w:i/>
              </w:rPr>
            </w:pPr>
            <w:r>
              <w:rPr>
                <w:i/>
              </w:rPr>
              <w:t>15,031.34</w:t>
            </w:r>
          </w:p>
        </w:tc>
        <w:tc>
          <w:tcPr>
            <w:tcW w:w="5624" w:type="dxa"/>
            <w:gridSpan w:val="3"/>
          </w:tcPr>
          <w:p w14:paraId="71DE9971" w14:textId="77777777" w:rsidR="00A72EAD" w:rsidRPr="000215B2" w:rsidRDefault="00A72EAD" w:rsidP="00A72EAD">
            <w:r w:rsidRPr="000215B2">
              <w:t>Total</w:t>
            </w:r>
          </w:p>
        </w:tc>
        <w:tc>
          <w:tcPr>
            <w:tcW w:w="1396" w:type="dxa"/>
            <w:tcBorders>
              <w:top w:val="single" w:sz="8" w:space="0" w:color="auto"/>
            </w:tcBorders>
          </w:tcPr>
          <w:p w14:paraId="03B17067" w14:textId="59332C87" w:rsidR="00A72EAD" w:rsidRPr="000215B2" w:rsidRDefault="000215B2" w:rsidP="00491505">
            <w:pPr>
              <w:jc w:val="right"/>
            </w:pPr>
            <w:r w:rsidRPr="000215B2">
              <w:t>15,183.41</w:t>
            </w:r>
          </w:p>
        </w:tc>
      </w:tr>
      <w:tr w:rsidR="00A72EAD" w:rsidRPr="000127EF" w14:paraId="26678DB7" w14:textId="77777777" w:rsidTr="0063603D">
        <w:trPr>
          <w:jc w:val="center"/>
        </w:trPr>
        <w:tc>
          <w:tcPr>
            <w:tcW w:w="1604" w:type="dxa"/>
          </w:tcPr>
          <w:p w14:paraId="157A83A1" w14:textId="1FBB2F00" w:rsidR="00A72EAD" w:rsidRPr="000127EF" w:rsidRDefault="009A3034" w:rsidP="00A72EAD">
            <w:pPr>
              <w:jc w:val="right"/>
              <w:rPr>
                <w:i/>
              </w:rPr>
            </w:pPr>
            <w:r>
              <w:rPr>
                <w:i/>
              </w:rPr>
              <w:t>431.90</w:t>
            </w:r>
          </w:p>
        </w:tc>
        <w:tc>
          <w:tcPr>
            <w:tcW w:w="5624" w:type="dxa"/>
            <w:gridSpan w:val="3"/>
          </w:tcPr>
          <w:p w14:paraId="181866EC" w14:textId="77777777" w:rsidR="00A72EAD" w:rsidRPr="000215B2" w:rsidRDefault="00A72EAD" w:rsidP="00A72EAD">
            <w:r w:rsidRPr="000215B2">
              <w:t>Ministry of Defence contribution in lieu of council tax</w:t>
            </w:r>
          </w:p>
        </w:tc>
        <w:tc>
          <w:tcPr>
            <w:tcW w:w="1396" w:type="dxa"/>
          </w:tcPr>
          <w:p w14:paraId="7B311E62" w14:textId="1D31FEF7" w:rsidR="00A72EAD" w:rsidRPr="000215B2" w:rsidRDefault="000215B2" w:rsidP="00A72EAD">
            <w:pPr>
              <w:jc w:val="right"/>
            </w:pPr>
            <w:r w:rsidRPr="000215B2">
              <w:t>468.70</w:t>
            </w:r>
          </w:p>
        </w:tc>
      </w:tr>
      <w:tr w:rsidR="00A72EAD" w:rsidRPr="000127EF" w14:paraId="5062B1F8" w14:textId="77777777" w:rsidTr="0063603D">
        <w:trPr>
          <w:jc w:val="center"/>
        </w:trPr>
        <w:tc>
          <w:tcPr>
            <w:tcW w:w="1604" w:type="dxa"/>
          </w:tcPr>
          <w:p w14:paraId="6DB45F8C" w14:textId="05A43157" w:rsidR="00A72EAD" w:rsidRPr="000127EF" w:rsidRDefault="00A72EAD" w:rsidP="00A72EAD">
            <w:pPr>
              <w:jc w:val="right"/>
              <w:rPr>
                <w:i/>
              </w:rPr>
            </w:pPr>
            <w:r w:rsidRPr="000127EF">
              <w:rPr>
                <w:i/>
              </w:rPr>
              <w:t>(1</w:t>
            </w:r>
            <w:r w:rsidR="009A3034">
              <w:rPr>
                <w:i/>
              </w:rPr>
              <w:t>50</w:t>
            </w:r>
            <w:r w:rsidRPr="000127EF">
              <w:rPr>
                <w:i/>
              </w:rPr>
              <w:t>.</w:t>
            </w:r>
            <w:r w:rsidR="009A3034">
              <w:rPr>
                <w:i/>
              </w:rPr>
              <w:t>3</w:t>
            </w:r>
            <w:r w:rsidRPr="000127EF">
              <w:rPr>
                <w:i/>
              </w:rPr>
              <w:t>1)</w:t>
            </w:r>
          </w:p>
        </w:tc>
        <w:tc>
          <w:tcPr>
            <w:tcW w:w="5624" w:type="dxa"/>
            <w:gridSpan w:val="3"/>
          </w:tcPr>
          <w:p w14:paraId="3BC2754C" w14:textId="77777777" w:rsidR="00A72EAD" w:rsidRPr="000215B2" w:rsidRDefault="00A72EAD" w:rsidP="00A72EAD">
            <w:r w:rsidRPr="000215B2">
              <w:t>Allowance for non-collection</w:t>
            </w:r>
          </w:p>
        </w:tc>
        <w:tc>
          <w:tcPr>
            <w:tcW w:w="1396" w:type="dxa"/>
          </w:tcPr>
          <w:p w14:paraId="2E1AACC4" w14:textId="6451C270" w:rsidR="00A72EAD" w:rsidRPr="000215B2" w:rsidRDefault="00EF5757" w:rsidP="00A72EAD">
            <w:pPr>
              <w:jc w:val="right"/>
            </w:pPr>
            <w:r w:rsidRPr="000215B2">
              <w:t>(</w:t>
            </w:r>
            <w:r w:rsidR="000215B2" w:rsidRPr="000215B2">
              <w:t>151.84)</w:t>
            </w:r>
          </w:p>
        </w:tc>
      </w:tr>
      <w:tr w:rsidR="00A72EAD" w:rsidRPr="000127EF" w14:paraId="433A49E1" w14:textId="77777777" w:rsidTr="00093EDD">
        <w:trPr>
          <w:jc w:val="center"/>
        </w:trPr>
        <w:tc>
          <w:tcPr>
            <w:tcW w:w="1604" w:type="dxa"/>
            <w:tcBorders>
              <w:bottom w:val="single" w:sz="8" w:space="0" w:color="auto"/>
            </w:tcBorders>
          </w:tcPr>
          <w:p w14:paraId="75525DF8" w14:textId="77777777" w:rsidR="00A72EAD" w:rsidRPr="000127EF" w:rsidRDefault="00A72EAD" w:rsidP="00A72EAD">
            <w:pPr>
              <w:jc w:val="right"/>
              <w:rPr>
                <w:i/>
                <w:sz w:val="14"/>
                <w:szCs w:val="14"/>
              </w:rPr>
            </w:pPr>
          </w:p>
        </w:tc>
        <w:tc>
          <w:tcPr>
            <w:tcW w:w="2535" w:type="dxa"/>
          </w:tcPr>
          <w:p w14:paraId="73EBDBFE" w14:textId="77777777" w:rsidR="00A72EAD" w:rsidRPr="000215B2" w:rsidRDefault="00A72EAD" w:rsidP="00A72EAD">
            <w:pPr>
              <w:jc w:val="center"/>
              <w:rPr>
                <w:sz w:val="14"/>
                <w:szCs w:val="14"/>
              </w:rPr>
            </w:pPr>
          </w:p>
        </w:tc>
        <w:tc>
          <w:tcPr>
            <w:tcW w:w="899" w:type="dxa"/>
          </w:tcPr>
          <w:p w14:paraId="3A638481" w14:textId="77777777" w:rsidR="00A72EAD" w:rsidRPr="000215B2" w:rsidRDefault="00A72EAD" w:rsidP="00A72EAD">
            <w:pPr>
              <w:rPr>
                <w:sz w:val="14"/>
                <w:szCs w:val="14"/>
              </w:rPr>
            </w:pPr>
          </w:p>
        </w:tc>
        <w:tc>
          <w:tcPr>
            <w:tcW w:w="2190" w:type="dxa"/>
          </w:tcPr>
          <w:p w14:paraId="16DF0BA1" w14:textId="77777777" w:rsidR="00A72EAD" w:rsidRPr="000215B2" w:rsidRDefault="00A72EAD" w:rsidP="00A72EAD">
            <w:pPr>
              <w:rPr>
                <w:sz w:val="14"/>
                <w:szCs w:val="14"/>
              </w:rPr>
            </w:pPr>
          </w:p>
        </w:tc>
        <w:tc>
          <w:tcPr>
            <w:tcW w:w="1396" w:type="dxa"/>
            <w:tcBorders>
              <w:bottom w:val="single" w:sz="8" w:space="0" w:color="auto"/>
            </w:tcBorders>
          </w:tcPr>
          <w:p w14:paraId="05CDCCE6" w14:textId="77777777" w:rsidR="00A72EAD" w:rsidRPr="000215B2" w:rsidRDefault="00A72EAD" w:rsidP="00A72EAD">
            <w:pPr>
              <w:jc w:val="right"/>
              <w:rPr>
                <w:sz w:val="14"/>
                <w:szCs w:val="14"/>
              </w:rPr>
            </w:pPr>
          </w:p>
        </w:tc>
      </w:tr>
      <w:tr w:rsidR="00A72EAD" w:rsidRPr="000127EF" w14:paraId="165C7C41" w14:textId="77777777" w:rsidTr="008C7EF5">
        <w:trPr>
          <w:jc w:val="center"/>
        </w:trPr>
        <w:tc>
          <w:tcPr>
            <w:tcW w:w="1604" w:type="dxa"/>
            <w:tcBorders>
              <w:top w:val="single" w:sz="8" w:space="0" w:color="auto"/>
              <w:bottom w:val="single" w:sz="8" w:space="0" w:color="auto"/>
            </w:tcBorders>
          </w:tcPr>
          <w:p w14:paraId="2E310AAA" w14:textId="67709FF2" w:rsidR="00A72EAD" w:rsidRPr="000127EF" w:rsidRDefault="00A72EAD" w:rsidP="00A72EAD">
            <w:pPr>
              <w:jc w:val="right"/>
              <w:rPr>
                <w:b/>
                <w:i/>
              </w:rPr>
            </w:pPr>
            <w:r w:rsidRPr="000127EF">
              <w:rPr>
                <w:b/>
                <w:i/>
              </w:rPr>
              <w:fldChar w:fldCharType="begin"/>
            </w:r>
            <w:r w:rsidRPr="000127EF">
              <w:rPr>
                <w:b/>
                <w:i/>
              </w:rPr>
              <w:instrText xml:space="preserve"> =SUM(a11:a13) \# "#,##0.00" </w:instrText>
            </w:r>
            <w:r w:rsidRPr="000127EF">
              <w:rPr>
                <w:b/>
                <w:i/>
              </w:rPr>
              <w:fldChar w:fldCharType="separate"/>
            </w:r>
            <w:r w:rsidRPr="000127EF">
              <w:rPr>
                <w:b/>
                <w:i/>
                <w:noProof/>
              </w:rPr>
              <w:t>15,</w:t>
            </w:r>
            <w:r w:rsidR="009A3034">
              <w:rPr>
                <w:b/>
                <w:i/>
                <w:noProof/>
              </w:rPr>
              <w:t>312.93</w:t>
            </w:r>
            <w:r w:rsidRPr="000127EF">
              <w:rPr>
                <w:b/>
                <w:i/>
              </w:rPr>
              <w:fldChar w:fldCharType="end"/>
            </w:r>
          </w:p>
        </w:tc>
        <w:tc>
          <w:tcPr>
            <w:tcW w:w="5624" w:type="dxa"/>
            <w:gridSpan w:val="3"/>
          </w:tcPr>
          <w:p w14:paraId="2A72F200" w14:textId="77777777" w:rsidR="00A72EAD" w:rsidRPr="000215B2" w:rsidRDefault="00A72EAD" w:rsidP="00A72EAD">
            <w:pPr>
              <w:rPr>
                <w:b/>
              </w:rPr>
            </w:pPr>
            <w:r w:rsidRPr="000215B2">
              <w:rPr>
                <w:b/>
              </w:rPr>
              <w:t>Council Tax Base</w:t>
            </w:r>
          </w:p>
        </w:tc>
        <w:tc>
          <w:tcPr>
            <w:tcW w:w="1396" w:type="dxa"/>
            <w:tcBorders>
              <w:top w:val="single" w:sz="8" w:space="0" w:color="auto"/>
              <w:bottom w:val="single" w:sz="8" w:space="0" w:color="auto"/>
            </w:tcBorders>
          </w:tcPr>
          <w:p w14:paraId="16BAC677" w14:textId="0717A9A1" w:rsidR="00A72EAD" w:rsidRPr="000215B2" w:rsidRDefault="00491505" w:rsidP="00491505">
            <w:pPr>
              <w:jc w:val="right"/>
              <w:rPr>
                <w:b/>
              </w:rPr>
            </w:pPr>
            <w:r w:rsidRPr="000215B2">
              <w:rPr>
                <w:b/>
                <w:i/>
              </w:rPr>
              <w:t>15,</w:t>
            </w:r>
            <w:r w:rsidR="000215B2" w:rsidRPr="000215B2">
              <w:rPr>
                <w:b/>
                <w:i/>
              </w:rPr>
              <w:t>500.27</w:t>
            </w:r>
          </w:p>
        </w:tc>
      </w:tr>
      <w:tr w:rsidR="00A72EAD" w:rsidRPr="000127EF" w14:paraId="29352CA5" w14:textId="77777777" w:rsidTr="008C7EF5">
        <w:trPr>
          <w:jc w:val="center"/>
        </w:trPr>
        <w:tc>
          <w:tcPr>
            <w:tcW w:w="1604" w:type="dxa"/>
            <w:tcBorders>
              <w:top w:val="single" w:sz="8" w:space="0" w:color="auto"/>
              <w:bottom w:val="single" w:sz="18" w:space="0" w:color="C5E0B3" w:themeColor="accent6" w:themeTint="66"/>
            </w:tcBorders>
          </w:tcPr>
          <w:p w14:paraId="751785DA" w14:textId="77777777" w:rsidR="00A72EAD" w:rsidRPr="000127EF" w:rsidRDefault="00A72EAD" w:rsidP="00A72EAD">
            <w:pPr>
              <w:jc w:val="right"/>
              <w:rPr>
                <w:b/>
                <w:i/>
                <w:sz w:val="12"/>
                <w:szCs w:val="12"/>
              </w:rPr>
            </w:pPr>
          </w:p>
        </w:tc>
        <w:tc>
          <w:tcPr>
            <w:tcW w:w="5624" w:type="dxa"/>
            <w:gridSpan w:val="3"/>
            <w:tcBorders>
              <w:bottom w:val="single" w:sz="18" w:space="0" w:color="C5E0B3" w:themeColor="accent6" w:themeTint="66"/>
            </w:tcBorders>
          </w:tcPr>
          <w:p w14:paraId="2276FDE6" w14:textId="77777777" w:rsidR="00A72EAD" w:rsidRPr="000127EF" w:rsidRDefault="00A72EAD" w:rsidP="00A72EAD">
            <w:pPr>
              <w:rPr>
                <w:b/>
                <w:sz w:val="12"/>
                <w:szCs w:val="12"/>
              </w:rPr>
            </w:pPr>
          </w:p>
        </w:tc>
        <w:tc>
          <w:tcPr>
            <w:tcW w:w="1396" w:type="dxa"/>
            <w:tcBorders>
              <w:top w:val="single" w:sz="8" w:space="0" w:color="auto"/>
              <w:bottom w:val="single" w:sz="18" w:space="0" w:color="C5E0B3" w:themeColor="accent6" w:themeTint="66"/>
            </w:tcBorders>
          </w:tcPr>
          <w:p w14:paraId="49F72437" w14:textId="77777777" w:rsidR="00A72EAD" w:rsidRPr="000127EF" w:rsidRDefault="00A72EAD" w:rsidP="00A72EAD">
            <w:pPr>
              <w:jc w:val="right"/>
              <w:rPr>
                <w:b/>
                <w:sz w:val="12"/>
                <w:szCs w:val="12"/>
              </w:rPr>
            </w:pPr>
          </w:p>
        </w:tc>
      </w:tr>
    </w:tbl>
    <w:p w14:paraId="5F582D5E" w14:textId="77777777" w:rsidR="00340CD2" w:rsidRPr="000127EF" w:rsidRDefault="00340CD2">
      <w:pPr>
        <w:rPr>
          <w:b/>
          <w:szCs w:val="22"/>
        </w:rPr>
      </w:pPr>
      <w:r w:rsidRPr="000127EF">
        <w:rPr>
          <w:szCs w:val="22"/>
        </w:rPr>
        <w:br w:type="page"/>
      </w:r>
    </w:p>
    <w:p w14:paraId="32821385" w14:textId="0D6B102C" w:rsidR="004053F1" w:rsidRPr="000127EF" w:rsidRDefault="00A80352" w:rsidP="005676B7">
      <w:pPr>
        <w:pStyle w:val="Heading1"/>
        <w:numPr>
          <w:ilvl w:val="0"/>
          <w:numId w:val="12"/>
        </w:numPr>
        <w:rPr>
          <w:sz w:val="22"/>
          <w:szCs w:val="22"/>
        </w:rPr>
      </w:pPr>
      <w:r w:rsidRPr="000127EF">
        <w:rPr>
          <w:sz w:val="22"/>
          <w:szCs w:val="22"/>
        </w:rPr>
        <w:lastRenderedPageBreak/>
        <w:t>Impairment</w:t>
      </w:r>
    </w:p>
    <w:p w14:paraId="01103B2C" w14:textId="425671E0" w:rsidR="00F41FEB" w:rsidRPr="000127EF" w:rsidRDefault="00F41FEB" w:rsidP="00F41FEB">
      <w:pPr>
        <w:spacing w:after="120"/>
        <w:ind w:left="360"/>
      </w:pPr>
      <w:r w:rsidRPr="000127EF">
        <w:t>The balances determined to require impairment</w:t>
      </w:r>
      <w:r w:rsidR="00C47246" w:rsidRPr="000127EF">
        <w:t xml:space="preserve"> at the reporting date</w:t>
      </w:r>
      <w:r w:rsidRPr="000127EF">
        <w:t xml:space="preserve"> have been considered with regard to their age and the likelihood of repayment</w:t>
      </w:r>
      <w:r w:rsidR="00C47246" w:rsidRPr="000127EF">
        <w:t>.</w:t>
      </w:r>
      <w:r w:rsidRPr="000127EF">
        <w:t xml:space="preserve"> </w:t>
      </w:r>
    </w:p>
    <w:p w14:paraId="6DD78B84" w14:textId="77777777" w:rsidR="00F41FEB" w:rsidRPr="000127EF" w:rsidRDefault="00F41FEB" w:rsidP="00F41FEB"/>
    <w:tbl>
      <w:tblPr>
        <w:tblStyle w:val="TableGrid"/>
        <w:tblW w:w="7295" w:type="dxa"/>
        <w:jc w:val="center"/>
        <w:tbl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insideH w:val="none" w:sz="0" w:space="0" w:color="auto"/>
          <w:insideV w:val="none" w:sz="0" w:space="0" w:color="auto"/>
        </w:tblBorders>
        <w:tblLook w:val="04A0" w:firstRow="1" w:lastRow="0" w:firstColumn="1" w:lastColumn="0" w:noHBand="0" w:noVBand="1"/>
      </w:tblPr>
      <w:tblGrid>
        <w:gridCol w:w="3667"/>
        <w:gridCol w:w="1814"/>
        <w:gridCol w:w="1483"/>
        <w:gridCol w:w="331"/>
      </w:tblGrid>
      <w:tr w:rsidR="00F20145" w:rsidRPr="000127EF" w14:paraId="51058CC6" w14:textId="77777777" w:rsidTr="00FC790C">
        <w:trPr>
          <w:trHeight w:val="462"/>
          <w:jc w:val="center"/>
        </w:trPr>
        <w:tc>
          <w:tcPr>
            <w:tcW w:w="3667" w:type="dxa"/>
            <w:tcBorders>
              <w:top w:val="single" w:sz="18" w:space="0" w:color="C5E0B3" w:themeColor="accent6" w:themeTint="66"/>
            </w:tcBorders>
          </w:tcPr>
          <w:p w14:paraId="2BB6B960" w14:textId="2CEFFCEA" w:rsidR="00F20145" w:rsidRPr="00987424" w:rsidRDefault="00F20145" w:rsidP="00893A81">
            <w:pPr>
              <w:rPr>
                <w:b/>
              </w:rPr>
            </w:pPr>
          </w:p>
        </w:tc>
        <w:tc>
          <w:tcPr>
            <w:tcW w:w="1814" w:type="dxa"/>
            <w:tcBorders>
              <w:top w:val="single" w:sz="18" w:space="0" w:color="C5E0B3" w:themeColor="accent6" w:themeTint="66"/>
            </w:tcBorders>
          </w:tcPr>
          <w:p w14:paraId="7F78B5CB" w14:textId="77777777" w:rsidR="00F20145" w:rsidRPr="005D39CA" w:rsidRDefault="00F20145" w:rsidP="00F20145">
            <w:pPr>
              <w:jc w:val="center"/>
              <w:rPr>
                <w:b/>
              </w:rPr>
            </w:pPr>
            <w:r w:rsidRPr="005D39CA">
              <w:rPr>
                <w:b/>
              </w:rPr>
              <w:t>Business Rates</w:t>
            </w:r>
          </w:p>
          <w:p w14:paraId="1BF26953" w14:textId="469103E0" w:rsidR="00447CF4" w:rsidRPr="005D39CA" w:rsidRDefault="00D04C50" w:rsidP="00F20145">
            <w:pPr>
              <w:jc w:val="center"/>
              <w:rPr>
                <w:b/>
              </w:rPr>
            </w:pPr>
            <w:r w:rsidRPr="005D39CA">
              <w:rPr>
                <w:b/>
              </w:rPr>
              <w:t>£’000</w:t>
            </w:r>
          </w:p>
        </w:tc>
        <w:tc>
          <w:tcPr>
            <w:tcW w:w="1814" w:type="dxa"/>
            <w:gridSpan w:val="2"/>
            <w:tcBorders>
              <w:top w:val="single" w:sz="18" w:space="0" w:color="C5E0B3" w:themeColor="accent6" w:themeTint="66"/>
            </w:tcBorders>
          </w:tcPr>
          <w:p w14:paraId="444E6FB5" w14:textId="77777777" w:rsidR="00F20145" w:rsidRPr="005D39CA" w:rsidRDefault="00F20145" w:rsidP="00F20145">
            <w:pPr>
              <w:jc w:val="center"/>
              <w:rPr>
                <w:b/>
              </w:rPr>
            </w:pPr>
            <w:r w:rsidRPr="005D39CA">
              <w:rPr>
                <w:b/>
              </w:rPr>
              <w:t>Council Tax</w:t>
            </w:r>
          </w:p>
          <w:p w14:paraId="10204999" w14:textId="77777777" w:rsidR="00D04C50" w:rsidRPr="005D39CA" w:rsidRDefault="00D04C50" w:rsidP="00F20145">
            <w:pPr>
              <w:jc w:val="center"/>
              <w:rPr>
                <w:b/>
              </w:rPr>
            </w:pPr>
          </w:p>
          <w:p w14:paraId="0DC658F4" w14:textId="77777777" w:rsidR="00D04C50" w:rsidRPr="005D39CA" w:rsidRDefault="00D04C50" w:rsidP="00F20145">
            <w:pPr>
              <w:jc w:val="center"/>
              <w:rPr>
                <w:b/>
              </w:rPr>
            </w:pPr>
            <w:r w:rsidRPr="005D39CA">
              <w:rPr>
                <w:b/>
              </w:rPr>
              <w:t>£’000</w:t>
            </w:r>
          </w:p>
          <w:p w14:paraId="3DBF59A3" w14:textId="41B43A10" w:rsidR="00D04C50" w:rsidRPr="005D39CA" w:rsidRDefault="00D04C50" w:rsidP="00F20145">
            <w:pPr>
              <w:jc w:val="center"/>
              <w:rPr>
                <w:b/>
              </w:rPr>
            </w:pPr>
          </w:p>
        </w:tc>
      </w:tr>
      <w:tr w:rsidR="00F20145" w:rsidRPr="000127EF" w14:paraId="2435B336" w14:textId="77777777" w:rsidTr="00FC790C">
        <w:trPr>
          <w:trHeight w:val="230"/>
          <w:jc w:val="center"/>
        </w:trPr>
        <w:tc>
          <w:tcPr>
            <w:tcW w:w="3667" w:type="dxa"/>
          </w:tcPr>
          <w:p w14:paraId="71E3C1D1" w14:textId="7FC7A50E" w:rsidR="00F20145" w:rsidRPr="00987424" w:rsidRDefault="00F20145" w:rsidP="00F20145">
            <w:r w:rsidRPr="00987424">
              <w:t>Assets past due but not impaired</w:t>
            </w:r>
          </w:p>
        </w:tc>
        <w:tc>
          <w:tcPr>
            <w:tcW w:w="1814" w:type="dxa"/>
          </w:tcPr>
          <w:p w14:paraId="498F5308" w14:textId="3368A909" w:rsidR="00F20145" w:rsidRPr="005D39CA" w:rsidRDefault="004918F9" w:rsidP="00F20145">
            <w:pPr>
              <w:jc w:val="center"/>
            </w:pPr>
            <w:r w:rsidRPr="005D39CA">
              <w:t>13</w:t>
            </w:r>
          </w:p>
        </w:tc>
        <w:tc>
          <w:tcPr>
            <w:tcW w:w="1814" w:type="dxa"/>
            <w:gridSpan w:val="2"/>
          </w:tcPr>
          <w:p w14:paraId="1A712729" w14:textId="281FCD5B" w:rsidR="00F20145" w:rsidRPr="005D39CA" w:rsidRDefault="004918F9" w:rsidP="00F20145">
            <w:pPr>
              <w:jc w:val="center"/>
            </w:pPr>
            <w:r w:rsidRPr="005D39CA">
              <w:t>382</w:t>
            </w:r>
          </w:p>
        </w:tc>
      </w:tr>
      <w:tr w:rsidR="00F20145" w:rsidRPr="000127EF" w14:paraId="2737EFCB" w14:textId="77777777" w:rsidTr="00FC790C">
        <w:trPr>
          <w:trHeight w:val="230"/>
          <w:jc w:val="center"/>
        </w:trPr>
        <w:tc>
          <w:tcPr>
            <w:tcW w:w="3667" w:type="dxa"/>
          </w:tcPr>
          <w:p w14:paraId="120B1379" w14:textId="77777777" w:rsidR="00F20145" w:rsidRPr="00987424" w:rsidRDefault="00F20145" w:rsidP="00F20145">
            <w:pPr>
              <w:jc w:val="center"/>
            </w:pPr>
          </w:p>
          <w:p w14:paraId="286427A5" w14:textId="1481446A" w:rsidR="00F20145" w:rsidRPr="00987424" w:rsidRDefault="00F20145" w:rsidP="00F20145">
            <w:r w:rsidRPr="00987424">
              <w:t>Assets impaired</w:t>
            </w:r>
          </w:p>
        </w:tc>
        <w:tc>
          <w:tcPr>
            <w:tcW w:w="1814" w:type="dxa"/>
          </w:tcPr>
          <w:p w14:paraId="2551B0D9" w14:textId="1754DCC5" w:rsidR="00F20145" w:rsidRPr="005D39CA" w:rsidRDefault="00F20145" w:rsidP="00F20145">
            <w:pPr>
              <w:jc w:val="center"/>
            </w:pPr>
          </w:p>
        </w:tc>
        <w:tc>
          <w:tcPr>
            <w:tcW w:w="1814" w:type="dxa"/>
            <w:gridSpan w:val="2"/>
          </w:tcPr>
          <w:p w14:paraId="49FA2862" w14:textId="4DF6D16A" w:rsidR="00F20145" w:rsidRPr="005D39CA" w:rsidRDefault="00F20145" w:rsidP="00F20145">
            <w:pPr>
              <w:jc w:val="right"/>
            </w:pPr>
          </w:p>
        </w:tc>
      </w:tr>
      <w:tr w:rsidR="005D39CA" w:rsidRPr="000127EF" w14:paraId="4AF9AB32" w14:textId="77777777" w:rsidTr="00FC790C">
        <w:trPr>
          <w:trHeight w:val="230"/>
          <w:jc w:val="center"/>
        </w:trPr>
        <w:tc>
          <w:tcPr>
            <w:tcW w:w="3667" w:type="dxa"/>
          </w:tcPr>
          <w:p w14:paraId="2B270F87" w14:textId="41AE2962" w:rsidR="005D39CA" w:rsidRPr="00987424" w:rsidRDefault="005D39CA" w:rsidP="00F20145">
            <w:r>
              <w:t>2002-03</w:t>
            </w:r>
          </w:p>
        </w:tc>
        <w:tc>
          <w:tcPr>
            <w:tcW w:w="1814" w:type="dxa"/>
          </w:tcPr>
          <w:p w14:paraId="148B6B30" w14:textId="1475F03E" w:rsidR="005D39CA" w:rsidRPr="005D39CA" w:rsidRDefault="005D39CA" w:rsidP="00F20145">
            <w:pPr>
              <w:jc w:val="center"/>
            </w:pPr>
            <w:r w:rsidRPr="005D39CA">
              <w:t>0</w:t>
            </w:r>
          </w:p>
        </w:tc>
        <w:tc>
          <w:tcPr>
            <w:tcW w:w="1814" w:type="dxa"/>
            <w:gridSpan w:val="2"/>
          </w:tcPr>
          <w:p w14:paraId="439BCC4E" w14:textId="2A95611C" w:rsidR="005D39CA" w:rsidRPr="005D39CA" w:rsidRDefault="005D39CA" w:rsidP="0080472D">
            <w:pPr>
              <w:jc w:val="center"/>
            </w:pPr>
            <w:r w:rsidRPr="005D39CA">
              <w:t>0</w:t>
            </w:r>
          </w:p>
        </w:tc>
      </w:tr>
      <w:tr w:rsidR="005D39CA" w:rsidRPr="000127EF" w14:paraId="6C71B42D" w14:textId="77777777" w:rsidTr="00FC790C">
        <w:trPr>
          <w:trHeight w:val="230"/>
          <w:jc w:val="center"/>
        </w:trPr>
        <w:tc>
          <w:tcPr>
            <w:tcW w:w="3667" w:type="dxa"/>
          </w:tcPr>
          <w:p w14:paraId="35655B60" w14:textId="7350E7EB" w:rsidR="005D39CA" w:rsidRPr="00987424" w:rsidRDefault="005D39CA" w:rsidP="00F20145">
            <w:r>
              <w:t>2003.04</w:t>
            </w:r>
          </w:p>
        </w:tc>
        <w:tc>
          <w:tcPr>
            <w:tcW w:w="1814" w:type="dxa"/>
          </w:tcPr>
          <w:p w14:paraId="0C6F4520" w14:textId="65744EEC" w:rsidR="005D39CA" w:rsidRPr="005D39CA" w:rsidRDefault="005D39CA" w:rsidP="00F20145">
            <w:pPr>
              <w:jc w:val="center"/>
            </w:pPr>
            <w:r w:rsidRPr="005D39CA">
              <w:t>0</w:t>
            </w:r>
          </w:p>
        </w:tc>
        <w:tc>
          <w:tcPr>
            <w:tcW w:w="1814" w:type="dxa"/>
            <w:gridSpan w:val="2"/>
          </w:tcPr>
          <w:p w14:paraId="23BB8889" w14:textId="5CA11451" w:rsidR="005D39CA" w:rsidRPr="005D39CA" w:rsidRDefault="005D39CA" w:rsidP="0080472D">
            <w:pPr>
              <w:jc w:val="center"/>
            </w:pPr>
            <w:r w:rsidRPr="005D39CA">
              <w:t>1</w:t>
            </w:r>
          </w:p>
        </w:tc>
      </w:tr>
      <w:tr w:rsidR="00F20145" w:rsidRPr="000127EF" w14:paraId="3334ABE8" w14:textId="77777777" w:rsidTr="00FC790C">
        <w:trPr>
          <w:trHeight w:val="230"/>
          <w:jc w:val="center"/>
        </w:trPr>
        <w:tc>
          <w:tcPr>
            <w:tcW w:w="3667" w:type="dxa"/>
          </w:tcPr>
          <w:p w14:paraId="4BC7D790" w14:textId="2452B852" w:rsidR="00F20145" w:rsidRPr="00987424" w:rsidRDefault="00F20145" w:rsidP="00F20145">
            <w:r w:rsidRPr="00987424">
              <w:t>200</w:t>
            </w:r>
            <w:r w:rsidR="005D39CA">
              <w:t>4</w:t>
            </w:r>
            <w:r w:rsidRPr="00987424">
              <w:t>-0</w:t>
            </w:r>
            <w:r w:rsidR="005D39CA">
              <w:t>5</w:t>
            </w:r>
          </w:p>
        </w:tc>
        <w:tc>
          <w:tcPr>
            <w:tcW w:w="1814" w:type="dxa"/>
          </w:tcPr>
          <w:p w14:paraId="4CA58D0C" w14:textId="020A5216" w:rsidR="00F20145" w:rsidRPr="005D39CA" w:rsidRDefault="00F20145" w:rsidP="00F20145">
            <w:pPr>
              <w:jc w:val="center"/>
            </w:pPr>
            <w:r w:rsidRPr="005D39CA">
              <w:t>0</w:t>
            </w:r>
          </w:p>
        </w:tc>
        <w:tc>
          <w:tcPr>
            <w:tcW w:w="1814" w:type="dxa"/>
            <w:gridSpan w:val="2"/>
          </w:tcPr>
          <w:p w14:paraId="0620E81E" w14:textId="060DDB42" w:rsidR="00F20145" w:rsidRPr="005D39CA" w:rsidRDefault="005D39CA" w:rsidP="0080472D">
            <w:pPr>
              <w:jc w:val="center"/>
            </w:pPr>
            <w:r w:rsidRPr="005D39CA">
              <w:t>2</w:t>
            </w:r>
          </w:p>
        </w:tc>
      </w:tr>
      <w:tr w:rsidR="00F20145" w:rsidRPr="000127EF" w14:paraId="1DF3FD71" w14:textId="77777777" w:rsidTr="00FC790C">
        <w:trPr>
          <w:trHeight w:val="230"/>
          <w:jc w:val="center"/>
        </w:trPr>
        <w:tc>
          <w:tcPr>
            <w:tcW w:w="3667" w:type="dxa"/>
          </w:tcPr>
          <w:p w14:paraId="379C293F" w14:textId="3A6E4945" w:rsidR="00F20145" w:rsidRPr="00987424" w:rsidRDefault="00F20145" w:rsidP="00F20145">
            <w:r w:rsidRPr="00987424">
              <w:t>200</w:t>
            </w:r>
            <w:r w:rsidR="005D39CA">
              <w:t>5</w:t>
            </w:r>
            <w:r w:rsidRPr="00987424">
              <w:t>-0</w:t>
            </w:r>
            <w:r w:rsidR="005D39CA">
              <w:t>6</w:t>
            </w:r>
          </w:p>
        </w:tc>
        <w:tc>
          <w:tcPr>
            <w:tcW w:w="1814" w:type="dxa"/>
          </w:tcPr>
          <w:p w14:paraId="7CE72515" w14:textId="60FBCEA3" w:rsidR="00F20145" w:rsidRPr="005D39CA" w:rsidRDefault="00F20145" w:rsidP="00F20145">
            <w:pPr>
              <w:jc w:val="center"/>
            </w:pPr>
            <w:r w:rsidRPr="005D39CA">
              <w:t>0</w:t>
            </w:r>
          </w:p>
        </w:tc>
        <w:tc>
          <w:tcPr>
            <w:tcW w:w="1814" w:type="dxa"/>
            <w:gridSpan w:val="2"/>
          </w:tcPr>
          <w:p w14:paraId="4A86969B" w14:textId="1FFF2942" w:rsidR="00F20145" w:rsidRPr="005D39CA" w:rsidRDefault="00FF6A4E" w:rsidP="0080472D">
            <w:pPr>
              <w:jc w:val="center"/>
            </w:pPr>
            <w:r w:rsidRPr="005D39CA">
              <w:t>2</w:t>
            </w:r>
          </w:p>
        </w:tc>
      </w:tr>
      <w:tr w:rsidR="00F20145" w:rsidRPr="000127EF" w14:paraId="4DEF66CE" w14:textId="77777777" w:rsidTr="00FC790C">
        <w:trPr>
          <w:trHeight w:val="230"/>
          <w:jc w:val="center"/>
        </w:trPr>
        <w:tc>
          <w:tcPr>
            <w:tcW w:w="3667" w:type="dxa"/>
          </w:tcPr>
          <w:p w14:paraId="48229F7C" w14:textId="1B8B3D2B" w:rsidR="00F20145" w:rsidRPr="00987424" w:rsidRDefault="00F20145" w:rsidP="00F20145">
            <w:r w:rsidRPr="00987424">
              <w:t>200</w:t>
            </w:r>
            <w:r w:rsidR="005D39CA">
              <w:t>6</w:t>
            </w:r>
            <w:r w:rsidRPr="00987424">
              <w:t>-0</w:t>
            </w:r>
            <w:r w:rsidR="005D39CA">
              <w:t>7</w:t>
            </w:r>
          </w:p>
        </w:tc>
        <w:tc>
          <w:tcPr>
            <w:tcW w:w="1814" w:type="dxa"/>
          </w:tcPr>
          <w:p w14:paraId="734D3B79" w14:textId="37332958" w:rsidR="00F20145" w:rsidRPr="005D39CA" w:rsidRDefault="00F20145" w:rsidP="00F20145">
            <w:pPr>
              <w:jc w:val="center"/>
            </w:pPr>
            <w:r w:rsidRPr="005D39CA">
              <w:t>0</w:t>
            </w:r>
          </w:p>
        </w:tc>
        <w:tc>
          <w:tcPr>
            <w:tcW w:w="1814" w:type="dxa"/>
            <w:gridSpan w:val="2"/>
          </w:tcPr>
          <w:p w14:paraId="74EF9295" w14:textId="325C64AB" w:rsidR="00F20145" w:rsidRPr="005D39CA" w:rsidRDefault="005D39CA" w:rsidP="0080472D">
            <w:pPr>
              <w:jc w:val="center"/>
            </w:pPr>
            <w:r w:rsidRPr="005D39CA">
              <w:t>2</w:t>
            </w:r>
          </w:p>
        </w:tc>
      </w:tr>
      <w:tr w:rsidR="00F20145" w:rsidRPr="000127EF" w14:paraId="5B1C8976" w14:textId="77777777" w:rsidTr="00FC790C">
        <w:trPr>
          <w:trHeight w:val="246"/>
          <w:jc w:val="center"/>
        </w:trPr>
        <w:tc>
          <w:tcPr>
            <w:tcW w:w="3667" w:type="dxa"/>
          </w:tcPr>
          <w:p w14:paraId="7FC05679" w14:textId="2FEEA168" w:rsidR="00F20145" w:rsidRPr="00987424" w:rsidRDefault="00F20145" w:rsidP="00F20145">
            <w:r w:rsidRPr="00987424">
              <w:t>200</w:t>
            </w:r>
            <w:r w:rsidR="005D39CA">
              <w:t>7</w:t>
            </w:r>
            <w:r w:rsidRPr="00987424">
              <w:t>-0</w:t>
            </w:r>
            <w:r w:rsidR="005D39CA">
              <w:t>8</w:t>
            </w:r>
          </w:p>
        </w:tc>
        <w:tc>
          <w:tcPr>
            <w:tcW w:w="1814" w:type="dxa"/>
          </w:tcPr>
          <w:p w14:paraId="10C26A34" w14:textId="40C5F58D" w:rsidR="00F20145" w:rsidRPr="005D39CA" w:rsidRDefault="00F20145" w:rsidP="00F20145">
            <w:pPr>
              <w:jc w:val="center"/>
            </w:pPr>
            <w:r w:rsidRPr="005D39CA">
              <w:t>0</w:t>
            </w:r>
          </w:p>
        </w:tc>
        <w:tc>
          <w:tcPr>
            <w:tcW w:w="1814" w:type="dxa"/>
            <w:gridSpan w:val="2"/>
          </w:tcPr>
          <w:p w14:paraId="0D710551" w14:textId="2BD43584" w:rsidR="00F20145" w:rsidRPr="005D39CA" w:rsidRDefault="0080472D" w:rsidP="0080472D">
            <w:pPr>
              <w:jc w:val="center"/>
            </w:pPr>
            <w:r w:rsidRPr="005D39CA">
              <w:t>3</w:t>
            </w:r>
          </w:p>
        </w:tc>
      </w:tr>
      <w:tr w:rsidR="00F20145" w:rsidRPr="000127EF" w14:paraId="0858DE68" w14:textId="77777777" w:rsidTr="00FC790C">
        <w:trPr>
          <w:trHeight w:val="230"/>
          <w:jc w:val="center"/>
        </w:trPr>
        <w:tc>
          <w:tcPr>
            <w:tcW w:w="3667" w:type="dxa"/>
          </w:tcPr>
          <w:p w14:paraId="50F2F3CB" w14:textId="582CF71C" w:rsidR="00F20145" w:rsidRPr="00987424" w:rsidRDefault="00F20145" w:rsidP="00F20145">
            <w:r w:rsidRPr="00987424">
              <w:t>200</w:t>
            </w:r>
            <w:r w:rsidR="005D39CA">
              <w:t>8</w:t>
            </w:r>
            <w:r w:rsidRPr="00987424">
              <w:t>-0</w:t>
            </w:r>
            <w:r w:rsidR="005D39CA">
              <w:t>9</w:t>
            </w:r>
          </w:p>
        </w:tc>
        <w:tc>
          <w:tcPr>
            <w:tcW w:w="1814" w:type="dxa"/>
          </w:tcPr>
          <w:p w14:paraId="137F93EE" w14:textId="056A013C" w:rsidR="00F20145" w:rsidRPr="005D39CA" w:rsidRDefault="00F20145" w:rsidP="00F20145">
            <w:pPr>
              <w:jc w:val="center"/>
            </w:pPr>
            <w:r w:rsidRPr="005D39CA">
              <w:t>0</w:t>
            </w:r>
          </w:p>
        </w:tc>
        <w:tc>
          <w:tcPr>
            <w:tcW w:w="1814" w:type="dxa"/>
            <w:gridSpan w:val="2"/>
          </w:tcPr>
          <w:p w14:paraId="205ADB7E" w14:textId="3909F6A4" w:rsidR="00F20145" w:rsidRPr="005D39CA" w:rsidRDefault="005D39CA" w:rsidP="0080472D">
            <w:pPr>
              <w:jc w:val="center"/>
            </w:pPr>
            <w:r w:rsidRPr="005D39CA">
              <w:t>4</w:t>
            </w:r>
          </w:p>
        </w:tc>
      </w:tr>
      <w:tr w:rsidR="00F20145" w:rsidRPr="000127EF" w14:paraId="783BBA65" w14:textId="77777777" w:rsidTr="00FC790C">
        <w:trPr>
          <w:trHeight w:val="79"/>
          <w:jc w:val="center"/>
        </w:trPr>
        <w:tc>
          <w:tcPr>
            <w:tcW w:w="3667" w:type="dxa"/>
          </w:tcPr>
          <w:p w14:paraId="70C8E0B3" w14:textId="63428336" w:rsidR="00F20145" w:rsidRPr="00987424" w:rsidRDefault="00F20145" w:rsidP="00F20145">
            <w:r w:rsidRPr="00987424">
              <w:t>200</w:t>
            </w:r>
            <w:r w:rsidR="005D39CA">
              <w:t>9</w:t>
            </w:r>
            <w:r w:rsidRPr="00987424">
              <w:t>-</w:t>
            </w:r>
            <w:r w:rsidR="005D39CA">
              <w:t>10</w:t>
            </w:r>
          </w:p>
        </w:tc>
        <w:tc>
          <w:tcPr>
            <w:tcW w:w="1814" w:type="dxa"/>
          </w:tcPr>
          <w:p w14:paraId="65613207" w14:textId="4EBE1A8F" w:rsidR="00F20145" w:rsidRPr="005D39CA" w:rsidRDefault="00F20145" w:rsidP="00F20145">
            <w:pPr>
              <w:jc w:val="center"/>
            </w:pPr>
            <w:r w:rsidRPr="005D39CA">
              <w:t>0</w:t>
            </w:r>
          </w:p>
        </w:tc>
        <w:tc>
          <w:tcPr>
            <w:tcW w:w="1814" w:type="dxa"/>
            <w:gridSpan w:val="2"/>
          </w:tcPr>
          <w:p w14:paraId="5CC93240" w14:textId="136D8A55" w:rsidR="00F20145" w:rsidRPr="005D39CA" w:rsidRDefault="005D39CA" w:rsidP="0080472D">
            <w:pPr>
              <w:jc w:val="center"/>
            </w:pPr>
            <w:r w:rsidRPr="005D39CA">
              <w:t>5</w:t>
            </w:r>
          </w:p>
        </w:tc>
      </w:tr>
      <w:tr w:rsidR="00F20145" w:rsidRPr="000127EF" w14:paraId="12C4279C" w14:textId="77777777" w:rsidTr="00FC790C">
        <w:trPr>
          <w:trHeight w:val="230"/>
          <w:jc w:val="center"/>
        </w:trPr>
        <w:tc>
          <w:tcPr>
            <w:tcW w:w="3667" w:type="dxa"/>
          </w:tcPr>
          <w:p w14:paraId="50DA5FA3" w14:textId="71686F19" w:rsidR="00F20145" w:rsidRPr="00987424" w:rsidRDefault="00F20145" w:rsidP="00F20145">
            <w:r w:rsidRPr="00987424">
              <w:t>20</w:t>
            </w:r>
            <w:r w:rsidR="005D39CA">
              <w:t>10</w:t>
            </w:r>
            <w:r w:rsidRPr="00987424">
              <w:t>-1</w:t>
            </w:r>
            <w:r w:rsidR="005D39CA">
              <w:t>1</w:t>
            </w:r>
          </w:p>
        </w:tc>
        <w:tc>
          <w:tcPr>
            <w:tcW w:w="1814" w:type="dxa"/>
          </w:tcPr>
          <w:p w14:paraId="6493CDA6" w14:textId="6E0DCFE4" w:rsidR="00F20145" w:rsidRPr="005D39CA" w:rsidRDefault="00F20145" w:rsidP="00F20145">
            <w:pPr>
              <w:jc w:val="center"/>
            </w:pPr>
            <w:r w:rsidRPr="005D39CA">
              <w:t>0</w:t>
            </w:r>
          </w:p>
        </w:tc>
        <w:tc>
          <w:tcPr>
            <w:tcW w:w="1814" w:type="dxa"/>
            <w:gridSpan w:val="2"/>
          </w:tcPr>
          <w:p w14:paraId="1545468E" w14:textId="3593F812" w:rsidR="00F20145" w:rsidRPr="005D39CA" w:rsidRDefault="005D39CA" w:rsidP="0080472D">
            <w:pPr>
              <w:jc w:val="center"/>
            </w:pPr>
            <w:r w:rsidRPr="005D39CA">
              <w:t>9</w:t>
            </w:r>
          </w:p>
        </w:tc>
      </w:tr>
      <w:tr w:rsidR="0080472D" w:rsidRPr="000127EF" w14:paraId="338E9100" w14:textId="77777777" w:rsidTr="00FC790C">
        <w:trPr>
          <w:trHeight w:val="316"/>
          <w:jc w:val="center"/>
        </w:trPr>
        <w:tc>
          <w:tcPr>
            <w:tcW w:w="3667" w:type="dxa"/>
          </w:tcPr>
          <w:p w14:paraId="71D8C30A" w14:textId="26ED6431" w:rsidR="00447CF4" w:rsidRPr="00987424" w:rsidRDefault="0080472D" w:rsidP="00447CF4">
            <w:r w:rsidRPr="00987424">
              <w:t>201</w:t>
            </w:r>
            <w:r w:rsidR="005D39CA">
              <w:t>1</w:t>
            </w:r>
            <w:r w:rsidRPr="00987424">
              <w:t>-1</w:t>
            </w:r>
            <w:r w:rsidR="005D39CA">
              <w:t>2</w:t>
            </w:r>
          </w:p>
          <w:p w14:paraId="32B2AFFF" w14:textId="403DEC04" w:rsidR="0080472D" w:rsidRPr="00987424" w:rsidRDefault="0080472D" w:rsidP="00447CF4">
            <w:r w:rsidRPr="00987424">
              <w:t>201</w:t>
            </w:r>
            <w:r w:rsidR="005D39CA">
              <w:t>2</w:t>
            </w:r>
            <w:r w:rsidRPr="00987424">
              <w:t>-1</w:t>
            </w:r>
            <w:r w:rsidR="005D39CA">
              <w:t>3</w:t>
            </w:r>
          </w:p>
        </w:tc>
        <w:tc>
          <w:tcPr>
            <w:tcW w:w="1814" w:type="dxa"/>
          </w:tcPr>
          <w:p w14:paraId="646CA0F3" w14:textId="77777777" w:rsidR="0080472D" w:rsidRPr="005D39CA" w:rsidRDefault="0080472D" w:rsidP="0080472D">
            <w:pPr>
              <w:jc w:val="center"/>
            </w:pPr>
            <w:r w:rsidRPr="005D39CA">
              <w:t>0</w:t>
            </w:r>
          </w:p>
          <w:p w14:paraId="0C1690BF" w14:textId="366770DB" w:rsidR="0080472D" w:rsidRPr="005D39CA" w:rsidRDefault="0080472D" w:rsidP="0080472D">
            <w:pPr>
              <w:jc w:val="center"/>
            </w:pPr>
            <w:r w:rsidRPr="005D39CA">
              <w:t>0</w:t>
            </w:r>
          </w:p>
        </w:tc>
        <w:tc>
          <w:tcPr>
            <w:tcW w:w="1814" w:type="dxa"/>
            <w:gridSpan w:val="2"/>
          </w:tcPr>
          <w:p w14:paraId="39614E96" w14:textId="0B35434F" w:rsidR="0080472D" w:rsidRPr="005D39CA" w:rsidRDefault="00FF6A4E" w:rsidP="0080472D">
            <w:pPr>
              <w:jc w:val="center"/>
            </w:pPr>
            <w:r w:rsidRPr="005D39CA">
              <w:t>1</w:t>
            </w:r>
            <w:r w:rsidR="005D39CA" w:rsidRPr="005D39CA">
              <w:t>2</w:t>
            </w:r>
          </w:p>
          <w:p w14:paraId="58BBB153" w14:textId="17148EF5" w:rsidR="0080472D" w:rsidRPr="005D39CA" w:rsidRDefault="00FF6A4E" w:rsidP="0080472D">
            <w:pPr>
              <w:jc w:val="center"/>
            </w:pPr>
            <w:r w:rsidRPr="005D39CA">
              <w:t>13</w:t>
            </w:r>
          </w:p>
        </w:tc>
      </w:tr>
      <w:tr w:rsidR="0080472D" w:rsidRPr="000127EF" w14:paraId="53F5BFC3" w14:textId="77777777" w:rsidTr="00FC790C">
        <w:trPr>
          <w:trHeight w:val="316"/>
          <w:jc w:val="center"/>
        </w:trPr>
        <w:tc>
          <w:tcPr>
            <w:tcW w:w="3667" w:type="dxa"/>
          </w:tcPr>
          <w:p w14:paraId="119CCB47" w14:textId="474838D1" w:rsidR="0080472D" w:rsidRPr="00987424" w:rsidRDefault="0080472D" w:rsidP="0080472D">
            <w:r w:rsidRPr="00987424">
              <w:t>201</w:t>
            </w:r>
            <w:r w:rsidR="005D39CA">
              <w:t>3</w:t>
            </w:r>
            <w:r w:rsidRPr="00987424">
              <w:t>-1</w:t>
            </w:r>
            <w:r w:rsidR="005D39CA">
              <w:t>4</w:t>
            </w:r>
          </w:p>
          <w:p w14:paraId="2F183546" w14:textId="6FA93B93" w:rsidR="00FF6A4E" w:rsidRPr="00987424" w:rsidRDefault="00FF6A4E" w:rsidP="0080472D">
            <w:r w:rsidRPr="00987424">
              <w:t>201</w:t>
            </w:r>
            <w:r w:rsidR="005D39CA">
              <w:t>4</w:t>
            </w:r>
            <w:r w:rsidRPr="00987424">
              <w:t>-1</w:t>
            </w:r>
            <w:r w:rsidR="005D39CA">
              <w:t>5</w:t>
            </w:r>
          </w:p>
          <w:p w14:paraId="3F7E109A" w14:textId="50C0ADEF" w:rsidR="00FF6A4E" w:rsidRPr="00987424" w:rsidRDefault="00FF6A4E" w:rsidP="0080472D">
            <w:r w:rsidRPr="00987424">
              <w:t>201</w:t>
            </w:r>
            <w:r w:rsidR="005D39CA">
              <w:t>5</w:t>
            </w:r>
            <w:r w:rsidRPr="00987424">
              <w:t>-1</w:t>
            </w:r>
            <w:r w:rsidR="005D39CA">
              <w:t>6</w:t>
            </w:r>
          </w:p>
          <w:p w14:paraId="5F893778" w14:textId="7A547338" w:rsidR="00FF6A4E" w:rsidRPr="00987424" w:rsidRDefault="00FF6A4E" w:rsidP="0080472D">
            <w:r w:rsidRPr="00987424">
              <w:t>201</w:t>
            </w:r>
            <w:r w:rsidR="005D39CA">
              <w:t>6</w:t>
            </w:r>
            <w:r w:rsidRPr="00987424">
              <w:t>-1</w:t>
            </w:r>
            <w:r w:rsidR="005D39CA">
              <w:t>7</w:t>
            </w:r>
          </w:p>
          <w:p w14:paraId="3AE100D0" w14:textId="71518609" w:rsidR="00FF6A4E" w:rsidRPr="00987424" w:rsidRDefault="00FF6A4E" w:rsidP="0080472D">
            <w:r w:rsidRPr="00987424">
              <w:t>201</w:t>
            </w:r>
            <w:r w:rsidR="005D39CA">
              <w:t>7</w:t>
            </w:r>
            <w:r w:rsidRPr="00987424">
              <w:t>-1</w:t>
            </w:r>
            <w:r w:rsidR="005D39CA">
              <w:t>8</w:t>
            </w:r>
          </w:p>
          <w:p w14:paraId="3797504B" w14:textId="668DCEC0" w:rsidR="00FF6A4E" w:rsidRPr="00987424" w:rsidRDefault="00FF6A4E" w:rsidP="0080472D">
            <w:r w:rsidRPr="00987424">
              <w:t>201</w:t>
            </w:r>
            <w:r w:rsidR="005D39CA">
              <w:t>8</w:t>
            </w:r>
            <w:r w:rsidRPr="00987424">
              <w:t>-1</w:t>
            </w:r>
            <w:r w:rsidR="005D39CA">
              <w:t>9</w:t>
            </w:r>
          </w:p>
          <w:p w14:paraId="32FD586B" w14:textId="20FBDD52" w:rsidR="00FF6A4E" w:rsidRPr="00987424" w:rsidRDefault="00FF6A4E" w:rsidP="0080472D">
            <w:r w:rsidRPr="00987424">
              <w:t>201</w:t>
            </w:r>
            <w:r w:rsidR="005D39CA">
              <w:t>9</w:t>
            </w:r>
            <w:r w:rsidRPr="00987424">
              <w:t>-</w:t>
            </w:r>
            <w:r w:rsidR="005D39CA">
              <w:t>20</w:t>
            </w:r>
          </w:p>
        </w:tc>
        <w:tc>
          <w:tcPr>
            <w:tcW w:w="1814" w:type="dxa"/>
            <w:tcBorders>
              <w:bottom w:val="single" w:sz="8" w:space="0" w:color="auto"/>
            </w:tcBorders>
          </w:tcPr>
          <w:p w14:paraId="7736670D" w14:textId="77777777" w:rsidR="0080472D" w:rsidRPr="005D39CA" w:rsidRDefault="0080472D" w:rsidP="0080472D">
            <w:pPr>
              <w:jc w:val="center"/>
            </w:pPr>
            <w:r w:rsidRPr="005D39CA">
              <w:t>0</w:t>
            </w:r>
          </w:p>
          <w:p w14:paraId="4B511B40" w14:textId="77777777" w:rsidR="00FF6A4E" w:rsidRPr="005D39CA" w:rsidRDefault="00FF6A4E" w:rsidP="0080472D">
            <w:pPr>
              <w:jc w:val="center"/>
            </w:pPr>
            <w:r w:rsidRPr="005D39CA">
              <w:t>0</w:t>
            </w:r>
          </w:p>
          <w:p w14:paraId="29082FFE" w14:textId="5F166B46" w:rsidR="00FF6A4E" w:rsidRPr="005D39CA" w:rsidRDefault="005D39CA" w:rsidP="0080472D">
            <w:pPr>
              <w:jc w:val="center"/>
            </w:pPr>
            <w:r w:rsidRPr="005D39CA">
              <w:t>0</w:t>
            </w:r>
          </w:p>
          <w:p w14:paraId="64512C75" w14:textId="5B5E6B68" w:rsidR="00FF6A4E" w:rsidRPr="005D39CA" w:rsidRDefault="005D39CA" w:rsidP="0080472D">
            <w:pPr>
              <w:jc w:val="center"/>
            </w:pPr>
            <w:r w:rsidRPr="005D39CA">
              <w:t>7</w:t>
            </w:r>
          </w:p>
          <w:p w14:paraId="5BF3E168" w14:textId="3D253649" w:rsidR="00FF6A4E" w:rsidRPr="005D39CA" w:rsidRDefault="005D39CA" w:rsidP="0080472D">
            <w:pPr>
              <w:jc w:val="center"/>
            </w:pPr>
            <w:r w:rsidRPr="005D39CA">
              <w:t>4</w:t>
            </w:r>
          </w:p>
          <w:p w14:paraId="0F1E8AF0" w14:textId="44095E22" w:rsidR="00FF6A4E" w:rsidRPr="005D39CA" w:rsidRDefault="005D39CA" w:rsidP="0080472D">
            <w:pPr>
              <w:jc w:val="center"/>
            </w:pPr>
            <w:r w:rsidRPr="005D39CA">
              <w:t>19</w:t>
            </w:r>
          </w:p>
          <w:p w14:paraId="3C35C787" w14:textId="6A3B899E" w:rsidR="00FF6A4E" w:rsidRPr="005D39CA" w:rsidRDefault="005D39CA" w:rsidP="0080472D">
            <w:pPr>
              <w:jc w:val="center"/>
            </w:pPr>
            <w:r w:rsidRPr="005D39CA">
              <w:t>112</w:t>
            </w:r>
          </w:p>
        </w:tc>
        <w:tc>
          <w:tcPr>
            <w:tcW w:w="1814" w:type="dxa"/>
            <w:gridSpan w:val="2"/>
            <w:tcBorders>
              <w:bottom w:val="single" w:sz="8" w:space="0" w:color="auto"/>
            </w:tcBorders>
          </w:tcPr>
          <w:p w14:paraId="426654C7" w14:textId="1F55CD67" w:rsidR="0080472D" w:rsidRPr="005D39CA" w:rsidRDefault="005D39CA" w:rsidP="0080472D">
            <w:pPr>
              <w:jc w:val="center"/>
            </w:pPr>
            <w:r w:rsidRPr="005D39CA">
              <w:t>15</w:t>
            </w:r>
          </w:p>
          <w:p w14:paraId="6ACF1D3F" w14:textId="49C0FC99" w:rsidR="00FF6A4E" w:rsidRPr="005D39CA" w:rsidRDefault="005D39CA" w:rsidP="0080472D">
            <w:pPr>
              <w:jc w:val="center"/>
            </w:pPr>
            <w:r w:rsidRPr="005D39CA">
              <w:t>13</w:t>
            </w:r>
          </w:p>
          <w:p w14:paraId="6FA8E361" w14:textId="09542FCB" w:rsidR="00FF6A4E" w:rsidRPr="005D39CA" w:rsidRDefault="005D39CA" w:rsidP="0080472D">
            <w:pPr>
              <w:jc w:val="center"/>
            </w:pPr>
            <w:r w:rsidRPr="005D39CA">
              <w:t>26</w:t>
            </w:r>
          </w:p>
          <w:p w14:paraId="7F6B0AAB" w14:textId="00E2B8CF" w:rsidR="00FF6A4E" w:rsidRPr="005D39CA" w:rsidRDefault="005D39CA" w:rsidP="0080472D">
            <w:pPr>
              <w:jc w:val="center"/>
            </w:pPr>
            <w:r w:rsidRPr="005D39CA">
              <w:t>46</w:t>
            </w:r>
          </w:p>
          <w:p w14:paraId="4C4C38C5" w14:textId="12036963" w:rsidR="00FF6A4E" w:rsidRPr="005D39CA" w:rsidRDefault="005D39CA" w:rsidP="0080472D">
            <w:pPr>
              <w:jc w:val="center"/>
            </w:pPr>
            <w:r w:rsidRPr="005D39CA">
              <w:t>78</w:t>
            </w:r>
          </w:p>
          <w:p w14:paraId="188A294D" w14:textId="2DB07B26" w:rsidR="00FF6A4E" w:rsidRPr="005D39CA" w:rsidRDefault="00FF6A4E" w:rsidP="0080472D">
            <w:pPr>
              <w:jc w:val="center"/>
            </w:pPr>
            <w:r w:rsidRPr="005D39CA">
              <w:t>1</w:t>
            </w:r>
            <w:r w:rsidR="005D39CA" w:rsidRPr="005D39CA">
              <w:t>5</w:t>
            </w:r>
            <w:r w:rsidR="00432979">
              <w:t>7</w:t>
            </w:r>
          </w:p>
          <w:p w14:paraId="075F20E1" w14:textId="77777777" w:rsidR="00FF6A4E" w:rsidRPr="005D39CA" w:rsidRDefault="00FF6A4E" w:rsidP="0080472D">
            <w:pPr>
              <w:jc w:val="center"/>
            </w:pPr>
            <w:r w:rsidRPr="005D39CA">
              <w:t>0</w:t>
            </w:r>
          </w:p>
          <w:p w14:paraId="76346AE5" w14:textId="232AAF64" w:rsidR="00FF6A4E" w:rsidRPr="005D39CA" w:rsidRDefault="00FF6A4E" w:rsidP="0080472D">
            <w:pPr>
              <w:jc w:val="center"/>
            </w:pPr>
          </w:p>
        </w:tc>
      </w:tr>
      <w:tr w:rsidR="0080472D" w:rsidRPr="000127EF" w14:paraId="02687EAE" w14:textId="77777777" w:rsidTr="00FC790C">
        <w:trPr>
          <w:trHeight w:val="230"/>
          <w:jc w:val="center"/>
        </w:trPr>
        <w:tc>
          <w:tcPr>
            <w:tcW w:w="3667" w:type="dxa"/>
          </w:tcPr>
          <w:p w14:paraId="674E5F7D" w14:textId="54D150A1" w:rsidR="0080472D" w:rsidRPr="00987424" w:rsidRDefault="0080472D" w:rsidP="0080472D">
            <w:pPr>
              <w:rPr>
                <w:b/>
              </w:rPr>
            </w:pPr>
            <w:r w:rsidRPr="00987424">
              <w:rPr>
                <w:b/>
              </w:rPr>
              <w:t>Total</w:t>
            </w:r>
            <w:r w:rsidR="00340CD2" w:rsidRPr="00987424">
              <w:rPr>
                <w:b/>
              </w:rPr>
              <w:t xml:space="preserve"> Assets Impaired</w:t>
            </w:r>
          </w:p>
        </w:tc>
        <w:tc>
          <w:tcPr>
            <w:tcW w:w="1814" w:type="dxa"/>
            <w:tcBorders>
              <w:top w:val="single" w:sz="8" w:space="0" w:color="auto"/>
              <w:bottom w:val="single" w:sz="8" w:space="0" w:color="auto"/>
            </w:tcBorders>
          </w:tcPr>
          <w:p w14:paraId="44B23971" w14:textId="1CF67F0A" w:rsidR="0080472D" w:rsidRPr="005D39CA" w:rsidRDefault="005D39CA" w:rsidP="003154CB">
            <w:pPr>
              <w:jc w:val="center"/>
              <w:rPr>
                <w:b/>
              </w:rPr>
            </w:pPr>
            <w:r w:rsidRPr="005D39CA">
              <w:rPr>
                <w:b/>
              </w:rPr>
              <w:t>142</w:t>
            </w:r>
          </w:p>
        </w:tc>
        <w:tc>
          <w:tcPr>
            <w:tcW w:w="1814" w:type="dxa"/>
            <w:gridSpan w:val="2"/>
            <w:tcBorders>
              <w:top w:val="single" w:sz="8" w:space="0" w:color="auto"/>
              <w:bottom w:val="single" w:sz="8" w:space="0" w:color="auto"/>
            </w:tcBorders>
          </w:tcPr>
          <w:p w14:paraId="045287A2" w14:textId="03D7B045" w:rsidR="0080472D" w:rsidRPr="005D39CA" w:rsidRDefault="005D39CA" w:rsidP="003154CB">
            <w:pPr>
              <w:jc w:val="center"/>
              <w:rPr>
                <w:b/>
              </w:rPr>
            </w:pPr>
            <w:r w:rsidRPr="005D39CA">
              <w:rPr>
                <w:b/>
              </w:rPr>
              <w:t>388</w:t>
            </w:r>
          </w:p>
        </w:tc>
      </w:tr>
      <w:tr w:rsidR="0080472D" w:rsidRPr="005D39CA" w14:paraId="09F507B0" w14:textId="77777777" w:rsidTr="00FC790C">
        <w:trPr>
          <w:gridAfter w:val="1"/>
          <w:wAfter w:w="331" w:type="dxa"/>
          <w:trHeight w:val="98"/>
          <w:jc w:val="center"/>
        </w:trPr>
        <w:tc>
          <w:tcPr>
            <w:tcW w:w="6964" w:type="dxa"/>
            <w:gridSpan w:val="3"/>
            <w:tcBorders>
              <w:bottom w:val="single" w:sz="18" w:space="0" w:color="C5E0B3" w:themeColor="accent6" w:themeTint="66"/>
            </w:tcBorders>
          </w:tcPr>
          <w:p w14:paraId="47249A82" w14:textId="77777777" w:rsidR="0080472D" w:rsidRPr="005D39CA" w:rsidRDefault="0080472D" w:rsidP="0080472D">
            <w:pPr>
              <w:rPr>
                <w:b/>
                <w:sz w:val="12"/>
                <w:szCs w:val="12"/>
              </w:rPr>
            </w:pPr>
          </w:p>
        </w:tc>
      </w:tr>
    </w:tbl>
    <w:p w14:paraId="391F8EC4" w14:textId="2F432131" w:rsidR="00A80352" w:rsidRPr="000127EF" w:rsidRDefault="00A80352" w:rsidP="00A80352">
      <w:pPr>
        <w:sectPr w:rsidR="00A80352" w:rsidRPr="000127EF" w:rsidSect="008C78E8">
          <w:pgSz w:w="11907" w:h="16840" w:code="9"/>
          <w:pgMar w:top="1135" w:right="992" w:bottom="1440" w:left="709" w:header="567" w:footer="851" w:gutter="0"/>
          <w:paperSrc w:first="7" w:other="7"/>
          <w:cols w:space="720"/>
          <w:docGrid w:linePitch="299"/>
        </w:sectPr>
      </w:pPr>
    </w:p>
    <w:p w14:paraId="7AA28B8D" w14:textId="77777777" w:rsidR="004C3C95" w:rsidRPr="000127EF" w:rsidRDefault="004C3C95" w:rsidP="004C3C95">
      <w:pPr>
        <w:pStyle w:val="MainSoAHeading"/>
      </w:pPr>
      <w:bookmarkStart w:id="18" w:name="_Toc54886660"/>
      <w:r w:rsidRPr="000127EF">
        <w:lastRenderedPageBreak/>
        <w:t>Statement of Accounting Policies</w:t>
      </w:r>
      <w:bookmarkEnd w:id="18"/>
    </w:p>
    <w:p w14:paraId="48D098EF" w14:textId="77777777" w:rsidR="004C3C95" w:rsidRPr="000127EF" w:rsidRDefault="00661E70" w:rsidP="009B3D29">
      <w:pPr>
        <w:spacing w:after="240"/>
      </w:pPr>
      <w:r>
        <w:pict w14:anchorId="2C0D9C13">
          <v:rect id="_x0000_i1035" style="width:510.3pt;height:2pt" o:hralign="center" o:hrstd="t" o:hrnoshade="t" o:hr="t" fillcolor="#a8d08d [1945]" stroked="f"/>
        </w:pict>
      </w:r>
    </w:p>
    <w:p w14:paraId="0587D448" w14:textId="77777777" w:rsidR="004C3C95" w:rsidRPr="001B4C9B" w:rsidRDefault="004C3C95" w:rsidP="004C3C95">
      <w:pPr>
        <w:spacing w:after="240"/>
        <w:rPr>
          <w:b/>
          <w:u w:val="single"/>
        </w:rPr>
      </w:pPr>
      <w:r w:rsidRPr="001B4C9B">
        <w:rPr>
          <w:b/>
          <w:u w:val="single"/>
        </w:rPr>
        <w:t>G</w:t>
      </w:r>
      <w:r w:rsidR="00BF2929" w:rsidRPr="001B4C9B">
        <w:rPr>
          <w:b/>
          <w:u w:val="single"/>
        </w:rPr>
        <w:t>eneral Principles</w:t>
      </w:r>
    </w:p>
    <w:p w14:paraId="46E77E43" w14:textId="7CFAFE8B" w:rsidR="004C3C95" w:rsidRPr="001B4C9B" w:rsidRDefault="004C3C95" w:rsidP="00BF2929">
      <w:pPr>
        <w:spacing w:after="240"/>
        <w:jc w:val="both"/>
      </w:pPr>
      <w:r w:rsidRPr="001B4C9B">
        <w:t>The Statement of Accounts summarises the Council's transactions for the 201</w:t>
      </w:r>
      <w:r w:rsidR="00432979">
        <w:t>9</w:t>
      </w:r>
      <w:r w:rsidRPr="001B4C9B">
        <w:t>/</w:t>
      </w:r>
      <w:r w:rsidR="00432979">
        <w:t>20</w:t>
      </w:r>
      <w:r w:rsidRPr="001B4C9B">
        <w:t xml:space="preserve"> financial year and its position at the year-end of 31st March 20</w:t>
      </w:r>
      <w:r w:rsidR="00432979">
        <w:t>20</w:t>
      </w:r>
      <w:r w:rsidRPr="001B4C9B">
        <w:t xml:space="preserve">.  The authority is required to prepare an annual Statement of Accounts by the Accounts and </w:t>
      </w:r>
      <w:r w:rsidR="00C34C5E" w:rsidRPr="001B4C9B">
        <w:t>Audit (England) Regulations 2015</w:t>
      </w:r>
      <w:r w:rsidRPr="001B4C9B">
        <w:t xml:space="preserve">, which those regulations require to be prepared in accordance with proper accounting practices.  These practices </w:t>
      </w:r>
      <w:r w:rsidR="00F77F9C" w:rsidRPr="001B4C9B">
        <w:t xml:space="preserve">under section 21 of the 2003 Act </w:t>
      </w:r>
      <w:r w:rsidRPr="001B4C9B">
        <w:t xml:space="preserve">primarily comprise the Code of Practice on Local Authority Accounting in the United Kingdom </w:t>
      </w:r>
      <w:r w:rsidR="00432979">
        <w:t>2019/20</w:t>
      </w:r>
      <w:r w:rsidR="00F77F9C" w:rsidRPr="001B4C9B">
        <w:t xml:space="preserve">, supported </w:t>
      </w:r>
      <w:r w:rsidRPr="001B4C9B">
        <w:t>by International Financial Reporting Standards (IF</w:t>
      </w:r>
      <w:r w:rsidR="00BF2929" w:rsidRPr="001B4C9B">
        <w:t>RS) and statutory guidance issued under section 12 of the 2003 Act.</w:t>
      </w:r>
    </w:p>
    <w:p w14:paraId="39E39B58" w14:textId="77777777" w:rsidR="004C3C95" w:rsidRPr="001B4C9B" w:rsidRDefault="004C3C95" w:rsidP="00BF2929">
      <w:pPr>
        <w:spacing w:after="240"/>
        <w:jc w:val="both"/>
      </w:pPr>
      <w:r w:rsidRPr="001B4C9B">
        <w:t>The accounting convention adopted in the Statement of Accounts is principally historical cost, modified by the revaluation of certain categories of non-current assets and financial instruments.</w:t>
      </w:r>
    </w:p>
    <w:p w14:paraId="6BCB51FD" w14:textId="77777777" w:rsidR="004C3C95" w:rsidRPr="001B4C9B" w:rsidRDefault="00BF2929" w:rsidP="004C3C95">
      <w:pPr>
        <w:spacing w:after="240"/>
        <w:rPr>
          <w:b/>
          <w:u w:val="single"/>
        </w:rPr>
      </w:pPr>
      <w:r w:rsidRPr="001B4C9B">
        <w:rPr>
          <w:b/>
          <w:u w:val="single"/>
        </w:rPr>
        <w:t>Accruals of Income and Expenditure</w:t>
      </w:r>
    </w:p>
    <w:p w14:paraId="72153AA3" w14:textId="77777777" w:rsidR="004C3C95" w:rsidRPr="001B4C9B" w:rsidRDefault="004C3C95" w:rsidP="00BF2929">
      <w:pPr>
        <w:spacing w:after="240"/>
        <w:jc w:val="both"/>
      </w:pPr>
      <w:r w:rsidRPr="001B4C9B">
        <w:t>Activity is accounted for in the year that it takes place, not simply when cash payments are made or received.  In particular:</w:t>
      </w:r>
    </w:p>
    <w:p w14:paraId="3377766D" w14:textId="708D38BA" w:rsidR="004C3C95" w:rsidRPr="001B4C9B" w:rsidRDefault="00BF2929" w:rsidP="005676B7">
      <w:pPr>
        <w:numPr>
          <w:ilvl w:val="0"/>
          <w:numId w:val="10"/>
        </w:numPr>
        <w:spacing w:after="120"/>
        <w:ind w:left="714" w:hanging="357"/>
        <w:jc w:val="both"/>
        <w:rPr>
          <w:rFonts w:cs="Arial"/>
          <w:szCs w:val="22"/>
        </w:rPr>
      </w:pPr>
      <w:r w:rsidRPr="001B4C9B">
        <w:rPr>
          <w:rFonts w:cs="Arial"/>
          <w:szCs w:val="22"/>
        </w:rPr>
        <w:t>R</w:t>
      </w:r>
      <w:r w:rsidR="004C3C95" w:rsidRPr="001B4C9B">
        <w:rPr>
          <w:rFonts w:cs="Arial"/>
          <w:szCs w:val="22"/>
        </w:rPr>
        <w:t xml:space="preserve">evenue from </w:t>
      </w:r>
      <w:r w:rsidR="00765052" w:rsidRPr="001B4C9B">
        <w:rPr>
          <w:rFonts w:cs="Arial"/>
          <w:szCs w:val="22"/>
        </w:rPr>
        <w:t xml:space="preserve">contracts with service recipients, whether for service or the provision of goods, </w:t>
      </w:r>
      <w:r w:rsidR="004C3C95" w:rsidRPr="001B4C9B">
        <w:rPr>
          <w:rFonts w:cs="Arial"/>
          <w:szCs w:val="22"/>
        </w:rPr>
        <w:t xml:space="preserve">is recognised when </w:t>
      </w:r>
      <w:r w:rsidR="00765052" w:rsidRPr="001B4C9B">
        <w:rPr>
          <w:rFonts w:cs="Arial"/>
          <w:szCs w:val="22"/>
        </w:rPr>
        <w:t xml:space="preserve">(or as) </w:t>
      </w:r>
      <w:r w:rsidR="004C3C95" w:rsidRPr="001B4C9B">
        <w:rPr>
          <w:rFonts w:cs="Arial"/>
          <w:szCs w:val="22"/>
        </w:rPr>
        <w:t xml:space="preserve">the </w:t>
      </w:r>
      <w:r w:rsidR="00765052" w:rsidRPr="001B4C9B">
        <w:rPr>
          <w:rFonts w:cs="Arial"/>
          <w:szCs w:val="22"/>
        </w:rPr>
        <w:t xml:space="preserve">good or services are </w:t>
      </w:r>
      <w:r w:rsidR="004C3C95" w:rsidRPr="001B4C9B">
        <w:rPr>
          <w:rFonts w:cs="Arial"/>
          <w:szCs w:val="22"/>
        </w:rPr>
        <w:t xml:space="preserve">transfers </w:t>
      </w:r>
      <w:r w:rsidR="00765052" w:rsidRPr="001B4C9B">
        <w:rPr>
          <w:rFonts w:cs="Arial"/>
          <w:szCs w:val="22"/>
        </w:rPr>
        <w:t xml:space="preserve">to the service recipient in accordance with the performance obligations in the contract. </w:t>
      </w:r>
    </w:p>
    <w:p w14:paraId="6E8FD3E0" w14:textId="77777777" w:rsidR="004C3C95" w:rsidRPr="001B4C9B" w:rsidRDefault="00BF2929" w:rsidP="005676B7">
      <w:pPr>
        <w:numPr>
          <w:ilvl w:val="0"/>
          <w:numId w:val="10"/>
        </w:numPr>
        <w:spacing w:after="120"/>
        <w:ind w:left="714" w:hanging="357"/>
        <w:jc w:val="both"/>
        <w:rPr>
          <w:rFonts w:cs="Arial"/>
          <w:szCs w:val="22"/>
        </w:rPr>
      </w:pPr>
      <w:r w:rsidRPr="001B4C9B">
        <w:rPr>
          <w:rFonts w:cs="Arial"/>
          <w:szCs w:val="22"/>
        </w:rPr>
        <w:t>S</w:t>
      </w:r>
      <w:r w:rsidR="004C3C95" w:rsidRPr="001B4C9B">
        <w:rPr>
          <w:rFonts w:cs="Arial"/>
          <w:szCs w:val="22"/>
        </w:rPr>
        <w:t>upplies are recorded as expenditure when they are consumed; where there is a gap between the date the supplies are received and their consumption, they are carried as inventories on the balance sheet.</w:t>
      </w:r>
    </w:p>
    <w:p w14:paraId="1EC02240" w14:textId="77777777" w:rsidR="004C3C95" w:rsidRPr="001B4C9B" w:rsidRDefault="004C3C95" w:rsidP="005676B7">
      <w:pPr>
        <w:numPr>
          <w:ilvl w:val="0"/>
          <w:numId w:val="10"/>
        </w:numPr>
        <w:spacing w:after="120"/>
        <w:ind w:left="714" w:hanging="357"/>
        <w:jc w:val="both"/>
        <w:rPr>
          <w:rFonts w:cs="Arial"/>
          <w:szCs w:val="22"/>
        </w:rPr>
      </w:pPr>
      <w:r w:rsidRPr="001B4C9B">
        <w:rPr>
          <w:rFonts w:cs="Arial"/>
          <w:szCs w:val="22"/>
        </w:rPr>
        <w:t>Expenses in relation to services received (including services provided by employees) are recorded as expenditure when the services are received rather than when payments are made.</w:t>
      </w:r>
    </w:p>
    <w:p w14:paraId="4BEEBE0D" w14:textId="77777777" w:rsidR="004C3C95" w:rsidRPr="001B4C9B" w:rsidRDefault="004C3C95" w:rsidP="005676B7">
      <w:pPr>
        <w:numPr>
          <w:ilvl w:val="0"/>
          <w:numId w:val="10"/>
        </w:numPr>
        <w:spacing w:after="120"/>
        <w:ind w:left="714" w:hanging="357"/>
        <w:jc w:val="both"/>
        <w:rPr>
          <w:rFonts w:cs="Arial"/>
          <w:szCs w:val="22"/>
        </w:rPr>
      </w:pPr>
      <w:r w:rsidRPr="001B4C9B">
        <w:rPr>
          <w:rFonts w:cs="Arial"/>
          <w:szCs w:val="22"/>
        </w:rPr>
        <w:t>In</w:t>
      </w:r>
      <w:r w:rsidR="0034328D" w:rsidRPr="001B4C9B">
        <w:rPr>
          <w:rFonts w:cs="Arial"/>
          <w:szCs w:val="22"/>
        </w:rPr>
        <w:t>terest</w:t>
      </w:r>
      <w:r w:rsidRPr="001B4C9B">
        <w:rPr>
          <w:rFonts w:cs="Arial"/>
          <w:szCs w:val="22"/>
        </w:rPr>
        <w:t xml:space="preserve"> receivable on investments </w:t>
      </w:r>
      <w:r w:rsidR="0034328D" w:rsidRPr="001B4C9B">
        <w:rPr>
          <w:rFonts w:cs="Arial"/>
          <w:szCs w:val="22"/>
        </w:rPr>
        <w:t xml:space="preserve">and payable on borrowing </w:t>
      </w:r>
      <w:r w:rsidRPr="001B4C9B">
        <w:rPr>
          <w:rFonts w:cs="Arial"/>
          <w:szCs w:val="22"/>
        </w:rPr>
        <w:t xml:space="preserve">is accounted for respectively as </w:t>
      </w:r>
      <w:r w:rsidR="0034328D" w:rsidRPr="001B4C9B">
        <w:rPr>
          <w:rFonts w:cs="Arial"/>
          <w:szCs w:val="22"/>
        </w:rPr>
        <w:t>income and expenditure</w:t>
      </w:r>
      <w:r w:rsidRPr="001B4C9B">
        <w:rPr>
          <w:rFonts w:cs="Arial"/>
          <w:szCs w:val="22"/>
        </w:rPr>
        <w:t xml:space="preserve"> on the basis of the effective interest rate for the relevant financial instrument rather than the cash flows fixed or determined by the contract. </w:t>
      </w:r>
    </w:p>
    <w:p w14:paraId="20FDD988" w14:textId="77777777" w:rsidR="004C3C95" w:rsidRPr="001B4C9B" w:rsidRDefault="004C3C95" w:rsidP="005676B7">
      <w:pPr>
        <w:numPr>
          <w:ilvl w:val="0"/>
          <w:numId w:val="10"/>
        </w:numPr>
        <w:spacing w:after="120"/>
        <w:ind w:left="714" w:hanging="357"/>
        <w:jc w:val="both"/>
        <w:rPr>
          <w:rFonts w:cs="Arial"/>
          <w:szCs w:val="22"/>
        </w:rPr>
      </w:pPr>
      <w:r w:rsidRPr="001B4C9B">
        <w:rPr>
          <w:rFonts w:cs="Arial"/>
          <w:szCs w:val="22"/>
        </w:rPr>
        <w:t>Where revenue and expenditure have been recognised but cash has not been received or paid, a debtor or creditor for the relevant amount is recorded in the Balance Sheet. Where debts may not be settled, the balance of debtors is written down and a charge made to revenue for the income that might not be collected.</w:t>
      </w:r>
    </w:p>
    <w:p w14:paraId="458F03F5" w14:textId="77777777" w:rsidR="0035542D" w:rsidRPr="001B4C9B" w:rsidRDefault="0035542D" w:rsidP="00DC5E65">
      <w:pPr>
        <w:spacing w:after="240"/>
        <w:rPr>
          <w:b/>
          <w:u w:val="single"/>
        </w:rPr>
      </w:pPr>
      <w:r w:rsidRPr="001B4C9B">
        <w:rPr>
          <w:b/>
          <w:u w:val="single"/>
        </w:rPr>
        <w:t>Acquisitions and Discontinued Operations</w:t>
      </w:r>
      <w:r w:rsidR="00DC5E65" w:rsidRPr="001B4C9B">
        <w:rPr>
          <w:b/>
          <w:u w:val="single"/>
        </w:rPr>
        <w:t xml:space="preserve"> </w:t>
      </w:r>
    </w:p>
    <w:p w14:paraId="24C3317B" w14:textId="6A6800B0" w:rsidR="003B27F2" w:rsidRPr="001B4C9B" w:rsidRDefault="003B27F2" w:rsidP="00F96D7C">
      <w:pPr>
        <w:spacing w:after="240"/>
      </w:pPr>
      <w:r w:rsidRPr="001B4C9B">
        <w:t>Acquired Operations</w:t>
      </w:r>
    </w:p>
    <w:p w14:paraId="32EF4B3C" w14:textId="744341F7" w:rsidR="003B27F2" w:rsidRPr="001B4C9B" w:rsidRDefault="003B27F2" w:rsidP="00F96D7C">
      <w:pPr>
        <w:spacing w:after="240"/>
      </w:pPr>
      <w:r w:rsidRPr="001B4C9B">
        <w:t>Additional policy detail required where an authority has acquired operations (or transferred operation</w:t>
      </w:r>
      <w:r w:rsidR="00A8100A" w:rsidRPr="001B4C9B">
        <w:t>s</w:t>
      </w:r>
      <w:r w:rsidRPr="001B4C9B">
        <w:t xml:space="preserve"> under combination</w:t>
      </w:r>
      <w:r w:rsidR="00A8100A" w:rsidRPr="001B4C9B">
        <w:t>s</w:t>
      </w:r>
      <w:r w:rsidRPr="001B4C9B">
        <w:t xml:space="preserve"> of public sector bodies) during the financial year.</w:t>
      </w:r>
    </w:p>
    <w:p w14:paraId="7F6EB510" w14:textId="55EC75EA" w:rsidR="00E9074E" w:rsidRPr="001B4C9B" w:rsidRDefault="00A8100A" w:rsidP="00A8100A">
      <w:pPr>
        <w:pStyle w:val="ListParagraph"/>
        <w:ind w:left="0"/>
      </w:pPr>
      <w:r w:rsidRPr="001B4C9B">
        <w:t>Discontinued Operations</w:t>
      </w:r>
    </w:p>
    <w:p w14:paraId="534695C5" w14:textId="77777777" w:rsidR="00A8100A" w:rsidRPr="001B4C9B" w:rsidRDefault="00A8100A" w:rsidP="00A8100A">
      <w:pPr>
        <w:pStyle w:val="ListParagraph"/>
        <w:ind w:left="0"/>
      </w:pPr>
    </w:p>
    <w:p w14:paraId="6B74798E" w14:textId="4F2013E4" w:rsidR="00A8100A" w:rsidRPr="001B4C9B" w:rsidRDefault="00A8100A" w:rsidP="00E9074E">
      <w:pPr>
        <w:spacing w:after="240"/>
      </w:pPr>
      <w:r w:rsidRPr="001B4C9B">
        <w:t>Additional policy detail required where an authority has discontinued operations (or transferred operations under combinations of public sector bodies) during the financial year.</w:t>
      </w:r>
    </w:p>
    <w:p w14:paraId="2C22F913" w14:textId="77777777" w:rsidR="004C3C95" w:rsidRPr="001B4C9B" w:rsidRDefault="004C3C95" w:rsidP="00F96D7C">
      <w:pPr>
        <w:spacing w:after="240"/>
        <w:rPr>
          <w:b/>
          <w:u w:val="single"/>
        </w:rPr>
      </w:pPr>
      <w:r w:rsidRPr="001B4C9B">
        <w:rPr>
          <w:b/>
          <w:u w:val="single"/>
        </w:rPr>
        <w:t>C</w:t>
      </w:r>
      <w:r w:rsidR="00D6391D" w:rsidRPr="001B4C9B">
        <w:rPr>
          <w:b/>
          <w:u w:val="single"/>
        </w:rPr>
        <w:t>ash</w:t>
      </w:r>
      <w:r w:rsidRPr="001B4C9B">
        <w:rPr>
          <w:b/>
          <w:u w:val="single"/>
        </w:rPr>
        <w:t xml:space="preserve"> </w:t>
      </w:r>
      <w:r w:rsidR="00D6391D" w:rsidRPr="001B4C9B">
        <w:rPr>
          <w:b/>
          <w:u w:val="single"/>
        </w:rPr>
        <w:t>and</w:t>
      </w:r>
      <w:r w:rsidRPr="001B4C9B">
        <w:rPr>
          <w:b/>
          <w:u w:val="single"/>
        </w:rPr>
        <w:t xml:space="preserve"> C</w:t>
      </w:r>
      <w:r w:rsidR="00D6391D" w:rsidRPr="001B4C9B">
        <w:rPr>
          <w:b/>
          <w:u w:val="single"/>
        </w:rPr>
        <w:t>ash</w:t>
      </w:r>
      <w:r w:rsidRPr="001B4C9B">
        <w:rPr>
          <w:b/>
          <w:u w:val="single"/>
        </w:rPr>
        <w:t xml:space="preserve"> E</w:t>
      </w:r>
      <w:r w:rsidR="00D6391D" w:rsidRPr="001B4C9B">
        <w:rPr>
          <w:b/>
          <w:u w:val="single"/>
        </w:rPr>
        <w:t>quivalents</w:t>
      </w:r>
    </w:p>
    <w:p w14:paraId="54BA0666" w14:textId="77777777" w:rsidR="004C3C95" w:rsidRPr="001B4C9B" w:rsidRDefault="004C3C95" w:rsidP="00D6391D">
      <w:pPr>
        <w:spacing w:after="240"/>
        <w:jc w:val="both"/>
      </w:pPr>
      <w:r w:rsidRPr="001B4C9B">
        <w:t xml:space="preserve">Cash is represented by cash in hand and deposits with financial institutions repayable without penalty on notice of not more than 24 hours.  </w:t>
      </w:r>
      <w:r w:rsidR="00D6391D" w:rsidRPr="001B4C9B">
        <w:t xml:space="preserve">Cash equivalents are highly liquid investments that mature in three </w:t>
      </w:r>
      <w:r w:rsidR="00D6391D" w:rsidRPr="001B4C9B">
        <w:lastRenderedPageBreak/>
        <w:t>months or less from the date of acquisition and that are readily convertible to known amounts of cash with insignificant risk of change in value.</w:t>
      </w:r>
    </w:p>
    <w:p w14:paraId="7F944F3E" w14:textId="77777777" w:rsidR="004C3C95" w:rsidRPr="001B4C9B" w:rsidRDefault="004C3C95" w:rsidP="00D6391D">
      <w:pPr>
        <w:spacing w:after="240"/>
        <w:jc w:val="both"/>
      </w:pPr>
      <w:r w:rsidRPr="001B4C9B">
        <w:t>In the Cash Flow Statement</w:t>
      </w:r>
      <w:r w:rsidR="00D6391D" w:rsidRPr="001B4C9B">
        <w:t>,</w:t>
      </w:r>
      <w:r w:rsidRPr="001B4C9B">
        <w:t xml:space="preserve"> cash and cash equivalents are shown net of bank overdrafts that are repayable on demand and form an integral part of the </w:t>
      </w:r>
      <w:r w:rsidR="00D6391D" w:rsidRPr="001B4C9B">
        <w:t>Council’s</w:t>
      </w:r>
      <w:r w:rsidRPr="001B4C9B">
        <w:t xml:space="preserve"> cash management.</w:t>
      </w:r>
    </w:p>
    <w:p w14:paraId="77B0F5B5" w14:textId="77777777" w:rsidR="004C3C95" w:rsidRPr="001B4C9B" w:rsidRDefault="004C3C95" w:rsidP="004C3C95">
      <w:pPr>
        <w:spacing w:after="240"/>
        <w:rPr>
          <w:b/>
          <w:u w:val="single"/>
        </w:rPr>
      </w:pPr>
      <w:r w:rsidRPr="001B4C9B">
        <w:rPr>
          <w:b/>
          <w:u w:val="single"/>
        </w:rPr>
        <w:t>P</w:t>
      </w:r>
      <w:r w:rsidR="00D6391D" w:rsidRPr="001B4C9B">
        <w:rPr>
          <w:b/>
          <w:u w:val="single"/>
        </w:rPr>
        <w:t>rior</w:t>
      </w:r>
      <w:r w:rsidRPr="001B4C9B">
        <w:rPr>
          <w:b/>
          <w:u w:val="single"/>
        </w:rPr>
        <w:t xml:space="preserve"> P</w:t>
      </w:r>
      <w:r w:rsidR="00D6391D" w:rsidRPr="001B4C9B">
        <w:rPr>
          <w:b/>
          <w:u w:val="single"/>
        </w:rPr>
        <w:t>eriod</w:t>
      </w:r>
      <w:r w:rsidRPr="001B4C9B">
        <w:rPr>
          <w:b/>
          <w:u w:val="single"/>
        </w:rPr>
        <w:t xml:space="preserve"> A</w:t>
      </w:r>
      <w:r w:rsidR="00D6391D" w:rsidRPr="001B4C9B">
        <w:rPr>
          <w:b/>
          <w:u w:val="single"/>
        </w:rPr>
        <w:t>djustments</w:t>
      </w:r>
      <w:r w:rsidRPr="001B4C9B">
        <w:rPr>
          <w:b/>
          <w:u w:val="single"/>
        </w:rPr>
        <w:t>, C</w:t>
      </w:r>
      <w:r w:rsidR="00D6391D" w:rsidRPr="001B4C9B">
        <w:rPr>
          <w:b/>
          <w:u w:val="single"/>
        </w:rPr>
        <w:t>hanges</w:t>
      </w:r>
      <w:r w:rsidRPr="001B4C9B">
        <w:rPr>
          <w:b/>
          <w:u w:val="single"/>
        </w:rPr>
        <w:t xml:space="preserve"> </w:t>
      </w:r>
      <w:r w:rsidR="00D6391D" w:rsidRPr="001B4C9B">
        <w:rPr>
          <w:b/>
          <w:u w:val="single"/>
        </w:rPr>
        <w:t>in</w:t>
      </w:r>
      <w:r w:rsidRPr="001B4C9B">
        <w:rPr>
          <w:b/>
          <w:u w:val="single"/>
        </w:rPr>
        <w:t xml:space="preserve"> A</w:t>
      </w:r>
      <w:r w:rsidR="00D6391D" w:rsidRPr="001B4C9B">
        <w:rPr>
          <w:b/>
          <w:u w:val="single"/>
        </w:rPr>
        <w:t>ccounting</w:t>
      </w:r>
      <w:r w:rsidRPr="001B4C9B">
        <w:rPr>
          <w:b/>
          <w:u w:val="single"/>
        </w:rPr>
        <w:t xml:space="preserve"> P</w:t>
      </w:r>
      <w:r w:rsidR="00D6391D" w:rsidRPr="001B4C9B">
        <w:rPr>
          <w:b/>
          <w:u w:val="single"/>
        </w:rPr>
        <w:t>olicies</w:t>
      </w:r>
      <w:r w:rsidRPr="001B4C9B">
        <w:rPr>
          <w:b/>
          <w:u w:val="single"/>
        </w:rPr>
        <w:t xml:space="preserve"> </w:t>
      </w:r>
      <w:r w:rsidR="00D6391D" w:rsidRPr="001B4C9B">
        <w:rPr>
          <w:b/>
          <w:u w:val="single"/>
        </w:rPr>
        <w:t>and</w:t>
      </w:r>
      <w:r w:rsidRPr="001B4C9B">
        <w:rPr>
          <w:b/>
          <w:u w:val="single"/>
        </w:rPr>
        <w:t xml:space="preserve"> E</w:t>
      </w:r>
      <w:r w:rsidR="00D6391D" w:rsidRPr="001B4C9B">
        <w:rPr>
          <w:b/>
          <w:u w:val="single"/>
        </w:rPr>
        <w:t>stimates</w:t>
      </w:r>
      <w:r w:rsidRPr="001B4C9B">
        <w:rPr>
          <w:b/>
          <w:u w:val="single"/>
        </w:rPr>
        <w:t xml:space="preserve"> </w:t>
      </w:r>
      <w:r w:rsidR="00D6391D" w:rsidRPr="001B4C9B">
        <w:rPr>
          <w:b/>
          <w:u w:val="single"/>
        </w:rPr>
        <w:t>and</w:t>
      </w:r>
      <w:r w:rsidRPr="001B4C9B">
        <w:rPr>
          <w:b/>
          <w:u w:val="single"/>
        </w:rPr>
        <w:t xml:space="preserve"> E</w:t>
      </w:r>
      <w:r w:rsidR="00D6391D" w:rsidRPr="001B4C9B">
        <w:rPr>
          <w:b/>
          <w:u w:val="single"/>
        </w:rPr>
        <w:t>rrors</w:t>
      </w:r>
    </w:p>
    <w:p w14:paraId="5ACF0814" w14:textId="77777777" w:rsidR="004C3C95" w:rsidRPr="001B4C9B" w:rsidRDefault="004C3C95" w:rsidP="00D6391D">
      <w:pPr>
        <w:spacing w:after="240"/>
        <w:jc w:val="both"/>
      </w:pPr>
      <w:r w:rsidRPr="001B4C9B">
        <w:t>Prior period adjustments may arise as a result of a change in accounting policies or to correct a material error.  Changes in accounting estimates are accounted for prospectively, i.e. in the current and future years affected by the change and do not give rise to a prior period adjustment.</w:t>
      </w:r>
    </w:p>
    <w:p w14:paraId="5375D3B0" w14:textId="77777777" w:rsidR="004C3C95" w:rsidRPr="001B4C9B" w:rsidRDefault="004C3C95" w:rsidP="00D6391D">
      <w:pPr>
        <w:spacing w:after="240"/>
        <w:jc w:val="both"/>
      </w:pPr>
      <w:r w:rsidRPr="001B4C9B">
        <w:t xml:space="preserve">Changes in accounting policies are only made when required by proper accounting practices or the change provides more reliable or relevant information about the effect of transactions, other events and conditions on the </w:t>
      </w:r>
      <w:r w:rsidR="00D6391D" w:rsidRPr="001B4C9B">
        <w:t>Council</w:t>
      </w:r>
      <w:r w:rsidRPr="001B4C9B">
        <w:t>’s financial position or financial performance.  Where a change is made it is applied retrospectively (unless stated otherwise) by adjusting opening balances and comparative amounts for the prior period as if the new policy had always been applied.</w:t>
      </w:r>
    </w:p>
    <w:p w14:paraId="6A46DA68" w14:textId="77777777" w:rsidR="004C3C95" w:rsidRPr="001B4C9B" w:rsidRDefault="004C3C95" w:rsidP="00D6391D">
      <w:pPr>
        <w:spacing w:after="240"/>
        <w:jc w:val="both"/>
      </w:pPr>
      <w:r w:rsidRPr="001B4C9B">
        <w:t>Material errors discovered in prior period figures are corrected retrospectively by amending opening balances and comparative amounts for the prior period.</w:t>
      </w:r>
    </w:p>
    <w:p w14:paraId="3B35AEF5" w14:textId="77777777" w:rsidR="004C3C95" w:rsidRPr="001B4C9B" w:rsidRDefault="004C3C95" w:rsidP="004C3C95">
      <w:pPr>
        <w:spacing w:after="240"/>
        <w:rPr>
          <w:b/>
          <w:u w:val="single"/>
        </w:rPr>
      </w:pPr>
      <w:r w:rsidRPr="001B4C9B">
        <w:rPr>
          <w:b/>
          <w:u w:val="single"/>
        </w:rPr>
        <w:t>C</w:t>
      </w:r>
      <w:r w:rsidR="00D6391D" w:rsidRPr="001B4C9B">
        <w:rPr>
          <w:b/>
          <w:u w:val="single"/>
        </w:rPr>
        <w:t>harges</w:t>
      </w:r>
      <w:r w:rsidRPr="001B4C9B">
        <w:rPr>
          <w:b/>
          <w:u w:val="single"/>
        </w:rPr>
        <w:t xml:space="preserve"> </w:t>
      </w:r>
      <w:r w:rsidR="00D6391D" w:rsidRPr="001B4C9B">
        <w:rPr>
          <w:b/>
          <w:u w:val="single"/>
        </w:rPr>
        <w:t>to</w:t>
      </w:r>
      <w:r w:rsidRPr="001B4C9B">
        <w:rPr>
          <w:b/>
          <w:u w:val="single"/>
        </w:rPr>
        <w:t xml:space="preserve"> R</w:t>
      </w:r>
      <w:r w:rsidR="00D6391D" w:rsidRPr="001B4C9B">
        <w:rPr>
          <w:b/>
          <w:u w:val="single"/>
        </w:rPr>
        <w:t>evenue</w:t>
      </w:r>
      <w:r w:rsidRPr="001B4C9B">
        <w:rPr>
          <w:b/>
          <w:u w:val="single"/>
        </w:rPr>
        <w:t xml:space="preserve"> </w:t>
      </w:r>
      <w:r w:rsidR="00D6391D" w:rsidRPr="001B4C9B">
        <w:rPr>
          <w:b/>
          <w:u w:val="single"/>
        </w:rPr>
        <w:t>for</w:t>
      </w:r>
      <w:r w:rsidRPr="001B4C9B">
        <w:rPr>
          <w:b/>
          <w:u w:val="single"/>
        </w:rPr>
        <w:t xml:space="preserve"> N</w:t>
      </w:r>
      <w:r w:rsidR="00D6391D" w:rsidRPr="001B4C9B">
        <w:rPr>
          <w:b/>
          <w:u w:val="single"/>
        </w:rPr>
        <w:t>on</w:t>
      </w:r>
      <w:r w:rsidRPr="001B4C9B">
        <w:rPr>
          <w:b/>
          <w:u w:val="single"/>
        </w:rPr>
        <w:t>-C</w:t>
      </w:r>
      <w:r w:rsidR="00D6391D" w:rsidRPr="001B4C9B">
        <w:rPr>
          <w:b/>
          <w:u w:val="single"/>
        </w:rPr>
        <w:t>urrent</w:t>
      </w:r>
      <w:r w:rsidRPr="001B4C9B">
        <w:rPr>
          <w:b/>
          <w:u w:val="single"/>
        </w:rPr>
        <w:t xml:space="preserve"> A</w:t>
      </w:r>
      <w:r w:rsidR="00D6391D" w:rsidRPr="001B4C9B">
        <w:rPr>
          <w:b/>
          <w:u w:val="single"/>
        </w:rPr>
        <w:t>ssets</w:t>
      </w:r>
    </w:p>
    <w:p w14:paraId="1585CB6B" w14:textId="77777777" w:rsidR="004C3C95" w:rsidRPr="001B4C9B" w:rsidRDefault="004C3C95" w:rsidP="00D6391D">
      <w:pPr>
        <w:spacing w:after="240"/>
        <w:jc w:val="both"/>
      </w:pPr>
      <w:r w:rsidRPr="001B4C9B">
        <w:t>Services, support services and trading accounts are debited with the following amounts to record the cost of holding non-current assets during the year:</w:t>
      </w:r>
    </w:p>
    <w:p w14:paraId="48D97640" w14:textId="77777777" w:rsidR="004C3C95" w:rsidRPr="001B4C9B" w:rsidRDefault="004C3C95" w:rsidP="005676B7">
      <w:pPr>
        <w:numPr>
          <w:ilvl w:val="0"/>
          <w:numId w:val="10"/>
        </w:numPr>
        <w:spacing w:after="120"/>
        <w:ind w:left="714" w:hanging="357"/>
        <w:jc w:val="both"/>
        <w:rPr>
          <w:rFonts w:cs="Arial"/>
          <w:szCs w:val="22"/>
        </w:rPr>
      </w:pPr>
      <w:r w:rsidRPr="001B4C9B">
        <w:rPr>
          <w:rFonts w:cs="Arial"/>
          <w:szCs w:val="22"/>
        </w:rPr>
        <w:t>Depreciation attributable to the assets used by the relevant service.</w:t>
      </w:r>
    </w:p>
    <w:p w14:paraId="599A5FCC" w14:textId="78E6B4F8" w:rsidR="004C3C95" w:rsidRPr="001B4C9B" w:rsidRDefault="004C3C95" w:rsidP="005676B7">
      <w:pPr>
        <w:numPr>
          <w:ilvl w:val="0"/>
          <w:numId w:val="10"/>
        </w:numPr>
        <w:spacing w:after="120"/>
        <w:ind w:left="714" w:hanging="357"/>
        <w:jc w:val="both"/>
        <w:rPr>
          <w:rFonts w:cs="Arial"/>
          <w:szCs w:val="22"/>
        </w:rPr>
      </w:pPr>
      <w:r w:rsidRPr="001B4C9B">
        <w:rPr>
          <w:rFonts w:cs="Arial"/>
          <w:szCs w:val="22"/>
        </w:rPr>
        <w:t>Revaluation and impairment losses on assets used by the service where there are no accumulated gains in the Revaluation Reserve against which</w:t>
      </w:r>
      <w:r w:rsidR="003F3ED7" w:rsidRPr="001B4C9B">
        <w:rPr>
          <w:rFonts w:cs="Arial"/>
          <w:szCs w:val="22"/>
        </w:rPr>
        <w:t xml:space="preserve"> the</w:t>
      </w:r>
      <w:r w:rsidRPr="001B4C9B">
        <w:rPr>
          <w:rFonts w:cs="Arial"/>
          <w:szCs w:val="22"/>
        </w:rPr>
        <w:t xml:space="preserve"> losses can be written off</w:t>
      </w:r>
      <w:r w:rsidR="00D6391D" w:rsidRPr="001B4C9B">
        <w:rPr>
          <w:rFonts w:cs="Arial"/>
          <w:szCs w:val="22"/>
        </w:rPr>
        <w:t>.</w:t>
      </w:r>
    </w:p>
    <w:p w14:paraId="1259FA31" w14:textId="77777777" w:rsidR="004C3C95" w:rsidRPr="001B4C9B" w:rsidRDefault="004C3C95" w:rsidP="005676B7">
      <w:pPr>
        <w:numPr>
          <w:ilvl w:val="0"/>
          <w:numId w:val="10"/>
        </w:numPr>
        <w:spacing w:after="120"/>
        <w:ind w:left="714" w:hanging="357"/>
        <w:jc w:val="both"/>
        <w:rPr>
          <w:rFonts w:cs="Arial"/>
          <w:szCs w:val="22"/>
        </w:rPr>
      </w:pPr>
      <w:r w:rsidRPr="001B4C9B">
        <w:rPr>
          <w:rFonts w:cs="Arial"/>
          <w:szCs w:val="22"/>
        </w:rPr>
        <w:t>Amortisation of intangible fixed assets attributable to the service.</w:t>
      </w:r>
    </w:p>
    <w:p w14:paraId="20DFDE8D" w14:textId="77777777" w:rsidR="004C3C95" w:rsidRPr="001B4C9B" w:rsidRDefault="004C3C95" w:rsidP="00D6391D">
      <w:pPr>
        <w:spacing w:after="240"/>
        <w:jc w:val="both"/>
      </w:pPr>
      <w:r w:rsidRPr="001B4C9B">
        <w:t xml:space="preserve">The </w:t>
      </w:r>
      <w:r w:rsidR="00D6391D" w:rsidRPr="001B4C9B">
        <w:t>Council</w:t>
      </w:r>
      <w:r w:rsidRPr="001B4C9B">
        <w:t xml:space="preserve"> is not required to raise council tax to fund depreciation, revaluation and impairment losses or amortisations.  However, it is required to make an annual contribution from revenue towards the reduction in its overall borrowing requirement (equal to an amount calculated on a prudent basis determined by the authority in accordance with statutory guidance).</w:t>
      </w:r>
      <w:r w:rsidR="007978E4" w:rsidRPr="001B4C9B">
        <w:t xml:space="preserve">  </w:t>
      </w:r>
      <w:r w:rsidRPr="001B4C9B">
        <w:t>Depreciation, revaluation and impairment losses and amortisations are therefore replaced by the contribution in the General Fund balance (Minimum Revenue Provision), by way of an adjusting transaction with the Capital Adjustment Account in the Movement in Reserves Statement for the difference between the two.</w:t>
      </w:r>
    </w:p>
    <w:p w14:paraId="47699C44" w14:textId="77777777" w:rsidR="00F4090B" w:rsidRPr="001B4C9B" w:rsidRDefault="00F4090B" w:rsidP="007978E4">
      <w:pPr>
        <w:spacing w:after="240"/>
        <w:rPr>
          <w:b/>
        </w:rPr>
      </w:pPr>
    </w:p>
    <w:p w14:paraId="399CBCC3" w14:textId="77777777" w:rsidR="002F7FDB" w:rsidRPr="001B4C9B" w:rsidRDefault="002F7FDB" w:rsidP="002F7FDB">
      <w:pPr>
        <w:spacing w:after="240"/>
        <w:rPr>
          <w:b/>
          <w:u w:val="single"/>
        </w:rPr>
      </w:pPr>
      <w:r w:rsidRPr="001B4C9B">
        <w:rPr>
          <w:b/>
          <w:u w:val="single"/>
        </w:rPr>
        <w:t>Council Tax and Non-Domestic Rates</w:t>
      </w:r>
    </w:p>
    <w:p w14:paraId="4D02596F" w14:textId="2C8A755B" w:rsidR="002F7FDB" w:rsidRPr="001B4C9B" w:rsidRDefault="002F7FDB" w:rsidP="002F7FDB">
      <w:pPr>
        <w:spacing w:after="240"/>
      </w:pPr>
      <w:r w:rsidRPr="001B4C9B">
        <w:t>Billing authorities act as agents, collecting council tax and non-domestic rates (NDR) on behalf of the major preceptors (including government for NDR) and, as principals, collecting council tax and NDR for themselves. Billing authorities are required by statute to maintain a separate fund (ie the collection fund) for the collection and distribution of amounts due in respect of council tax and NDR. Under the</w:t>
      </w:r>
      <w:r w:rsidR="00564243" w:rsidRPr="001B4C9B">
        <w:t xml:space="preserve"> legislation framework for the Collection F</w:t>
      </w:r>
      <w:r w:rsidRPr="001B4C9B">
        <w:t>und, billing authorities, major preceptors and central government share proportionally the risks and rewards that the amount of council tax and NDR collected could be less or more than predicted.</w:t>
      </w:r>
    </w:p>
    <w:p w14:paraId="56C4E1E0" w14:textId="5A1A2298" w:rsidR="00564243" w:rsidRPr="001B4C9B" w:rsidRDefault="00564243" w:rsidP="007978E4">
      <w:pPr>
        <w:spacing w:after="240"/>
        <w:rPr>
          <w:b/>
        </w:rPr>
      </w:pPr>
      <w:r w:rsidRPr="001B4C9B">
        <w:rPr>
          <w:b/>
        </w:rPr>
        <w:t>Accounting for Council Tax and NDR</w:t>
      </w:r>
    </w:p>
    <w:p w14:paraId="6E2DD3EF" w14:textId="478AE4AA" w:rsidR="0062459F" w:rsidRPr="001B4C9B" w:rsidRDefault="0062459F" w:rsidP="007978E4">
      <w:pPr>
        <w:spacing w:after="240"/>
      </w:pPr>
      <w:r w:rsidRPr="001B4C9B">
        <w:t>The council tax and NDR income included in the Comprehensive Income and Expenditure Statement</w:t>
      </w:r>
      <w:r w:rsidR="00AA12FB" w:rsidRPr="001B4C9B">
        <w:t xml:space="preserve"> (CIES)</w:t>
      </w:r>
      <w:r w:rsidRPr="001B4C9B">
        <w:t xml:space="preserve"> is the authority’s share of accrued income for the year. However, regulations determine the amount of council tax and NDR that must be included in the authority’s General Fund. Therefore, the </w:t>
      </w:r>
      <w:r w:rsidR="00AA12FB" w:rsidRPr="001B4C9B">
        <w:lastRenderedPageBreak/>
        <w:t>difference</w:t>
      </w:r>
      <w:r w:rsidRPr="001B4C9B">
        <w:t xml:space="preserve"> between the income included in the C</w:t>
      </w:r>
      <w:r w:rsidR="00AA12FB" w:rsidRPr="001B4C9B">
        <w:t>IES</w:t>
      </w:r>
      <w:r w:rsidRPr="001B4C9B">
        <w:t xml:space="preserve"> and the amount required by regulation to be credited to the General Fund is taken to the Collection Fund Adjustment Account and included as a reconciling item in the Movement in Reserves Statement.</w:t>
      </w:r>
    </w:p>
    <w:p w14:paraId="6F286524" w14:textId="52860DC4" w:rsidR="002F7FDB" w:rsidRPr="001B4C9B" w:rsidRDefault="0062459F" w:rsidP="007978E4">
      <w:pPr>
        <w:spacing w:after="240"/>
      </w:pPr>
      <w:r w:rsidRPr="001B4C9B">
        <w:t>The Balance Sheet inc</w:t>
      </w:r>
      <w:r w:rsidR="00AA12FB" w:rsidRPr="001B4C9B">
        <w:t>ludes the authority’</w:t>
      </w:r>
      <w:r w:rsidRPr="001B4C9B">
        <w:t xml:space="preserve">s share of the year end balances in respect of council </w:t>
      </w:r>
      <w:r w:rsidR="00AA12FB" w:rsidRPr="001B4C9B">
        <w:t xml:space="preserve">tax </w:t>
      </w:r>
      <w:r w:rsidRPr="001B4C9B">
        <w:t xml:space="preserve">and NDR </w:t>
      </w:r>
      <w:r w:rsidR="00A5494A" w:rsidRPr="001B4C9B">
        <w:t>relating to arrears, impairment</w:t>
      </w:r>
      <w:r w:rsidRPr="001B4C9B">
        <w:t xml:space="preserve"> allowances for doubtful debts, overpayments and prepayments and appeals.</w:t>
      </w:r>
    </w:p>
    <w:p w14:paraId="7BCAF915" w14:textId="3679D1D7" w:rsidR="00AA12FB" w:rsidRPr="001B4C9B" w:rsidRDefault="00AA12FB" w:rsidP="007978E4">
      <w:pPr>
        <w:spacing w:after="240"/>
        <w:rPr>
          <w:b/>
        </w:rPr>
      </w:pPr>
      <w:r w:rsidRPr="001B4C9B">
        <w:t xml:space="preserve">Where debtor balances for the above are identified as impaired because of a likelihood arising from a past event that payments due under the statutory arrangement will not be made (fixed or determinable payments), the asset is written down and a charge made to the </w:t>
      </w:r>
      <w:r w:rsidR="0034219C" w:rsidRPr="001B4C9B">
        <w:t>Collection Fund</w:t>
      </w:r>
      <w:r w:rsidRPr="001B4C9B">
        <w:t>. The impairment loss is measured as the difference between the carrying amount and the revised future cash flows.</w:t>
      </w:r>
    </w:p>
    <w:p w14:paraId="7BBD16E0" w14:textId="77777777" w:rsidR="004C3C95" w:rsidRPr="001B4C9B" w:rsidRDefault="004C3C95" w:rsidP="007978E4">
      <w:pPr>
        <w:spacing w:after="240"/>
        <w:rPr>
          <w:b/>
          <w:u w:val="single"/>
        </w:rPr>
      </w:pPr>
      <w:r w:rsidRPr="001B4C9B">
        <w:rPr>
          <w:b/>
          <w:u w:val="single"/>
        </w:rPr>
        <w:t>E</w:t>
      </w:r>
      <w:r w:rsidR="007978E4" w:rsidRPr="001B4C9B">
        <w:rPr>
          <w:b/>
          <w:u w:val="single"/>
        </w:rPr>
        <w:t>mployee</w:t>
      </w:r>
      <w:r w:rsidRPr="001B4C9B">
        <w:rPr>
          <w:b/>
          <w:u w:val="single"/>
        </w:rPr>
        <w:t xml:space="preserve"> B</w:t>
      </w:r>
      <w:r w:rsidR="007978E4" w:rsidRPr="001B4C9B">
        <w:rPr>
          <w:b/>
          <w:u w:val="single"/>
        </w:rPr>
        <w:t>enefits</w:t>
      </w:r>
    </w:p>
    <w:p w14:paraId="202398DF" w14:textId="77777777" w:rsidR="004C3C95" w:rsidRPr="001B4C9B" w:rsidRDefault="004C3C95" w:rsidP="00D6391D">
      <w:pPr>
        <w:spacing w:after="240"/>
        <w:jc w:val="both"/>
        <w:rPr>
          <w:b/>
          <w:i/>
        </w:rPr>
      </w:pPr>
      <w:r w:rsidRPr="001B4C9B">
        <w:rPr>
          <w:b/>
          <w:i/>
        </w:rPr>
        <w:t xml:space="preserve">Benefits </w:t>
      </w:r>
      <w:r w:rsidR="007978E4" w:rsidRPr="001B4C9B">
        <w:rPr>
          <w:b/>
          <w:i/>
        </w:rPr>
        <w:t>P</w:t>
      </w:r>
      <w:r w:rsidRPr="001B4C9B">
        <w:rPr>
          <w:b/>
          <w:i/>
        </w:rPr>
        <w:t xml:space="preserve">ayable </w:t>
      </w:r>
      <w:r w:rsidR="007978E4" w:rsidRPr="001B4C9B">
        <w:rPr>
          <w:b/>
          <w:i/>
        </w:rPr>
        <w:t>D</w:t>
      </w:r>
      <w:r w:rsidRPr="001B4C9B">
        <w:rPr>
          <w:b/>
          <w:i/>
        </w:rPr>
        <w:t xml:space="preserve">uring </w:t>
      </w:r>
      <w:r w:rsidR="007978E4" w:rsidRPr="001B4C9B">
        <w:rPr>
          <w:b/>
          <w:i/>
        </w:rPr>
        <w:t>E</w:t>
      </w:r>
      <w:r w:rsidRPr="001B4C9B">
        <w:rPr>
          <w:b/>
          <w:i/>
        </w:rPr>
        <w:t>mployment</w:t>
      </w:r>
    </w:p>
    <w:p w14:paraId="10AC627B" w14:textId="269F47CA" w:rsidR="00A31DF6" w:rsidRPr="001B4C9B" w:rsidRDefault="007978E4" w:rsidP="00D6391D">
      <w:pPr>
        <w:spacing w:after="240"/>
        <w:jc w:val="both"/>
      </w:pPr>
      <w:r w:rsidRPr="001B4C9B">
        <w:t>Short-term employee benefits are those due to be settled wholly within 12 months of the year-end.  They include such benefits as wages and salaries, paid an</w:t>
      </w:r>
      <w:r w:rsidR="00A462BD" w:rsidRPr="001B4C9B">
        <w:t xml:space="preserve">nual leave, paid sick leave and </w:t>
      </w:r>
      <w:r w:rsidRPr="001B4C9B">
        <w:t xml:space="preserve">bonuses, for current employees and are recognised as an expense for services in the year in which the employees render service to the Council.  An accrual is made for the cost of holiday entitlements (or any form of leave, eg time off in lieu) earned by employees but not taken before the year-end which employees can carry forward into the next financial year.  The accrual is made at the </w:t>
      </w:r>
      <w:r w:rsidR="00A462BD" w:rsidRPr="001B4C9B">
        <w:t xml:space="preserve">wage and salary rate </w:t>
      </w:r>
      <w:r w:rsidRPr="001B4C9B">
        <w:t>applicable in the following accounting year, being the period in which the employee takes the benefit.  The accrual is charged to Surplus or Deficit on the Provision of Services, but then reversed out through the Movement in Reserves Statem</w:t>
      </w:r>
      <w:r w:rsidR="00A462BD" w:rsidRPr="001B4C9B">
        <w:t>ent so that the holiday entitlements</w:t>
      </w:r>
      <w:r w:rsidRPr="001B4C9B">
        <w:t xml:space="preserve"> are charged to revenue in the financial year in which the holiday absence occurs.</w:t>
      </w:r>
    </w:p>
    <w:p w14:paraId="404AB664" w14:textId="77777777" w:rsidR="004C3C95" w:rsidRPr="001B4C9B" w:rsidRDefault="004C3C95" w:rsidP="00D6391D">
      <w:pPr>
        <w:spacing w:after="240"/>
        <w:jc w:val="both"/>
        <w:rPr>
          <w:b/>
          <w:i/>
        </w:rPr>
      </w:pPr>
      <w:r w:rsidRPr="001B4C9B">
        <w:rPr>
          <w:b/>
          <w:i/>
        </w:rPr>
        <w:t xml:space="preserve">Termination </w:t>
      </w:r>
      <w:r w:rsidR="007978E4" w:rsidRPr="001B4C9B">
        <w:rPr>
          <w:b/>
          <w:i/>
        </w:rPr>
        <w:t>B</w:t>
      </w:r>
      <w:r w:rsidRPr="001B4C9B">
        <w:rPr>
          <w:b/>
          <w:i/>
        </w:rPr>
        <w:t>enefits</w:t>
      </w:r>
    </w:p>
    <w:p w14:paraId="74B5745C" w14:textId="77777777" w:rsidR="00AE2368" w:rsidRPr="001B4C9B" w:rsidRDefault="007978E4" w:rsidP="00D6391D">
      <w:pPr>
        <w:spacing w:after="240"/>
        <w:jc w:val="both"/>
      </w:pPr>
      <w:r w:rsidRPr="001B4C9B">
        <w:t xml:space="preserve">Termination benefits are amounts payable as a result of a decision by the Council to terminate an officer’s employment before the normal retirement date or an officer’s decision to accept voluntary redundancy </w:t>
      </w:r>
      <w:r w:rsidR="00583207" w:rsidRPr="001B4C9B">
        <w:t xml:space="preserve">in exchange for those benefits and are </w:t>
      </w:r>
      <w:r w:rsidRPr="001B4C9B">
        <w:t xml:space="preserve">charged on an accruals basis to the appropriate service </w:t>
      </w:r>
      <w:r w:rsidR="00600748" w:rsidRPr="001B4C9B">
        <w:t xml:space="preserve">segment </w:t>
      </w:r>
      <w:r w:rsidRPr="001B4C9B">
        <w:t>or</w:t>
      </w:r>
      <w:r w:rsidR="00600748" w:rsidRPr="001B4C9B">
        <w:t>,</w:t>
      </w:r>
      <w:r w:rsidRPr="001B4C9B">
        <w:t xml:space="preserve"> where applicable, to</w:t>
      </w:r>
      <w:r w:rsidR="00600748" w:rsidRPr="001B4C9B">
        <w:t xml:space="preserve"> a corporate service segment at the earlier of when the Council can no longer withdraw the offer of those benefits or when the authority recognised costs for a restructuring. </w:t>
      </w:r>
      <w:r w:rsidRPr="001B4C9B">
        <w:t xml:space="preserve"> </w:t>
      </w:r>
    </w:p>
    <w:p w14:paraId="0D43EC87" w14:textId="703DD2A6" w:rsidR="004C3C95" w:rsidRPr="001B4C9B" w:rsidRDefault="009B294F" w:rsidP="00D6391D">
      <w:pPr>
        <w:spacing w:after="240"/>
        <w:jc w:val="both"/>
      </w:pPr>
      <w:r w:rsidRPr="001B4C9B">
        <w:t>Where termination benefits involve the enhancement of pensions, statutory provision require the General Fund Balance to be charged with the amount payable by the Council to the pension fund or pensioner in the year, not the amount calculated according to the relevant accounting standards. In the Movement in Reserves Statement, appropriation are required to and from the Pension Reserve to remove the notional debits and credits for pension enhancement termination benefits and replace them with debits for the cash paid to the pension fund and pensioners and any such amount payable but unpaid at the year end.</w:t>
      </w:r>
    </w:p>
    <w:p w14:paraId="7E79D0C9" w14:textId="77777777" w:rsidR="004C3C95" w:rsidRPr="001B4C9B" w:rsidRDefault="004C3C95" w:rsidP="00D6391D">
      <w:pPr>
        <w:spacing w:after="240"/>
        <w:jc w:val="both"/>
        <w:rPr>
          <w:b/>
          <w:i/>
        </w:rPr>
      </w:pPr>
      <w:r w:rsidRPr="001B4C9B">
        <w:rPr>
          <w:b/>
          <w:i/>
        </w:rPr>
        <w:t>Post-</w:t>
      </w:r>
      <w:r w:rsidR="007978E4" w:rsidRPr="001B4C9B">
        <w:rPr>
          <w:b/>
          <w:i/>
        </w:rPr>
        <w:t>E</w:t>
      </w:r>
      <w:r w:rsidRPr="001B4C9B">
        <w:rPr>
          <w:b/>
          <w:i/>
        </w:rPr>
        <w:t xml:space="preserve">mployment </w:t>
      </w:r>
      <w:r w:rsidR="007978E4" w:rsidRPr="001B4C9B">
        <w:rPr>
          <w:b/>
          <w:i/>
        </w:rPr>
        <w:t>B</w:t>
      </w:r>
      <w:r w:rsidRPr="001B4C9B">
        <w:rPr>
          <w:b/>
          <w:i/>
        </w:rPr>
        <w:t>enefits</w:t>
      </w:r>
    </w:p>
    <w:p w14:paraId="224BA3C3" w14:textId="77777777" w:rsidR="004C3C95" w:rsidRPr="001B4C9B" w:rsidRDefault="007978E4" w:rsidP="00D6391D">
      <w:pPr>
        <w:spacing w:after="240"/>
        <w:jc w:val="both"/>
      </w:pPr>
      <w:r w:rsidRPr="001B4C9B">
        <w:t xml:space="preserve">Employees of </w:t>
      </w:r>
      <w:r w:rsidR="006F0E2E" w:rsidRPr="001B4C9B">
        <w:t>the Council are members of two</w:t>
      </w:r>
      <w:r w:rsidRPr="001B4C9B">
        <w:t xml:space="preserve"> separate pension schemes:</w:t>
      </w:r>
    </w:p>
    <w:p w14:paraId="4AD63A3E" w14:textId="77777777" w:rsidR="004C3C95" w:rsidRPr="001B4C9B" w:rsidRDefault="007978E4" w:rsidP="005676B7">
      <w:pPr>
        <w:numPr>
          <w:ilvl w:val="0"/>
          <w:numId w:val="10"/>
        </w:numPr>
        <w:spacing w:after="120"/>
        <w:ind w:left="714" w:hanging="357"/>
        <w:jc w:val="both"/>
        <w:rPr>
          <w:rFonts w:cs="Arial"/>
          <w:szCs w:val="22"/>
        </w:rPr>
      </w:pPr>
      <w:r w:rsidRPr="001B4C9B">
        <w:rPr>
          <w:rFonts w:cs="Arial"/>
          <w:szCs w:val="22"/>
        </w:rPr>
        <w:t>T</w:t>
      </w:r>
      <w:r w:rsidR="004C3C95" w:rsidRPr="001B4C9B">
        <w:rPr>
          <w:rFonts w:cs="Arial"/>
          <w:szCs w:val="22"/>
        </w:rPr>
        <w:t>he Local Government Pension Scheme, administered by Leicestershire County Council.</w:t>
      </w:r>
    </w:p>
    <w:p w14:paraId="17854487" w14:textId="77777777" w:rsidR="004C3C95" w:rsidRPr="001B4C9B" w:rsidRDefault="007978E4" w:rsidP="005676B7">
      <w:pPr>
        <w:numPr>
          <w:ilvl w:val="0"/>
          <w:numId w:val="10"/>
        </w:numPr>
        <w:spacing w:after="120"/>
        <w:ind w:left="714" w:hanging="357"/>
        <w:jc w:val="both"/>
        <w:rPr>
          <w:rFonts w:cs="Arial"/>
          <w:szCs w:val="22"/>
        </w:rPr>
      </w:pPr>
      <w:r w:rsidRPr="001B4C9B">
        <w:rPr>
          <w:rFonts w:cs="Arial"/>
          <w:szCs w:val="22"/>
        </w:rPr>
        <w:t>T</w:t>
      </w:r>
      <w:r w:rsidR="004C3C95" w:rsidRPr="001B4C9B">
        <w:rPr>
          <w:rFonts w:cs="Arial"/>
          <w:szCs w:val="22"/>
        </w:rPr>
        <w:t>he Teachers' Pension Scheme, administered by Capita Teachers' Pensions on behalf of the Department for Education (DfE).</w:t>
      </w:r>
    </w:p>
    <w:p w14:paraId="6EA2A703" w14:textId="77777777" w:rsidR="004C3C95" w:rsidRPr="001B4C9B" w:rsidRDefault="006F0E2E" w:rsidP="00D6391D">
      <w:pPr>
        <w:spacing w:after="240"/>
        <w:jc w:val="both"/>
      </w:pPr>
      <w:r w:rsidRPr="001B4C9B">
        <w:t>Both</w:t>
      </w:r>
      <w:r w:rsidR="007978E4" w:rsidRPr="001B4C9B">
        <w:t xml:space="preserve"> schemes provide defined benefits to members (retirement lump sums and pensions), earned as employees worked for the Council.</w:t>
      </w:r>
    </w:p>
    <w:p w14:paraId="70EE123A" w14:textId="77777777" w:rsidR="004C3C95" w:rsidRPr="001B4C9B" w:rsidRDefault="007978E4" w:rsidP="00D6391D">
      <w:pPr>
        <w:spacing w:after="240"/>
        <w:jc w:val="both"/>
      </w:pPr>
      <w:r w:rsidRPr="001B4C9B">
        <w:t>However, the arrangements for the teachers’ scheme mean that</w:t>
      </w:r>
      <w:r w:rsidR="00273CAC" w:rsidRPr="001B4C9B">
        <w:t xml:space="preserve"> the</w:t>
      </w:r>
      <w:r w:rsidRPr="001B4C9B">
        <w:t xml:space="preserve"> liabilities for these benefits cannot ordinarily be identified specifically to the Council.  The scheme is therefore accounted for as if it were a </w:t>
      </w:r>
      <w:r w:rsidRPr="001B4C9B">
        <w:lastRenderedPageBreak/>
        <w:t xml:space="preserve">defined contribution scheme and no liability for future payments of benefits is recognised in the Balance Sheet.  The </w:t>
      </w:r>
      <w:r w:rsidR="0050438D" w:rsidRPr="001B4C9B">
        <w:t>Peoples Directorate</w:t>
      </w:r>
      <w:r w:rsidRPr="001B4C9B">
        <w:t xml:space="preserve"> line in the Comprehensive Income and Expenditure Statement is charged with the employer’s contributions payable to Teachers’ Pensions in the year, and equally the Adult Social Care and Public Health for the NHS scheme.</w:t>
      </w:r>
    </w:p>
    <w:p w14:paraId="783E29E3" w14:textId="77777777" w:rsidR="007978E4" w:rsidRPr="001B4C9B" w:rsidRDefault="004C3C95" w:rsidP="00D6391D">
      <w:pPr>
        <w:spacing w:after="240"/>
        <w:jc w:val="both"/>
        <w:rPr>
          <w:i/>
          <w:u w:val="single"/>
        </w:rPr>
      </w:pPr>
      <w:r w:rsidRPr="001B4C9B">
        <w:rPr>
          <w:i/>
          <w:u w:val="single"/>
        </w:rPr>
        <w:t xml:space="preserve">The </w:t>
      </w:r>
      <w:r w:rsidR="007978E4" w:rsidRPr="001B4C9B">
        <w:rPr>
          <w:i/>
          <w:u w:val="single"/>
        </w:rPr>
        <w:t>Local Government Pension Scheme</w:t>
      </w:r>
    </w:p>
    <w:p w14:paraId="03D9DC2F" w14:textId="77777777" w:rsidR="007978E4" w:rsidRPr="001B4C9B" w:rsidRDefault="007978E4" w:rsidP="00D6391D">
      <w:pPr>
        <w:spacing w:after="240"/>
        <w:jc w:val="both"/>
      </w:pPr>
      <w:r w:rsidRPr="001B4C9B">
        <w:t>The Local Government Scheme is accounted for as a defined benefits scheme:</w:t>
      </w:r>
    </w:p>
    <w:p w14:paraId="57E0AE25" w14:textId="77777777" w:rsidR="007978E4" w:rsidRPr="001B4C9B" w:rsidRDefault="004C3C95" w:rsidP="005676B7">
      <w:pPr>
        <w:numPr>
          <w:ilvl w:val="0"/>
          <w:numId w:val="10"/>
        </w:numPr>
        <w:spacing w:after="120"/>
        <w:ind w:left="714" w:hanging="357"/>
        <w:jc w:val="both"/>
        <w:rPr>
          <w:rFonts w:cs="Arial"/>
          <w:szCs w:val="22"/>
        </w:rPr>
      </w:pPr>
      <w:r w:rsidRPr="001B4C9B">
        <w:rPr>
          <w:rFonts w:cs="Arial"/>
          <w:szCs w:val="22"/>
        </w:rPr>
        <w:t xml:space="preserve">The liabilities of the Leicestershire County Council pension fund </w:t>
      </w:r>
      <w:r w:rsidR="007978E4" w:rsidRPr="001B4C9B">
        <w:rPr>
          <w:rFonts w:cs="Arial"/>
          <w:szCs w:val="22"/>
        </w:rPr>
        <w:t xml:space="preserve">attributable to the Council are included in the Balance Sheet on an actuarial basis using the projected unit method – ie an assessment of the future payments that will be made in relation to retirement benefits earned to date by employees, based on assumptions about mortality rates, employee turnover rates, etc, and projections of projected earnings for current employees.  </w:t>
      </w:r>
    </w:p>
    <w:p w14:paraId="6185AEAF" w14:textId="77777777" w:rsidR="00D47BF0" w:rsidRPr="001B4C9B" w:rsidRDefault="00D47BF0" w:rsidP="005676B7">
      <w:pPr>
        <w:numPr>
          <w:ilvl w:val="0"/>
          <w:numId w:val="10"/>
        </w:numPr>
        <w:spacing w:after="120"/>
        <w:ind w:left="714" w:hanging="357"/>
        <w:jc w:val="both"/>
        <w:rPr>
          <w:rFonts w:cs="Arial"/>
          <w:szCs w:val="22"/>
        </w:rPr>
      </w:pPr>
      <w:r w:rsidRPr="001B4C9B">
        <w:rPr>
          <w:rFonts w:cs="Arial"/>
          <w:szCs w:val="22"/>
        </w:rPr>
        <w:t>Liabilities are discounted to their value at current prices, using an appropriate discount rate (based on the indicative rate of return on high quality corporate bond as identified by the actuary)</w:t>
      </w:r>
    </w:p>
    <w:p w14:paraId="608B6955" w14:textId="77777777" w:rsidR="004C3C95" w:rsidRPr="001B4C9B" w:rsidRDefault="004C3C95" w:rsidP="005676B7">
      <w:pPr>
        <w:numPr>
          <w:ilvl w:val="0"/>
          <w:numId w:val="10"/>
        </w:numPr>
        <w:spacing w:after="120"/>
        <w:ind w:left="714" w:hanging="357"/>
        <w:jc w:val="both"/>
        <w:rPr>
          <w:rFonts w:cs="Arial"/>
          <w:szCs w:val="22"/>
        </w:rPr>
      </w:pPr>
      <w:r w:rsidRPr="001B4C9B">
        <w:rPr>
          <w:rFonts w:cs="Arial"/>
          <w:szCs w:val="22"/>
        </w:rPr>
        <w:t>The assets of the Leicestershire County Council pension fund attributable to the authority are included in the Balance Sheet at their fair value:</w:t>
      </w:r>
    </w:p>
    <w:p w14:paraId="5F54C216" w14:textId="77777777" w:rsidR="004C3C95" w:rsidRPr="001B4C9B" w:rsidRDefault="004C3C95" w:rsidP="005676B7">
      <w:pPr>
        <w:numPr>
          <w:ilvl w:val="1"/>
          <w:numId w:val="10"/>
        </w:numPr>
        <w:spacing w:after="120"/>
        <w:ind w:left="1276" w:hanging="357"/>
        <w:jc w:val="both"/>
        <w:rPr>
          <w:rFonts w:cs="Arial"/>
          <w:szCs w:val="22"/>
        </w:rPr>
      </w:pPr>
      <w:r w:rsidRPr="001B4C9B">
        <w:rPr>
          <w:rFonts w:cs="Arial"/>
          <w:szCs w:val="22"/>
        </w:rPr>
        <w:t>quoted securities – current bid price</w:t>
      </w:r>
    </w:p>
    <w:p w14:paraId="51A6A886" w14:textId="77777777" w:rsidR="004C3C95" w:rsidRPr="001B4C9B" w:rsidRDefault="004C3C95" w:rsidP="005676B7">
      <w:pPr>
        <w:numPr>
          <w:ilvl w:val="1"/>
          <w:numId w:val="10"/>
        </w:numPr>
        <w:spacing w:after="120"/>
        <w:ind w:left="1276" w:hanging="357"/>
        <w:jc w:val="both"/>
        <w:rPr>
          <w:rFonts w:cs="Arial"/>
          <w:szCs w:val="22"/>
        </w:rPr>
      </w:pPr>
      <w:r w:rsidRPr="001B4C9B">
        <w:rPr>
          <w:rFonts w:cs="Arial"/>
          <w:szCs w:val="22"/>
        </w:rPr>
        <w:t>unquoted securities – professional estimate</w:t>
      </w:r>
    </w:p>
    <w:p w14:paraId="019BF10E" w14:textId="77777777" w:rsidR="004C3C95" w:rsidRPr="001B4C9B" w:rsidRDefault="004C3C95" w:rsidP="005676B7">
      <w:pPr>
        <w:numPr>
          <w:ilvl w:val="1"/>
          <w:numId w:val="10"/>
        </w:numPr>
        <w:spacing w:after="120"/>
        <w:ind w:left="1276" w:hanging="357"/>
        <w:jc w:val="both"/>
        <w:rPr>
          <w:rFonts w:cs="Arial"/>
          <w:szCs w:val="22"/>
        </w:rPr>
      </w:pPr>
      <w:r w:rsidRPr="001B4C9B">
        <w:rPr>
          <w:rFonts w:cs="Arial"/>
          <w:szCs w:val="22"/>
        </w:rPr>
        <w:t>unitised securities – current bid price</w:t>
      </w:r>
    </w:p>
    <w:p w14:paraId="567B476E" w14:textId="77777777" w:rsidR="004C3C95" w:rsidRPr="001B4C9B" w:rsidRDefault="004C3C95" w:rsidP="005676B7">
      <w:pPr>
        <w:numPr>
          <w:ilvl w:val="1"/>
          <w:numId w:val="10"/>
        </w:numPr>
        <w:spacing w:after="120"/>
        <w:ind w:left="1276" w:hanging="357"/>
        <w:jc w:val="both"/>
        <w:rPr>
          <w:rFonts w:cs="Arial"/>
          <w:szCs w:val="22"/>
        </w:rPr>
      </w:pPr>
      <w:r w:rsidRPr="001B4C9B">
        <w:rPr>
          <w:rFonts w:cs="Arial"/>
          <w:szCs w:val="22"/>
        </w:rPr>
        <w:t xml:space="preserve">property – market value </w:t>
      </w:r>
    </w:p>
    <w:p w14:paraId="52701A48" w14:textId="77777777" w:rsidR="004C3C95" w:rsidRPr="001B4C9B" w:rsidRDefault="004C3C95" w:rsidP="005676B7">
      <w:pPr>
        <w:numPr>
          <w:ilvl w:val="0"/>
          <w:numId w:val="10"/>
        </w:numPr>
        <w:spacing w:after="120"/>
        <w:ind w:left="714" w:hanging="357"/>
        <w:jc w:val="both"/>
        <w:rPr>
          <w:rFonts w:cs="Arial"/>
          <w:szCs w:val="22"/>
        </w:rPr>
      </w:pPr>
      <w:r w:rsidRPr="001B4C9B">
        <w:rPr>
          <w:rFonts w:cs="Arial"/>
          <w:szCs w:val="22"/>
        </w:rPr>
        <w:t>The change in the net pensions liability is analysed into the following components:</w:t>
      </w:r>
    </w:p>
    <w:p w14:paraId="31AD20DC" w14:textId="77777777" w:rsidR="00D47BF0" w:rsidRPr="001B4C9B" w:rsidRDefault="00D47BF0" w:rsidP="005676B7">
      <w:pPr>
        <w:numPr>
          <w:ilvl w:val="1"/>
          <w:numId w:val="10"/>
        </w:numPr>
        <w:spacing w:after="120"/>
        <w:ind w:left="1276" w:hanging="357"/>
        <w:jc w:val="both"/>
        <w:rPr>
          <w:rFonts w:cs="Arial"/>
          <w:szCs w:val="22"/>
        </w:rPr>
      </w:pPr>
      <w:r w:rsidRPr="001B4C9B">
        <w:rPr>
          <w:rFonts w:cs="Arial"/>
          <w:szCs w:val="22"/>
        </w:rPr>
        <w:t>Service cost comprising</w:t>
      </w:r>
    </w:p>
    <w:p w14:paraId="59D2768E" w14:textId="77777777" w:rsidR="004C3C95" w:rsidRPr="001B4C9B" w:rsidRDefault="004C3C95" w:rsidP="005676B7">
      <w:pPr>
        <w:numPr>
          <w:ilvl w:val="2"/>
          <w:numId w:val="10"/>
        </w:numPr>
        <w:spacing w:after="120"/>
        <w:ind w:left="1701" w:hanging="357"/>
        <w:jc w:val="both"/>
        <w:rPr>
          <w:rFonts w:cs="Arial"/>
          <w:szCs w:val="22"/>
        </w:rPr>
      </w:pPr>
      <w:r w:rsidRPr="001B4C9B">
        <w:rPr>
          <w:rFonts w:cs="Arial"/>
          <w:szCs w:val="22"/>
        </w:rPr>
        <w:t>Current service cost: the increase in liabilities as a result of years of service earned this year, allocated in the Comprehensive Income and Expenditure Statement to the services for which the employees worked.</w:t>
      </w:r>
    </w:p>
    <w:p w14:paraId="7A1B0F3B" w14:textId="77777777" w:rsidR="004C3C95" w:rsidRPr="001B4C9B" w:rsidRDefault="004C3C95" w:rsidP="005676B7">
      <w:pPr>
        <w:numPr>
          <w:ilvl w:val="2"/>
          <w:numId w:val="10"/>
        </w:numPr>
        <w:spacing w:after="120"/>
        <w:ind w:left="1701" w:hanging="357"/>
        <w:jc w:val="both"/>
        <w:rPr>
          <w:rFonts w:cs="Arial"/>
          <w:szCs w:val="22"/>
        </w:rPr>
      </w:pPr>
      <w:r w:rsidRPr="001B4C9B">
        <w:rPr>
          <w:rFonts w:cs="Arial"/>
          <w:szCs w:val="22"/>
        </w:rPr>
        <w:t>Past service cost: the increase in liabilities</w:t>
      </w:r>
      <w:r w:rsidR="006F0E2E" w:rsidRPr="001B4C9B">
        <w:rPr>
          <w:rFonts w:cs="Arial"/>
          <w:szCs w:val="22"/>
        </w:rPr>
        <w:t xml:space="preserve"> </w:t>
      </w:r>
      <w:r w:rsidRPr="001B4C9B">
        <w:rPr>
          <w:rFonts w:cs="Arial"/>
          <w:szCs w:val="22"/>
        </w:rPr>
        <w:t>as a result of a scheme amendment or curtailment whose effect relates to years of service earned in earlier years, debited to the Surplus or Deficit on the Provision of Services in the Comprehensive Income and Expenditure Statement as part of Non-distributed Costs.</w:t>
      </w:r>
    </w:p>
    <w:p w14:paraId="7B244EFA" w14:textId="77777777" w:rsidR="004C3C95" w:rsidRPr="001B4C9B" w:rsidRDefault="004C3C95" w:rsidP="005676B7">
      <w:pPr>
        <w:numPr>
          <w:ilvl w:val="2"/>
          <w:numId w:val="10"/>
        </w:numPr>
        <w:spacing w:after="120"/>
        <w:ind w:left="1701" w:hanging="357"/>
        <w:jc w:val="both"/>
        <w:rPr>
          <w:rFonts w:cs="Arial"/>
          <w:szCs w:val="22"/>
        </w:rPr>
      </w:pPr>
      <w:r w:rsidRPr="001B4C9B">
        <w:rPr>
          <w:rFonts w:cs="Arial"/>
          <w:szCs w:val="22"/>
        </w:rPr>
        <w:t xml:space="preserve">Net interest on the net defined benefit  liability (asset) i.e. net interest expense for the authority; the change during the period in the net defined benefit liability (asset) that arises from the passage of time charged to the Financing and Investment Income and Expenditure line of the Comprehensive Income and Expenditure Statement; this is calculated by applying the discount rate used to measure the defined benefit obligation at the beginning of the period to the net defined benefit liability (asset) at the beginning of the period, taking into account any changes in the net defined benefit liability (asset) during  the period as a result of contribution and benefit payments.  </w:t>
      </w:r>
    </w:p>
    <w:p w14:paraId="3AF6D976" w14:textId="77777777" w:rsidR="00760F09" w:rsidRPr="001B4C9B" w:rsidRDefault="00760F09" w:rsidP="005676B7">
      <w:pPr>
        <w:numPr>
          <w:ilvl w:val="1"/>
          <w:numId w:val="10"/>
        </w:numPr>
        <w:spacing w:after="120"/>
        <w:ind w:left="1276" w:hanging="357"/>
        <w:jc w:val="both"/>
        <w:rPr>
          <w:rFonts w:cs="Arial"/>
          <w:szCs w:val="22"/>
        </w:rPr>
      </w:pPr>
      <w:r w:rsidRPr="001B4C9B">
        <w:rPr>
          <w:rFonts w:cs="Arial"/>
          <w:szCs w:val="22"/>
        </w:rPr>
        <w:t>Re</w:t>
      </w:r>
      <w:r w:rsidR="00BB5B1C" w:rsidRPr="001B4C9B">
        <w:rPr>
          <w:rFonts w:cs="Arial"/>
          <w:szCs w:val="22"/>
        </w:rPr>
        <w:t>-</w:t>
      </w:r>
      <w:r w:rsidRPr="001B4C9B">
        <w:rPr>
          <w:rFonts w:cs="Arial"/>
          <w:szCs w:val="22"/>
        </w:rPr>
        <w:t>measurements Comprising</w:t>
      </w:r>
    </w:p>
    <w:p w14:paraId="2B015B76" w14:textId="77777777" w:rsidR="00760F09" w:rsidRPr="001B4C9B" w:rsidRDefault="00760F09" w:rsidP="005676B7">
      <w:pPr>
        <w:numPr>
          <w:ilvl w:val="2"/>
          <w:numId w:val="10"/>
        </w:numPr>
        <w:spacing w:after="120"/>
        <w:ind w:left="1701" w:hanging="357"/>
        <w:jc w:val="both"/>
        <w:rPr>
          <w:rFonts w:cs="Arial"/>
          <w:szCs w:val="22"/>
        </w:rPr>
      </w:pPr>
      <w:r w:rsidRPr="001B4C9B">
        <w:rPr>
          <w:rFonts w:cs="Arial"/>
          <w:szCs w:val="22"/>
        </w:rPr>
        <w:t>The return on plan assets – excluding amounts included in net interest on the net defined benefit liability (asset) – charged to the Pensions Reserve as Other Comprehensive Income and Expenditure</w:t>
      </w:r>
    </w:p>
    <w:p w14:paraId="6E1E7E4E" w14:textId="77777777" w:rsidR="00760F09" w:rsidRPr="001B4C9B" w:rsidRDefault="00760F09" w:rsidP="005676B7">
      <w:pPr>
        <w:numPr>
          <w:ilvl w:val="2"/>
          <w:numId w:val="10"/>
        </w:numPr>
        <w:spacing w:after="120"/>
        <w:ind w:left="1701" w:hanging="357"/>
        <w:jc w:val="both"/>
        <w:rPr>
          <w:rFonts w:cs="Arial"/>
          <w:szCs w:val="22"/>
        </w:rPr>
      </w:pPr>
      <w:r w:rsidRPr="001B4C9B">
        <w:rPr>
          <w:rFonts w:cs="Arial"/>
          <w:szCs w:val="22"/>
        </w:rPr>
        <w:t>actuarial gains and losses – changes in the net pensions liability that arise because events have not coincided with assumptions made at the last actuarial valuation or because the actuaries have updated their assumptions – charged to the Pension Reserve as Other Comprehensive Income and Expenditure</w:t>
      </w:r>
    </w:p>
    <w:p w14:paraId="22E05845" w14:textId="77777777" w:rsidR="004C3C95" w:rsidRPr="001B4C9B" w:rsidRDefault="004C3C95" w:rsidP="005676B7">
      <w:pPr>
        <w:numPr>
          <w:ilvl w:val="1"/>
          <w:numId w:val="10"/>
        </w:numPr>
        <w:spacing w:after="120"/>
        <w:ind w:left="1276" w:hanging="357"/>
        <w:jc w:val="both"/>
        <w:rPr>
          <w:rFonts w:cs="Arial"/>
          <w:szCs w:val="22"/>
        </w:rPr>
      </w:pPr>
      <w:r w:rsidRPr="001B4C9B">
        <w:rPr>
          <w:rFonts w:cs="Arial"/>
          <w:szCs w:val="22"/>
        </w:rPr>
        <w:lastRenderedPageBreak/>
        <w:t>Contributions paid to the Leicestershire County Council pension fund: cash paid as employer's contributions to the pension fund in settlement of liabilities; not accounted for as an expense.</w:t>
      </w:r>
    </w:p>
    <w:p w14:paraId="13A71221" w14:textId="77777777" w:rsidR="004C3C95" w:rsidRPr="001B4C9B" w:rsidRDefault="00760F09" w:rsidP="00D6391D">
      <w:pPr>
        <w:spacing w:after="240"/>
        <w:jc w:val="both"/>
      </w:pPr>
      <w:r w:rsidRPr="001B4C9B">
        <w:t>In relation to retirement benefits, statutory provisions require the General Fund Balance to be charged with the amount payable by the Council to the pension fund or directly to pensioners in the year, not the amount calculated according to the relevant accounting standards.  In the Movement in Reserves Statement, this means that there are transfers to and from the Pension Reserve to remove the notional debits and credits for retirement benefits and replace them with debits for the cash paid to the pension fund and pensioners and any such amounts payable but unpaid at the year-end.  The negative balance that arises on the Pension Reserve thereby measures the beneficial impact to the General Fund of being required to account for retirement benefits on the basis of cash flows rather than as benefits earned by employees.</w:t>
      </w:r>
    </w:p>
    <w:p w14:paraId="0B6F4546" w14:textId="77777777" w:rsidR="004C3C95" w:rsidRPr="001B4C9B" w:rsidRDefault="004C3C95" w:rsidP="00D6391D">
      <w:pPr>
        <w:spacing w:after="240"/>
        <w:jc w:val="both"/>
        <w:rPr>
          <w:b/>
          <w:i/>
        </w:rPr>
      </w:pPr>
      <w:r w:rsidRPr="001B4C9B">
        <w:rPr>
          <w:b/>
          <w:i/>
        </w:rPr>
        <w:t>Discretionary Benefits</w:t>
      </w:r>
    </w:p>
    <w:p w14:paraId="46C13445" w14:textId="77777777" w:rsidR="004C3C95" w:rsidRPr="001B4C9B" w:rsidRDefault="00760F09" w:rsidP="00D6391D">
      <w:pPr>
        <w:spacing w:after="240"/>
        <w:jc w:val="both"/>
      </w:pPr>
      <w:r w:rsidRPr="001B4C9B">
        <w:t xml:space="preserve">The Council also has restricted powers to make discretionary awards of retirement benefits in the event of early retirements.  Any liabilities estimated to arise as a result of an award to any member of staff (including teachers) are accrued in the year of the decision to make the award and accounted for using the same policies as are applied to the Local Government Pension Scheme.  </w:t>
      </w:r>
    </w:p>
    <w:p w14:paraId="7CFF0A7D" w14:textId="6CA6E816" w:rsidR="004C3C95" w:rsidRPr="001B4C9B" w:rsidRDefault="004C3C95" w:rsidP="00760F09">
      <w:pPr>
        <w:spacing w:after="240"/>
        <w:rPr>
          <w:b/>
        </w:rPr>
      </w:pPr>
      <w:r w:rsidRPr="001B4C9B">
        <w:rPr>
          <w:b/>
        </w:rPr>
        <w:t>E</w:t>
      </w:r>
      <w:r w:rsidR="00760F09" w:rsidRPr="001B4C9B">
        <w:rPr>
          <w:b/>
        </w:rPr>
        <w:t>vents</w:t>
      </w:r>
      <w:r w:rsidRPr="001B4C9B">
        <w:rPr>
          <w:b/>
        </w:rPr>
        <w:t xml:space="preserve"> A</w:t>
      </w:r>
      <w:r w:rsidR="00760F09" w:rsidRPr="001B4C9B">
        <w:rPr>
          <w:b/>
        </w:rPr>
        <w:t>fter</w:t>
      </w:r>
      <w:r w:rsidRPr="001B4C9B">
        <w:rPr>
          <w:b/>
        </w:rPr>
        <w:t xml:space="preserve"> </w:t>
      </w:r>
      <w:r w:rsidR="00760F09" w:rsidRPr="001B4C9B">
        <w:rPr>
          <w:b/>
        </w:rPr>
        <w:t>the</w:t>
      </w:r>
      <w:r w:rsidRPr="001B4C9B">
        <w:rPr>
          <w:b/>
        </w:rPr>
        <w:t xml:space="preserve"> </w:t>
      </w:r>
      <w:r w:rsidR="00D94199" w:rsidRPr="001B4C9B">
        <w:rPr>
          <w:b/>
        </w:rPr>
        <w:t>Reporting</w:t>
      </w:r>
      <w:r w:rsidRPr="001B4C9B">
        <w:rPr>
          <w:b/>
        </w:rPr>
        <w:t xml:space="preserve"> D</w:t>
      </w:r>
      <w:r w:rsidR="00760F09" w:rsidRPr="001B4C9B">
        <w:rPr>
          <w:b/>
        </w:rPr>
        <w:t>ate</w:t>
      </w:r>
    </w:p>
    <w:p w14:paraId="5F424BEE" w14:textId="76FBC931" w:rsidR="004C3C95" w:rsidRPr="001B4C9B" w:rsidRDefault="004C3C95" w:rsidP="00D6391D">
      <w:pPr>
        <w:spacing w:after="240"/>
        <w:jc w:val="both"/>
      </w:pPr>
      <w:r w:rsidRPr="001B4C9B">
        <w:t>Events after the Balance Sheet date are those events, both favourable and unfavourable, that occur between the end of the reporting period and the date when the Statement o</w:t>
      </w:r>
      <w:r w:rsidR="00D94199" w:rsidRPr="001B4C9B">
        <w:t>f Accounts is authorised for issue</w:t>
      </w:r>
      <w:r w:rsidRPr="001B4C9B">
        <w:t>.  Two types of events can be identified:</w:t>
      </w:r>
    </w:p>
    <w:p w14:paraId="0D67C04E" w14:textId="77777777" w:rsidR="00760F09" w:rsidRPr="001B4C9B" w:rsidRDefault="00760F09" w:rsidP="005676B7">
      <w:pPr>
        <w:numPr>
          <w:ilvl w:val="0"/>
          <w:numId w:val="10"/>
        </w:numPr>
        <w:spacing w:after="120"/>
        <w:ind w:left="714" w:hanging="357"/>
        <w:jc w:val="both"/>
        <w:rPr>
          <w:rFonts w:cs="Arial"/>
          <w:szCs w:val="22"/>
        </w:rPr>
      </w:pPr>
      <w:r w:rsidRPr="001B4C9B">
        <w:rPr>
          <w:rFonts w:cs="Arial"/>
          <w:szCs w:val="22"/>
        </w:rPr>
        <w:t>those that provide evidence of conditions that existed at the end of the reporting period – the Statement of Accounts is adjusted to reflect such events</w:t>
      </w:r>
    </w:p>
    <w:p w14:paraId="604937D1" w14:textId="77777777" w:rsidR="00760F09" w:rsidRPr="001B4C9B" w:rsidRDefault="00760F09" w:rsidP="005676B7">
      <w:pPr>
        <w:numPr>
          <w:ilvl w:val="0"/>
          <w:numId w:val="10"/>
        </w:numPr>
        <w:spacing w:after="120"/>
        <w:ind w:left="714" w:hanging="357"/>
        <w:jc w:val="both"/>
        <w:rPr>
          <w:rFonts w:cs="Arial"/>
          <w:szCs w:val="22"/>
        </w:rPr>
      </w:pPr>
      <w:r w:rsidRPr="001B4C9B">
        <w:rPr>
          <w:rFonts w:cs="Arial"/>
          <w:szCs w:val="22"/>
        </w:rPr>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14:paraId="73EF31B4" w14:textId="77777777" w:rsidR="004C3C95" w:rsidRPr="001B4C9B" w:rsidRDefault="004C3C95" w:rsidP="00760F09">
      <w:pPr>
        <w:spacing w:after="240"/>
        <w:jc w:val="both"/>
      </w:pPr>
      <w:r w:rsidRPr="001B4C9B">
        <w:t>Events taking place after the date of authorisation for issue are not reflected in the Statement of Account</w:t>
      </w:r>
      <w:r w:rsidR="00581113" w:rsidRPr="001B4C9B">
        <w:t>s.</w:t>
      </w:r>
      <w:r w:rsidR="00760F09" w:rsidRPr="001B4C9B">
        <w:t xml:space="preserve"> </w:t>
      </w:r>
    </w:p>
    <w:p w14:paraId="3A52ABFE" w14:textId="77777777" w:rsidR="004C3C95" w:rsidRPr="001B4C9B" w:rsidRDefault="004C3C95" w:rsidP="00760F09">
      <w:pPr>
        <w:spacing w:after="240"/>
        <w:rPr>
          <w:b/>
        </w:rPr>
      </w:pPr>
      <w:r w:rsidRPr="001B4C9B">
        <w:rPr>
          <w:b/>
        </w:rPr>
        <w:t>F</w:t>
      </w:r>
      <w:r w:rsidR="00760F09" w:rsidRPr="001B4C9B">
        <w:rPr>
          <w:b/>
        </w:rPr>
        <w:t>inancial</w:t>
      </w:r>
      <w:r w:rsidRPr="001B4C9B">
        <w:rPr>
          <w:b/>
        </w:rPr>
        <w:t xml:space="preserve"> I</w:t>
      </w:r>
      <w:r w:rsidR="00760F09" w:rsidRPr="001B4C9B">
        <w:rPr>
          <w:b/>
        </w:rPr>
        <w:t>nstruments</w:t>
      </w:r>
    </w:p>
    <w:p w14:paraId="109D14CE" w14:textId="77777777" w:rsidR="004C3C95" w:rsidRPr="001B4C9B" w:rsidRDefault="004C3C95" w:rsidP="00D6391D">
      <w:pPr>
        <w:spacing w:after="240"/>
        <w:jc w:val="both"/>
        <w:rPr>
          <w:b/>
          <w:i/>
        </w:rPr>
      </w:pPr>
      <w:r w:rsidRPr="001B4C9B">
        <w:rPr>
          <w:b/>
          <w:i/>
        </w:rPr>
        <w:t>Financial Liabilities</w:t>
      </w:r>
    </w:p>
    <w:p w14:paraId="7533DB07" w14:textId="394C8714" w:rsidR="004C3C95" w:rsidRPr="001B4C9B" w:rsidRDefault="004C3C95" w:rsidP="00D6391D">
      <w:pPr>
        <w:spacing w:after="240"/>
        <w:jc w:val="both"/>
      </w:pPr>
      <w:r w:rsidRPr="001B4C9B">
        <w:t xml:space="preserve">Financial liabilities are recognised on the Balance Sheet when the </w:t>
      </w:r>
      <w:r w:rsidR="00A31DF6" w:rsidRPr="001B4C9B">
        <w:t>Council</w:t>
      </w:r>
      <w:r w:rsidRPr="001B4C9B">
        <w:t xml:space="preserve"> becomes a party to the contractual provisions of a financial instrument and are initially measured at fair value and are carried at their amortised cost.</w:t>
      </w:r>
      <w:r w:rsidR="00A31DF6" w:rsidRPr="001B4C9B">
        <w:t xml:space="preserve">  </w:t>
      </w:r>
      <w:r w:rsidRPr="001B4C9B">
        <w:t>Annual charges to the Financing and Investment Income and Expenditure line in the Comprehensive Income and Expenditure Statement</w:t>
      </w:r>
      <w:r w:rsidR="00D94199" w:rsidRPr="001B4C9B">
        <w:t xml:space="preserve"> (CIES)</w:t>
      </w:r>
      <w:r w:rsidRPr="001B4C9B">
        <w:t xml:space="preserve"> for interest payable are based on the carrying amount of the liability, multiplied by the effective rate of interest for the instrument.  The effective</w:t>
      </w:r>
      <w:r w:rsidR="00D94199" w:rsidRPr="001B4C9B">
        <w:t xml:space="preserve"> interest</w:t>
      </w:r>
      <w:r w:rsidRPr="001B4C9B">
        <w:t xml:space="preserve"> rate is the rate that exactly discounts estimated future cash payments over the life of the instrument to the amount at which it was originally recognised.</w:t>
      </w:r>
    </w:p>
    <w:p w14:paraId="0EBC897F" w14:textId="6A6EE7FE" w:rsidR="00F65E83" w:rsidRPr="001B4C9B" w:rsidRDefault="004C3C95" w:rsidP="00D6391D">
      <w:pPr>
        <w:spacing w:after="240"/>
        <w:jc w:val="both"/>
      </w:pPr>
      <w:r w:rsidRPr="001B4C9B">
        <w:t xml:space="preserve">For </w:t>
      </w:r>
      <w:r w:rsidR="00224233" w:rsidRPr="001B4C9B">
        <w:t xml:space="preserve">most to </w:t>
      </w:r>
      <w:r w:rsidRPr="001B4C9B">
        <w:t xml:space="preserve">the borrowings that the </w:t>
      </w:r>
      <w:r w:rsidR="00A31DF6" w:rsidRPr="001B4C9B">
        <w:t>Council</w:t>
      </w:r>
      <w:r w:rsidRPr="001B4C9B">
        <w:t xml:space="preserve"> has</w:t>
      </w:r>
      <w:r w:rsidR="00685090" w:rsidRPr="001B4C9B">
        <w:t>,</w:t>
      </w:r>
      <w:r w:rsidRPr="001B4C9B">
        <w:t xml:space="preserve"> this means that the amount presented in the Balance Sheet is the outstanding principal repayable (plus accrued interest) and interest charged to the</w:t>
      </w:r>
      <w:r w:rsidR="00224233" w:rsidRPr="001B4C9B">
        <w:t xml:space="preserve"> CIES</w:t>
      </w:r>
      <w:r w:rsidRPr="001B4C9B">
        <w:t xml:space="preserve"> is the amount payable for the year according to the loan agreement.</w:t>
      </w:r>
    </w:p>
    <w:p w14:paraId="535987CF" w14:textId="77777777" w:rsidR="004C3C95" w:rsidRPr="001B4C9B" w:rsidRDefault="004C3C95" w:rsidP="00D6391D">
      <w:pPr>
        <w:spacing w:after="240"/>
        <w:jc w:val="both"/>
      </w:pPr>
      <w:r w:rsidRPr="001B4C9B">
        <w:t xml:space="preserve">Where premiums and discounts have been charged to the Comprehensive Income and Expenditure Statement, regulations allow the impact on the General Fund balance to be spread over future years.  The </w:t>
      </w:r>
      <w:r w:rsidR="00A31DF6" w:rsidRPr="001B4C9B">
        <w:t>Council</w:t>
      </w:r>
      <w:r w:rsidRPr="001B4C9B">
        <w:t xml:space="preserve"> has a policy of spreading the gain or loss over the term that was remaining on the loan against which the premium was payable or discount receivable when it was repaid.  The reconciliation of amounts charged to the Comprehensive Income and Expenditure Statement to the net charge required against the </w:t>
      </w:r>
      <w:r w:rsidRPr="001B4C9B">
        <w:lastRenderedPageBreak/>
        <w:t>General Fund balance is managed by a transfer to or from the Financial Instruments Adjustment Account in the Movement in Reserves Statement.</w:t>
      </w:r>
    </w:p>
    <w:p w14:paraId="2CBBE026" w14:textId="77777777" w:rsidR="004C3C95" w:rsidRPr="001B4C9B" w:rsidRDefault="004C3C95" w:rsidP="00D6391D">
      <w:pPr>
        <w:spacing w:after="240"/>
        <w:jc w:val="both"/>
        <w:rPr>
          <w:b/>
          <w:i/>
        </w:rPr>
      </w:pPr>
      <w:r w:rsidRPr="001B4C9B">
        <w:rPr>
          <w:b/>
          <w:i/>
        </w:rPr>
        <w:t xml:space="preserve">Financial </w:t>
      </w:r>
      <w:r w:rsidR="00A31DF6" w:rsidRPr="001B4C9B">
        <w:rPr>
          <w:b/>
          <w:i/>
        </w:rPr>
        <w:t>A</w:t>
      </w:r>
      <w:r w:rsidRPr="001B4C9B">
        <w:rPr>
          <w:b/>
          <w:i/>
        </w:rPr>
        <w:t>ssets</w:t>
      </w:r>
    </w:p>
    <w:p w14:paraId="3E92E460" w14:textId="43618799" w:rsidR="004C3C95" w:rsidRPr="001B4C9B" w:rsidRDefault="004C3C95" w:rsidP="00D6391D">
      <w:pPr>
        <w:spacing w:after="240"/>
        <w:jc w:val="both"/>
      </w:pPr>
      <w:r w:rsidRPr="001B4C9B">
        <w:t xml:space="preserve">Financial assets are classified </w:t>
      </w:r>
      <w:r w:rsidR="00130FB5" w:rsidRPr="001B4C9B">
        <w:t>based on a classification and measurement approach that reflects the business model for holding the financial assets and their cashflow characteristics. There are three main classes of financial assets measured at</w:t>
      </w:r>
      <w:r w:rsidRPr="001B4C9B">
        <w:t>:</w:t>
      </w:r>
    </w:p>
    <w:p w14:paraId="24501729" w14:textId="65BECC82" w:rsidR="004C3C95" w:rsidRPr="001B4C9B" w:rsidRDefault="00130FB5" w:rsidP="005676B7">
      <w:pPr>
        <w:numPr>
          <w:ilvl w:val="0"/>
          <w:numId w:val="10"/>
        </w:numPr>
        <w:spacing w:after="120"/>
        <w:ind w:left="714" w:hanging="357"/>
        <w:jc w:val="both"/>
        <w:rPr>
          <w:rFonts w:cs="Arial"/>
          <w:szCs w:val="22"/>
        </w:rPr>
      </w:pPr>
      <w:r w:rsidRPr="001B4C9B">
        <w:rPr>
          <w:rFonts w:cs="Arial"/>
          <w:szCs w:val="22"/>
        </w:rPr>
        <w:t>amortised cost</w:t>
      </w:r>
    </w:p>
    <w:p w14:paraId="66299ED2" w14:textId="36F2FE0C" w:rsidR="00130FB5" w:rsidRPr="001B4C9B" w:rsidRDefault="00130FB5" w:rsidP="005676B7">
      <w:pPr>
        <w:numPr>
          <w:ilvl w:val="0"/>
          <w:numId w:val="10"/>
        </w:numPr>
        <w:spacing w:after="120"/>
        <w:ind w:left="714" w:hanging="357"/>
        <w:jc w:val="both"/>
        <w:rPr>
          <w:rFonts w:cs="Arial"/>
          <w:szCs w:val="22"/>
        </w:rPr>
      </w:pPr>
      <w:r w:rsidRPr="001B4C9B">
        <w:rPr>
          <w:rFonts w:cs="Arial"/>
          <w:szCs w:val="22"/>
        </w:rPr>
        <w:t>fair value through profit or loss</w:t>
      </w:r>
    </w:p>
    <w:p w14:paraId="2F954308" w14:textId="24A2BD02" w:rsidR="004C3C95" w:rsidRPr="001B4C9B" w:rsidRDefault="00130FB5" w:rsidP="005676B7">
      <w:pPr>
        <w:numPr>
          <w:ilvl w:val="0"/>
          <w:numId w:val="10"/>
        </w:numPr>
        <w:spacing w:after="120"/>
        <w:ind w:left="714" w:hanging="357"/>
        <w:jc w:val="both"/>
        <w:rPr>
          <w:rFonts w:cs="Arial"/>
          <w:szCs w:val="22"/>
        </w:rPr>
      </w:pPr>
      <w:r w:rsidRPr="001B4C9B">
        <w:rPr>
          <w:rFonts w:cs="Arial"/>
          <w:szCs w:val="22"/>
        </w:rPr>
        <w:t>fair value through other comprehensive income</w:t>
      </w:r>
    </w:p>
    <w:p w14:paraId="3B859230" w14:textId="626D4362" w:rsidR="00394C3E" w:rsidRPr="001B4C9B" w:rsidRDefault="00394C3E" w:rsidP="00394C3E">
      <w:pPr>
        <w:spacing w:after="120"/>
        <w:jc w:val="both"/>
        <w:rPr>
          <w:rFonts w:cs="Arial"/>
          <w:szCs w:val="22"/>
        </w:rPr>
      </w:pPr>
      <w:r w:rsidRPr="001B4C9B">
        <w:rPr>
          <w:rFonts w:cs="Arial"/>
          <w:szCs w:val="22"/>
        </w:rPr>
        <w:t>The authority’s business model is to hold investments to collect contractual cash flows. Financial assets are therefore classified as amortised cost, except for those whose contractual payments are not solely payment of principal and interest.</w:t>
      </w:r>
    </w:p>
    <w:p w14:paraId="0C395A28" w14:textId="7D6B2F48" w:rsidR="004C3C95" w:rsidRPr="001B4C9B" w:rsidRDefault="0037780A" w:rsidP="00D6391D">
      <w:pPr>
        <w:spacing w:after="240"/>
        <w:jc w:val="both"/>
        <w:rPr>
          <w:b/>
          <w:i/>
        </w:rPr>
      </w:pPr>
      <w:r w:rsidRPr="001B4C9B">
        <w:rPr>
          <w:b/>
          <w:i/>
        </w:rPr>
        <w:t>Financial Assets measured at Amortised Cost</w:t>
      </w:r>
    </w:p>
    <w:p w14:paraId="52E02EAB" w14:textId="7DDB3261" w:rsidR="0037780A" w:rsidRPr="001B4C9B" w:rsidRDefault="0037780A" w:rsidP="00D6391D">
      <w:pPr>
        <w:spacing w:after="240"/>
        <w:jc w:val="both"/>
      </w:pPr>
      <w:r w:rsidRPr="001B4C9B">
        <w:t>Financial Assets measured at amortised cost are recognised on the Balance Sheet when the authority becomes a party to the contractual provisions of a financial instrument and are initially measured at fair value. They are subsequently measures at their amortised cost. Annual credits to the Financing and Investment Income and Expenditure line in the Comprehensive Income and Expenditure Statement for interest receivable are based on the carrying amount of the asset multiplied by the effective rate of interest for the instrument. For most of the financial assets held by the authority, this means that the amount presented in the Balance Sheet is the outstanding principal receivable (plus accrued interest) and interest credited to the CIEs is the amount receivable for the year in the loan agreement.</w:t>
      </w:r>
    </w:p>
    <w:p w14:paraId="457D9573" w14:textId="7BF2442E" w:rsidR="0037780A" w:rsidRPr="001B4C9B" w:rsidRDefault="0037780A" w:rsidP="00D6391D">
      <w:pPr>
        <w:spacing w:after="240"/>
        <w:jc w:val="both"/>
      </w:pPr>
      <w:r w:rsidRPr="001B4C9B">
        <w:t xml:space="preserve">However the </w:t>
      </w:r>
      <w:r w:rsidR="00F02623" w:rsidRPr="001B4C9B">
        <w:t>Council</w:t>
      </w:r>
      <w:r w:rsidRPr="001B4C9B">
        <w:t xml:space="preserve"> has made </w:t>
      </w:r>
      <w:r w:rsidR="00C81D87" w:rsidRPr="001B4C9B">
        <w:t>loans</w:t>
      </w:r>
      <w:r w:rsidRPr="001B4C9B">
        <w:t xml:space="preserve"> </w:t>
      </w:r>
      <w:r w:rsidR="00C81D87" w:rsidRPr="001B4C9B">
        <w:t>to voluntary organisations at less than market rates (soft loans). When soft loans are made, a loss is recorded in the Comprehensive Income and Expenditure Statement (debited to the appropriate service) for the present value of the interest that will be foregone over the life of the instrument, resulting in a lower amortised cost than the outstanding principal.</w:t>
      </w:r>
    </w:p>
    <w:p w14:paraId="6A09D298" w14:textId="6D07FCF8" w:rsidR="0037780A" w:rsidRPr="001B4C9B" w:rsidRDefault="00C81D87" w:rsidP="00D6391D">
      <w:pPr>
        <w:spacing w:after="240"/>
        <w:jc w:val="both"/>
      </w:pPr>
      <w:r w:rsidRPr="001B4C9B">
        <w:t>Interest is credited to the Financing and Investment Income and Expenditure line in the Comprehensive Income and Expenditure statement at a marginally higher effective rate of interest than the rate receivable from the voluntary organisations, with the difference serving to increase the amortised cost of the loan in the Balance Sheet, with the difference serving to increase the amortised cost of the</w:t>
      </w:r>
      <w:r w:rsidR="001B4C9B" w:rsidRPr="001B4C9B">
        <w:t xml:space="preserve"> loan in the Balance Sheet. Statutory provisions require that the impact of soft loans on the General Fund Balance is the interest recievable for the financial year- the reconcilation of amounts  debited and credited to the CIES to the net gain required against the general fund balance is managed by a transfer to or from the Financial Instruments Account in the Movement in Reserves Statement</w:t>
      </w:r>
      <w:r w:rsidRPr="001B4C9B">
        <w:t>.</w:t>
      </w:r>
    </w:p>
    <w:p w14:paraId="1828456D" w14:textId="0BCE9C14" w:rsidR="00C81D87" w:rsidRPr="001B4C9B" w:rsidRDefault="00C81D87" w:rsidP="00D6391D">
      <w:pPr>
        <w:spacing w:after="240"/>
        <w:jc w:val="both"/>
      </w:pPr>
      <w:r w:rsidRPr="001B4C9B">
        <w:t>Any gains or losses that arise on the derecognition of an asset are credited or debited to the Financing and Investment Income ad Expenditure line in the Comprehensive Income and Expenditure Statement</w:t>
      </w:r>
    </w:p>
    <w:p w14:paraId="7311B9BD" w14:textId="7822F405" w:rsidR="00A35243" w:rsidRPr="001B4C9B" w:rsidRDefault="00A35243" w:rsidP="00D6391D">
      <w:pPr>
        <w:spacing w:after="240"/>
        <w:jc w:val="both"/>
        <w:rPr>
          <w:b/>
          <w:i/>
        </w:rPr>
      </w:pPr>
      <w:r w:rsidRPr="001B4C9B">
        <w:rPr>
          <w:b/>
          <w:i/>
        </w:rPr>
        <w:t>Expected Credit Loss Model</w:t>
      </w:r>
    </w:p>
    <w:p w14:paraId="6FF84BBD" w14:textId="0E007266" w:rsidR="00A35243" w:rsidRPr="001B4C9B" w:rsidRDefault="00A35243" w:rsidP="00D6391D">
      <w:pPr>
        <w:spacing w:after="240"/>
        <w:jc w:val="both"/>
      </w:pPr>
      <w:r w:rsidRPr="001B4C9B">
        <w:t xml:space="preserve">The </w:t>
      </w:r>
      <w:r w:rsidR="00F02623" w:rsidRPr="001B4C9B">
        <w:t>Council</w:t>
      </w:r>
      <w:r w:rsidRPr="001B4C9B">
        <w:t xml:space="preserve"> recognises expected credit losses on all of its financial assets held at amortised cost, either on a 12-month or lifetime basis. The expected credit loss model also applies to lease receivables and contract assets. Only lifetime losses are recognised for trade receivables</w:t>
      </w:r>
      <w:r w:rsidR="00F02623" w:rsidRPr="001B4C9B">
        <w:t xml:space="preserve"> (debtors) held by the Council.</w:t>
      </w:r>
    </w:p>
    <w:p w14:paraId="0FCA2FC8" w14:textId="451C4416" w:rsidR="00D74983" w:rsidRPr="001B4C9B" w:rsidRDefault="00D74983" w:rsidP="00D6391D">
      <w:pPr>
        <w:spacing w:after="240"/>
        <w:jc w:val="both"/>
      </w:pPr>
      <w:r w:rsidRPr="001B4C9B">
        <w:t>Impairment losses are calculated to reflect the expectation that the future cash flows might not take place because the borrower could default on their obligations. Credit risk plays a crucial part in assessing losses. Where risk has increased significantly since an instrument was initially recognised, losses are assesses on a lifetime basis. Where risk has not increased significantly or remains low, losses are as</w:t>
      </w:r>
      <w:r w:rsidR="00710546" w:rsidRPr="001B4C9B">
        <w:t>sesses on the basis of 12 month</w:t>
      </w:r>
      <w:r w:rsidRPr="001B4C9B">
        <w:t xml:space="preserve"> expected losses.</w:t>
      </w:r>
    </w:p>
    <w:p w14:paraId="1A7E6084" w14:textId="164E25F6" w:rsidR="009E0AF5" w:rsidRPr="001B4C9B" w:rsidRDefault="009E0AF5" w:rsidP="009E0AF5">
      <w:pPr>
        <w:autoSpaceDE w:val="0"/>
        <w:autoSpaceDN w:val="0"/>
        <w:adjustRightInd w:val="0"/>
        <w:spacing w:before="120" w:line="231" w:lineRule="atLeast"/>
        <w:jc w:val="both"/>
        <w:rPr>
          <w:rFonts w:cs="Arial"/>
        </w:rPr>
      </w:pPr>
      <w:r w:rsidRPr="001B4C9B">
        <w:rPr>
          <w:rFonts w:cs="Arial"/>
        </w:rPr>
        <w:lastRenderedPageBreak/>
        <w:t xml:space="preserve">The authority has a portfolio of a small number of loans to local businesses. It does not have reasonable and supportable information that is available without undue cost or effort to support the measurement of lifetime expected losses on an individual instrument basis. It has therefore assessed losses for the portfolio on a collective basis. </w:t>
      </w:r>
    </w:p>
    <w:p w14:paraId="3479541D" w14:textId="77777777" w:rsidR="009E0AF5" w:rsidRPr="001B4C9B" w:rsidRDefault="009E0AF5" w:rsidP="009E0AF5">
      <w:pPr>
        <w:autoSpaceDE w:val="0"/>
        <w:autoSpaceDN w:val="0"/>
        <w:adjustRightInd w:val="0"/>
        <w:spacing w:before="120" w:line="231" w:lineRule="atLeast"/>
        <w:jc w:val="both"/>
        <w:rPr>
          <w:rFonts w:cs="Arial"/>
        </w:rPr>
      </w:pPr>
    </w:p>
    <w:p w14:paraId="55FD1AE9" w14:textId="77777777" w:rsidR="00832530" w:rsidRPr="001B4C9B" w:rsidRDefault="00832530" w:rsidP="00832530">
      <w:pPr>
        <w:spacing w:after="240"/>
        <w:rPr>
          <w:b/>
        </w:rPr>
      </w:pPr>
      <w:r w:rsidRPr="001B4C9B">
        <w:rPr>
          <w:b/>
        </w:rPr>
        <w:t>Foreign Currency Translation</w:t>
      </w:r>
    </w:p>
    <w:p w14:paraId="69FE3D00" w14:textId="77777777" w:rsidR="00832530" w:rsidRPr="001B4C9B" w:rsidRDefault="00832530" w:rsidP="00D6391D">
      <w:pPr>
        <w:spacing w:after="240"/>
        <w:jc w:val="both"/>
      </w:pPr>
      <w:r w:rsidRPr="001B4C9B">
        <w:t>Where the Council has entered into a transaction denominated in a foreign currency, the transaction is converted into sterling at the exchange rate applicable on the date the transaction was effective.</w:t>
      </w:r>
      <w:r w:rsidR="00BC1D33" w:rsidRPr="001B4C9B">
        <w:t xml:space="preserve"> Where amounts in foreign currency are outstanding at the year end, they are reconverted at the spot exchange rate at 31 March. Resulting gains or losses are recognised in the Financing and Investment Income and Expenditure line in the Comprehensive Income and Expenditure Statement.</w:t>
      </w:r>
    </w:p>
    <w:p w14:paraId="59771977" w14:textId="77777777" w:rsidR="004C3C95" w:rsidRPr="001B4C9B" w:rsidRDefault="004C3C95" w:rsidP="000E379D">
      <w:pPr>
        <w:spacing w:after="240"/>
        <w:rPr>
          <w:b/>
        </w:rPr>
      </w:pPr>
      <w:r w:rsidRPr="001B4C9B">
        <w:rPr>
          <w:b/>
        </w:rPr>
        <w:t>G</w:t>
      </w:r>
      <w:r w:rsidR="000E379D" w:rsidRPr="001B4C9B">
        <w:rPr>
          <w:b/>
        </w:rPr>
        <w:t>overnment</w:t>
      </w:r>
      <w:r w:rsidRPr="001B4C9B">
        <w:rPr>
          <w:b/>
        </w:rPr>
        <w:t xml:space="preserve"> G</w:t>
      </w:r>
      <w:r w:rsidR="000E379D" w:rsidRPr="001B4C9B">
        <w:rPr>
          <w:b/>
        </w:rPr>
        <w:t>rants</w:t>
      </w:r>
      <w:r w:rsidRPr="001B4C9B">
        <w:rPr>
          <w:b/>
        </w:rPr>
        <w:t xml:space="preserve"> </w:t>
      </w:r>
      <w:r w:rsidR="000E379D" w:rsidRPr="001B4C9B">
        <w:rPr>
          <w:b/>
        </w:rPr>
        <w:t>and</w:t>
      </w:r>
      <w:r w:rsidRPr="001B4C9B">
        <w:rPr>
          <w:b/>
        </w:rPr>
        <w:t xml:space="preserve"> C</w:t>
      </w:r>
      <w:r w:rsidR="000E379D" w:rsidRPr="001B4C9B">
        <w:rPr>
          <w:b/>
        </w:rPr>
        <w:t>ontributions</w:t>
      </w:r>
    </w:p>
    <w:p w14:paraId="4918DCB8" w14:textId="77777777" w:rsidR="000025CC" w:rsidRPr="001B4C9B" w:rsidRDefault="000025CC" w:rsidP="00D6391D">
      <w:pPr>
        <w:spacing w:after="240"/>
        <w:jc w:val="both"/>
      </w:pPr>
      <w:r w:rsidRPr="001B4C9B">
        <w:t>Whether paid on account, by instalments or in arrears, government grants and third party contributions and donations are recognised as due to the Council when there is reasonable assurance that:</w:t>
      </w:r>
    </w:p>
    <w:p w14:paraId="59D86DA9" w14:textId="77777777" w:rsidR="004C3C95" w:rsidRPr="001B4C9B" w:rsidRDefault="004C3C95" w:rsidP="005676B7">
      <w:pPr>
        <w:numPr>
          <w:ilvl w:val="0"/>
          <w:numId w:val="10"/>
        </w:numPr>
        <w:spacing w:after="120"/>
        <w:ind w:left="714" w:hanging="357"/>
        <w:jc w:val="both"/>
        <w:rPr>
          <w:rFonts w:cs="Arial"/>
          <w:szCs w:val="22"/>
        </w:rPr>
      </w:pPr>
      <w:r w:rsidRPr="001B4C9B">
        <w:rPr>
          <w:rFonts w:cs="Arial"/>
          <w:szCs w:val="22"/>
        </w:rPr>
        <w:t>the authority will comply with the conditions attached  to the payments, and</w:t>
      </w:r>
    </w:p>
    <w:p w14:paraId="5EF3DF09" w14:textId="77777777" w:rsidR="004C3C95" w:rsidRPr="001B4C9B" w:rsidRDefault="004C3C95" w:rsidP="005676B7">
      <w:pPr>
        <w:numPr>
          <w:ilvl w:val="0"/>
          <w:numId w:val="10"/>
        </w:numPr>
        <w:spacing w:after="120"/>
        <w:ind w:left="714" w:hanging="357"/>
        <w:jc w:val="both"/>
        <w:rPr>
          <w:rFonts w:cs="Arial"/>
          <w:szCs w:val="22"/>
        </w:rPr>
      </w:pPr>
      <w:r w:rsidRPr="001B4C9B">
        <w:rPr>
          <w:rFonts w:cs="Arial"/>
          <w:szCs w:val="22"/>
        </w:rPr>
        <w:t>the grants or contributions will be received.</w:t>
      </w:r>
    </w:p>
    <w:p w14:paraId="4CC032A9" w14:textId="77777777" w:rsidR="004C3C95" w:rsidRPr="001B4C9B" w:rsidRDefault="000025CC" w:rsidP="00D6391D">
      <w:pPr>
        <w:spacing w:after="240"/>
        <w:jc w:val="both"/>
      </w:pPr>
      <w:r w:rsidRPr="001B4C9B">
        <w:t xml:space="preserve">Amounts recognised as due to the Council are not credited to the Comprehensive Income and Expenditure Statement until conditions attached to the grant or contribution have been satisfied.  Conditions are stipulations that specify that the future economic benefits or service potential embodied in the asset in the form of the grant or contribution are required to be consumed by the recipient as specified, or future economic benefits or service potential must be returned to the transferor.  </w:t>
      </w:r>
    </w:p>
    <w:p w14:paraId="046467CC" w14:textId="3D018E03" w:rsidR="000025CC" w:rsidRPr="001B4C9B" w:rsidRDefault="000025CC" w:rsidP="000025CC">
      <w:pPr>
        <w:spacing w:after="240"/>
        <w:jc w:val="both"/>
      </w:pPr>
      <w:r w:rsidRPr="001B4C9B">
        <w:t>Monies advanced as grants and contributions for which conditions have not been satisfied are carried in the Balance Sheet as creditors.  When conditions are satisfied, the grant or contribution is credited to the relevant service line (attributable revenue grants and contributions) or Taxation and Non-Specific Grant Income</w:t>
      </w:r>
      <w:r w:rsidR="00BC1D33" w:rsidRPr="001B4C9B">
        <w:t xml:space="preserve"> an Expenditure</w:t>
      </w:r>
      <w:r w:rsidR="00D10A7F" w:rsidRPr="001B4C9B">
        <w:t xml:space="preserve"> (non-ring</w:t>
      </w:r>
      <w:r w:rsidRPr="001B4C9B">
        <w:t>fenced revenue grants and all capital grants) in the Comprehensive Income and Expenditure Statement.</w:t>
      </w:r>
    </w:p>
    <w:p w14:paraId="1AEEADE4" w14:textId="77777777" w:rsidR="004C3C95" w:rsidRPr="001B4C9B" w:rsidRDefault="000025CC" w:rsidP="000025CC">
      <w:pPr>
        <w:spacing w:after="240"/>
        <w:jc w:val="both"/>
      </w:pPr>
      <w:r w:rsidRPr="001B4C9B">
        <w:t>Where capital grants are credited to the Comprehensive Income and Expenditure Statement, they are reversed out of the General Fund Balance in the Movement in Reserves Statement.  Where the grant has yet to be used to finance capital expenditure, it is posted to the Capital Grants Unapplied reserve.  Where it has been applied, it is posted to the Capital Adjustment Account.  Amounts in the Capital Grants Unapplied Reserve are transferred to the Capital Adjustment Account once they have been applied to fund capital expenditure.</w:t>
      </w:r>
    </w:p>
    <w:p w14:paraId="7FB1DDC1" w14:textId="29A0E55D" w:rsidR="00D10A7F" w:rsidRPr="001B4C9B" w:rsidRDefault="00D10A7F" w:rsidP="000025CC">
      <w:pPr>
        <w:spacing w:after="240"/>
        <w:jc w:val="both"/>
        <w:rPr>
          <w:b/>
        </w:rPr>
      </w:pPr>
      <w:r w:rsidRPr="001B4C9B">
        <w:rPr>
          <w:b/>
        </w:rPr>
        <w:t>Community Infrastructure Levy</w:t>
      </w:r>
    </w:p>
    <w:p w14:paraId="65953F0E" w14:textId="210C285A" w:rsidR="00D10A7F" w:rsidRPr="001B4C9B" w:rsidRDefault="00D10A7F" w:rsidP="000025CC">
      <w:pPr>
        <w:spacing w:after="240"/>
        <w:jc w:val="both"/>
      </w:pPr>
      <w:r w:rsidRPr="001B4C9B">
        <w:t>The authority has elected to charge a Community Infrastructure Levy (CIL). The levy will be charged on new builds (chargeable development for the authority) with appropriate planning consent. The council charge for and collects the levy, which is a planning charge. The income from the levy will be used to fund a number of infrastructure projects (These include transport, flood defences and schools</w:t>
      </w:r>
      <w:r w:rsidR="00A724D7" w:rsidRPr="001B4C9B">
        <w:t>)</w:t>
      </w:r>
      <w:r w:rsidRPr="001B4C9B">
        <w:t xml:space="preserve"> to support the dev</w:t>
      </w:r>
      <w:r w:rsidR="00A724D7" w:rsidRPr="001B4C9B">
        <w:t>elopment of the area.</w:t>
      </w:r>
    </w:p>
    <w:p w14:paraId="6A74B65F" w14:textId="70BF36BF" w:rsidR="00A724D7" w:rsidRPr="001B4C9B" w:rsidRDefault="00A724D7" w:rsidP="000025CC">
      <w:pPr>
        <w:spacing w:after="240"/>
        <w:jc w:val="both"/>
      </w:pPr>
      <w:r w:rsidRPr="001B4C9B">
        <w:t>CIL is received without outstanding conditions; it is therefore recognised at the commencement date of the chargeable development in the Comprehensive Income and Expenditure Statement in accordance with the accounting policy for government grants and contributions set out above. CIL charges will be largely used to fund capital expenditure. However, a proportion of the charges may be used to fund revenue expenditure</w:t>
      </w:r>
    </w:p>
    <w:p w14:paraId="5191C0D2" w14:textId="77777777" w:rsidR="00050F0A" w:rsidRPr="001B4C9B" w:rsidRDefault="00050F0A" w:rsidP="00050F0A">
      <w:pPr>
        <w:spacing w:after="240"/>
        <w:rPr>
          <w:b/>
        </w:rPr>
      </w:pPr>
      <w:r w:rsidRPr="001B4C9B">
        <w:rPr>
          <w:b/>
        </w:rPr>
        <w:t>Heritage Assets</w:t>
      </w:r>
    </w:p>
    <w:p w14:paraId="5F9F0C95" w14:textId="77777777" w:rsidR="00050F0A" w:rsidRPr="001B4C9B" w:rsidRDefault="00050F0A" w:rsidP="00050F0A">
      <w:pPr>
        <w:spacing w:after="240"/>
        <w:jc w:val="both"/>
      </w:pPr>
      <w:r w:rsidRPr="001B4C9B">
        <w:lastRenderedPageBreak/>
        <w:t xml:space="preserve">Heritage assets are assets that are held by the Council principally for their contribution to knowledge or culture.  These assets are recognised and measured in accordance with the Council’s accounting policies on Property, Plant, and Equipment.  However the assets are recognised in the Balance Sheet using as its base the detailed insurance valuation (which are based on market values) held by the Council.  And as heritage assets held have indeterminate lives and a high residual value; the Council does not consider it appropriate to charge depreciation for the assets.  </w:t>
      </w:r>
    </w:p>
    <w:p w14:paraId="73B2973A" w14:textId="77777777" w:rsidR="00050F0A" w:rsidRPr="001B4C9B" w:rsidRDefault="00050F0A" w:rsidP="00050F0A">
      <w:pPr>
        <w:spacing w:after="240"/>
        <w:rPr>
          <w:b/>
        </w:rPr>
      </w:pPr>
      <w:r w:rsidRPr="001B4C9B">
        <w:rPr>
          <w:b/>
        </w:rPr>
        <w:t>Intangible Assets</w:t>
      </w:r>
    </w:p>
    <w:p w14:paraId="256089E0" w14:textId="77777777" w:rsidR="00050F0A" w:rsidRPr="001B4C9B" w:rsidRDefault="00050F0A" w:rsidP="00050F0A">
      <w:pPr>
        <w:spacing w:after="240"/>
        <w:jc w:val="both"/>
      </w:pPr>
      <w:r w:rsidRPr="001B4C9B">
        <w:t xml:space="preserve">Expenditure on non-monetary assets that do not have physical substance but are controlled by the Council as a result of past events (e.g. software licences) is capitalised when it is expected that future economic benefits or service potential will flow from the intangible asset to the Council.  </w:t>
      </w:r>
    </w:p>
    <w:p w14:paraId="03962F52" w14:textId="77777777" w:rsidR="00050F0A" w:rsidRPr="001B4C9B" w:rsidRDefault="00050F0A" w:rsidP="00050F0A">
      <w:pPr>
        <w:spacing w:after="240"/>
        <w:jc w:val="both"/>
      </w:pPr>
      <w:r w:rsidRPr="001B4C9B">
        <w:t xml:space="preserve">Internally generated assets are capitalised where it is demonstrable that the project is technically feasible and is intended to be completed (with adequate resources being available) and the Council will be able to generate future economic benefits or deliver service potential by being able to sell or use the asset.  Expenditure is capitalised where it can be measured reliably as attributable to the asset and is restricted to that incurred during the development phase (research expenditure cannot be capitalised).  </w:t>
      </w:r>
    </w:p>
    <w:p w14:paraId="33A20135" w14:textId="77777777" w:rsidR="00050F0A" w:rsidRPr="001B4C9B" w:rsidRDefault="00050F0A" w:rsidP="00050F0A">
      <w:pPr>
        <w:spacing w:after="240"/>
        <w:jc w:val="both"/>
      </w:pPr>
      <w:r w:rsidRPr="001B4C9B">
        <w:t>Expenditure on the development of websites is not capitalised if the website is solely or primarily intended to promote or advertise the Council’s goods or services.</w:t>
      </w:r>
    </w:p>
    <w:p w14:paraId="69150C5E" w14:textId="77777777" w:rsidR="00050F0A" w:rsidRPr="001B4C9B" w:rsidRDefault="00050F0A" w:rsidP="00050F0A">
      <w:pPr>
        <w:spacing w:after="240"/>
        <w:jc w:val="both"/>
      </w:pPr>
      <w:r w:rsidRPr="001B4C9B">
        <w:t>Intangible assets are measured initially at cost.  Amounts are only revalued where the fair value of the assets held by the Council can be determined by reference to an active market.</w:t>
      </w:r>
      <w:r w:rsidR="002F0ED8" w:rsidRPr="001B4C9B">
        <w:t xml:space="preserve"> In practice, no intangible asset held by the Council meets this criterion, and they are </w:t>
      </w:r>
      <w:r w:rsidR="00CB5E47" w:rsidRPr="001B4C9B">
        <w:t>therefore carried at amortised cost.</w:t>
      </w:r>
      <w:r w:rsidRPr="001B4C9B">
        <w:t xml:space="preserve"> The depreciable amount of an intangible asset is amortised over its useful life to the relevant service line(s) in the Comprehensive Income and Expenditure Statement.  An asset is tested for impairment whenever there is an indication that the asset might be impaired – any losses recognised are posted to the service line(s) in the Comprehensive Income and Expenditure Statement.  Any gain or loss arising on the disposal or abandonment of an intangible asset is posted to the Other Operating Expenditure line in the Comprehensive Income and Expenditure Statement.</w:t>
      </w:r>
    </w:p>
    <w:p w14:paraId="6788623D" w14:textId="77777777" w:rsidR="00FB786B" w:rsidRPr="001B4C9B" w:rsidRDefault="00050F0A" w:rsidP="00050F0A">
      <w:pPr>
        <w:spacing w:after="240"/>
        <w:jc w:val="both"/>
      </w:pPr>
      <w:r w:rsidRPr="001B4C9B">
        <w:t xml:space="preserve">Where expenditure on intangible assets qualifies as capital expenditure for statutory purposes, amortisation, impairment losses and disposal gains and losses are not permitted to have an impact on the General Fund Balance.  The gains and losses are therefore reversed out of the General Fund Balance in the Movement in Reserves Statement and posted to the Capital Adjustment Account and </w:t>
      </w:r>
      <w:r w:rsidR="00191407" w:rsidRPr="001B4C9B">
        <w:t>t</w:t>
      </w:r>
      <w:r w:rsidRPr="001B4C9B">
        <w:t>he Capital Receipts Reserve.</w:t>
      </w:r>
    </w:p>
    <w:p w14:paraId="762DB42B" w14:textId="77777777" w:rsidR="004C3C95" w:rsidRPr="001B4C9B" w:rsidRDefault="004C3C95" w:rsidP="00050F0A">
      <w:pPr>
        <w:spacing w:after="240"/>
        <w:jc w:val="both"/>
        <w:rPr>
          <w:b/>
        </w:rPr>
      </w:pPr>
      <w:r w:rsidRPr="001B4C9B">
        <w:rPr>
          <w:b/>
        </w:rPr>
        <w:t>I</w:t>
      </w:r>
      <w:r w:rsidR="00191407" w:rsidRPr="001B4C9B">
        <w:rPr>
          <w:b/>
        </w:rPr>
        <w:t>nventories</w:t>
      </w:r>
      <w:r w:rsidRPr="001B4C9B">
        <w:rPr>
          <w:b/>
        </w:rPr>
        <w:t xml:space="preserve"> </w:t>
      </w:r>
      <w:r w:rsidR="00191407" w:rsidRPr="001B4C9B">
        <w:rPr>
          <w:b/>
        </w:rPr>
        <w:t>and</w:t>
      </w:r>
      <w:r w:rsidRPr="001B4C9B">
        <w:rPr>
          <w:b/>
        </w:rPr>
        <w:t xml:space="preserve"> L</w:t>
      </w:r>
      <w:r w:rsidR="00191407" w:rsidRPr="001B4C9B">
        <w:rPr>
          <w:b/>
        </w:rPr>
        <w:t>ong</w:t>
      </w:r>
      <w:r w:rsidRPr="001B4C9B">
        <w:rPr>
          <w:b/>
        </w:rPr>
        <w:t>-T</w:t>
      </w:r>
      <w:r w:rsidR="00191407" w:rsidRPr="001B4C9B">
        <w:rPr>
          <w:b/>
        </w:rPr>
        <w:t>erm</w:t>
      </w:r>
      <w:r w:rsidRPr="001B4C9B">
        <w:rPr>
          <w:b/>
        </w:rPr>
        <w:t xml:space="preserve"> C</w:t>
      </w:r>
      <w:r w:rsidR="00191407" w:rsidRPr="001B4C9B">
        <w:rPr>
          <w:b/>
        </w:rPr>
        <w:t>ontracts</w:t>
      </w:r>
    </w:p>
    <w:p w14:paraId="5265D90B" w14:textId="77777777" w:rsidR="00191407" w:rsidRPr="001B4C9B" w:rsidRDefault="00191407" w:rsidP="00191407">
      <w:pPr>
        <w:spacing w:after="240"/>
        <w:jc w:val="both"/>
      </w:pPr>
      <w:r w:rsidRPr="001B4C9B">
        <w:t xml:space="preserve">Inventories are included in the Balance Sheet at the lower of cost and net realisable value.  The cost of inventories is assigned using the weighted average costing formula.  </w:t>
      </w:r>
    </w:p>
    <w:p w14:paraId="28446BEA" w14:textId="28731D54" w:rsidR="00191407" w:rsidRPr="001B4C9B" w:rsidRDefault="00191407" w:rsidP="00191407">
      <w:pPr>
        <w:spacing w:after="240"/>
        <w:jc w:val="both"/>
      </w:pPr>
      <w:r w:rsidRPr="001B4C9B">
        <w:t>Long term contracts are accounted for on the basis of charging the Surplus or Deficit on the Provision of Ser</w:t>
      </w:r>
      <w:r w:rsidR="0074683E" w:rsidRPr="001B4C9B">
        <w:t>vices with the consideration allocated to the performance obligations satisfied based on the good or services transferred to the service recipient during the financial year</w:t>
      </w:r>
      <w:r w:rsidRPr="001B4C9B">
        <w:t>.</w:t>
      </w:r>
    </w:p>
    <w:p w14:paraId="63ECBF94" w14:textId="77777777" w:rsidR="00191407" w:rsidRPr="001B4C9B" w:rsidRDefault="00191407" w:rsidP="00191407">
      <w:pPr>
        <w:spacing w:after="240"/>
        <w:jc w:val="both"/>
        <w:rPr>
          <w:b/>
        </w:rPr>
      </w:pPr>
      <w:r w:rsidRPr="001B4C9B">
        <w:rPr>
          <w:b/>
        </w:rPr>
        <w:t>Investment Properties</w:t>
      </w:r>
    </w:p>
    <w:p w14:paraId="0C7E8D3A" w14:textId="77777777" w:rsidR="00191407" w:rsidRPr="001B4C9B" w:rsidRDefault="00191407" w:rsidP="00191407">
      <w:pPr>
        <w:spacing w:after="240"/>
        <w:jc w:val="both"/>
      </w:pPr>
      <w:r w:rsidRPr="001B4C9B">
        <w:t xml:space="preserve">Investment properties are those that are used solely to earn rentals and / or for capital appreciation.  The definition is not met if the property is used in any way to facilitate the delivery of services or production of goods or is held for sale.  </w:t>
      </w:r>
    </w:p>
    <w:p w14:paraId="6DFC923B" w14:textId="3BE3777F" w:rsidR="00191407" w:rsidRPr="001B4C9B" w:rsidRDefault="00191407" w:rsidP="00191407">
      <w:pPr>
        <w:spacing w:after="240"/>
        <w:jc w:val="both"/>
      </w:pPr>
      <w:r w:rsidRPr="001B4C9B">
        <w:t>Investment properties are measured initially at cost and subsequently at</w:t>
      </w:r>
      <w:r w:rsidR="00CB5E47" w:rsidRPr="001B4C9B">
        <w:t xml:space="preserve"> fair value, being the price that would be received to sell such an asset in an orderly transaction between market participants at the measurement date</w:t>
      </w:r>
      <w:r w:rsidR="003819E5" w:rsidRPr="001B4C9B">
        <w:t>. A</w:t>
      </w:r>
      <w:r w:rsidR="00CB5E47" w:rsidRPr="001B4C9B">
        <w:t>s a non-financial asset, investment properties are measured at highest and best use.</w:t>
      </w:r>
      <w:r w:rsidRPr="001B4C9B">
        <w:t xml:space="preserve"> Properties are not depreciated but are revalued annually according to market conditions at the year-end.  </w:t>
      </w:r>
      <w:r w:rsidRPr="001B4C9B">
        <w:lastRenderedPageBreak/>
        <w:t>Gains and losses on revaluation are posted to the Financing and Investment Income and Expenditure line in the Comprehensive Income and Expenditure Statement.  The same treatment is applied to gains and losses on disposal.</w:t>
      </w:r>
    </w:p>
    <w:p w14:paraId="0D82C910" w14:textId="77777777" w:rsidR="00191407" w:rsidRPr="001B4C9B" w:rsidRDefault="00191407" w:rsidP="00191407">
      <w:pPr>
        <w:spacing w:after="240"/>
        <w:jc w:val="both"/>
      </w:pPr>
      <w:r w:rsidRPr="001B4C9B">
        <w:t>Rentals received in relation to investment properties are credited to the Financing and Investment Income line and result in a gain for the General Fund Balance. However, revaluation and disposal gains and losses are not permitted by statutory arrangements to have an impact on the General Fund Balance.</w:t>
      </w:r>
      <w:r w:rsidR="00390B5A" w:rsidRPr="001B4C9B">
        <w:t xml:space="preserve"> </w:t>
      </w:r>
      <w:r w:rsidRPr="001B4C9B">
        <w:t>The gains and losses are therefore reversed out of the General Fund Balance in the Movement in Reserves Statement and posted to the Capital Adjustment Account and the Capital Receipts Reserve.</w:t>
      </w:r>
    </w:p>
    <w:p w14:paraId="6D682661" w14:textId="77777777" w:rsidR="004C3C95" w:rsidRPr="001B4C9B" w:rsidRDefault="004C3C95" w:rsidP="00D6391D">
      <w:pPr>
        <w:spacing w:after="240"/>
        <w:jc w:val="both"/>
        <w:rPr>
          <w:b/>
        </w:rPr>
      </w:pPr>
      <w:r w:rsidRPr="001B4C9B">
        <w:rPr>
          <w:b/>
        </w:rPr>
        <w:t>L</w:t>
      </w:r>
      <w:r w:rsidR="00962ED6" w:rsidRPr="001B4C9B">
        <w:rPr>
          <w:b/>
        </w:rPr>
        <w:t>eases</w:t>
      </w:r>
    </w:p>
    <w:p w14:paraId="4F954096" w14:textId="77777777" w:rsidR="004C3C95" w:rsidRPr="001B4C9B" w:rsidRDefault="004C3C95" w:rsidP="00D6391D">
      <w:pPr>
        <w:spacing w:after="240"/>
        <w:jc w:val="both"/>
      </w:pPr>
      <w:r w:rsidRPr="001B4C9B">
        <w:t>Leases are classified as finance leases where the terms of the lease transfer substantially all the risks and rewards incidental to ownership of the property, plant or equipment from the lessor to the lessee.  All other leases are classified as operating leases.</w:t>
      </w:r>
    </w:p>
    <w:p w14:paraId="2BDBA352" w14:textId="77777777" w:rsidR="004C3C95" w:rsidRPr="001B4C9B" w:rsidRDefault="004C3C95" w:rsidP="00D6391D">
      <w:pPr>
        <w:spacing w:after="240"/>
        <w:jc w:val="both"/>
      </w:pPr>
      <w:r w:rsidRPr="001B4C9B">
        <w:t>Where a lease covers both land and buildings, the land and buildings elements are considered separately for classification.</w:t>
      </w:r>
    </w:p>
    <w:p w14:paraId="241538B0" w14:textId="77777777" w:rsidR="004C3C95" w:rsidRPr="001B4C9B" w:rsidRDefault="004C3C95" w:rsidP="00D6391D">
      <w:pPr>
        <w:spacing w:after="240"/>
        <w:jc w:val="both"/>
      </w:pPr>
      <w:r w:rsidRPr="001B4C9B">
        <w:t>Arrangements that do not have the legal status of a lease but convey a right to use an asset in return for payment are accounted for under this policy where fulfilment of the arrangement is dependent on the use of specific assets.</w:t>
      </w:r>
    </w:p>
    <w:p w14:paraId="5D2C7EBE" w14:textId="77777777" w:rsidR="004C3C95" w:rsidRPr="001B4C9B" w:rsidRDefault="004C3C95" w:rsidP="00D6391D">
      <w:pPr>
        <w:spacing w:after="240"/>
        <w:jc w:val="both"/>
        <w:rPr>
          <w:b/>
          <w:i/>
        </w:rPr>
      </w:pPr>
      <w:r w:rsidRPr="001B4C9B">
        <w:rPr>
          <w:b/>
          <w:i/>
        </w:rPr>
        <w:t xml:space="preserve">The </w:t>
      </w:r>
      <w:r w:rsidR="0036381D" w:rsidRPr="001B4C9B">
        <w:rPr>
          <w:b/>
          <w:i/>
        </w:rPr>
        <w:t>Council</w:t>
      </w:r>
      <w:r w:rsidRPr="001B4C9B">
        <w:rPr>
          <w:b/>
          <w:i/>
        </w:rPr>
        <w:t xml:space="preserve"> as </w:t>
      </w:r>
      <w:r w:rsidR="0036381D" w:rsidRPr="001B4C9B">
        <w:rPr>
          <w:b/>
          <w:i/>
        </w:rPr>
        <w:t>L</w:t>
      </w:r>
      <w:r w:rsidRPr="001B4C9B">
        <w:rPr>
          <w:b/>
          <w:i/>
        </w:rPr>
        <w:t>essee</w:t>
      </w:r>
    </w:p>
    <w:p w14:paraId="0F0731D1" w14:textId="77777777" w:rsidR="004C3C95" w:rsidRPr="001B4C9B" w:rsidRDefault="002B793A" w:rsidP="00D6391D">
      <w:pPr>
        <w:spacing w:after="240"/>
        <w:jc w:val="both"/>
        <w:rPr>
          <w:i/>
          <w:u w:val="single"/>
        </w:rPr>
      </w:pPr>
      <w:r w:rsidRPr="001B4C9B">
        <w:rPr>
          <w:i/>
          <w:u w:val="single"/>
        </w:rPr>
        <w:t>Finance Leases</w:t>
      </w:r>
    </w:p>
    <w:p w14:paraId="220EDCE5" w14:textId="77777777" w:rsidR="004C3C95" w:rsidRPr="001B4C9B" w:rsidRDefault="007C0E0F" w:rsidP="00D6391D">
      <w:pPr>
        <w:spacing w:after="240"/>
        <w:jc w:val="both"/>
      </w:pPr>
      <w:r w:rsidRPr="001B4C9B">
        <w:t xml:space="preserve">Property, plant and equipment held under finance leases is recognised on the Balance Sheet at the commencement of the lease at its fair value measured at the lease’s inception (or the present value of the minimum lease payments, if lower).  The asset recognised is matched by a liability for the obligation to pay the lessor.  Initial direct costs of the Council are added to the carrying amount of the asset.  Premiums paid on entry into a lease are applied to writing down the lease liability.  Contingent rents are charged as expenses in the periods in which they are incurred.  </w:t>
      </w:r>
    </w:p>
    <w:p w14:paraId="2F3CF8FC" w14:textId="77777777" w:rsidR="004C3C95" w:rsidRPr="001B4C9B" w:rsidRDefault="004C3C95" w:rsidP="00D6391D">
      <w:pPr>
        <w:spacing w:after="240"/>
        <w:jc w:val="both"/>
      </w:pPr>
      <w:r w:rsidRPr="001B4C9B">
        <w:t>Lease payments are apportioned between:</w:t>
      </w:r>
    </w:p>
    <w:p w14:paraId="5128B370" w14:textId="77777777" w:rsidR="007C0E0F" w:rsidRPr="001B4C9B" w:rsidRDefault="007C0E0F" w:rsidP="005676B7">
      <w:pPr>
        <w:numPr>
          <w:ilvl w:val="0"/>
          <w:numId w:val="10"/>
        </w:numPr>
        <w:spacing w:after="120"/>
        <w:ind w:left="714" w:hanging="357"/>
        <w:jc w:val="both"/>
        <w:rPr>
          <w:rFonts w:cs="Arial"/>
          <w:szCs w:val="22"/>
        </w:rPr>
      </w:pPr>
      <w:r w:rsidRPr="001B4C9B">
        <w:rPr>
          <w:rFonts w:cs="Arial"/>
          <w:szCs w:val="22"/>
        </w:rPr>
        <w:t>a charge for the acquisition of the interest in the property, plant or equipment – applied to write down the lease liability, and</w:t>
      </w:r>
    </w:p>
    <w:p w14:paraId="2178AC00" w14:textId="77777777" w:rsidR="004C3C95" w:rsidRPr="001B4C9B" w:rsidRDefault="007C0E0F" w:rsidP="005676B7">
      <w:pPr>
        <w:numPr>
          <w:ilvl w:val="0"/>
          <w:numId w:val="10"/>
        </w:numPr>
        <w:spacing w:after="120"/>
        <w:ind w:left="714" w:hanging="357"/>
        <w:jc w:val="both"/>
        <w:rPr>
          <w:rFonts w:cs="Arial"/>
          <w:szCs w:val="22"/>
        </w:rPr>
      </w:pPr>
      <w:r w:rsidRPr="001B4C9B">
        <w:rPr>
          <w:rFonts w:cs="Arial"/>
          <w:szCs w:val="22"/>
        </w:rPr>
        <w:t>a finance charge (debited to the Financing and Investment Income and Expenditure line in the Comprehensive Income and Expenditure Statement)</w:t>
      </w:r>
    </w:p>
    <w:p w14:paraId="2D6B4D73" w14:textId="77777777" w:rsidR="007C0E0F" w:rsidRPr="001B4C9B" w:rsidRDefault="007C0E0F" w:rsidP="007C0E0F">
      <w:pPr>
        <w:spacing w:after="240"/>
        <w:jc w:val="both"/>
      </w:pPr>
      <w:r w:rsidRPr="001B4C9B">
        <w:t>Property, Plant and Equipment recognised under finance leases is accounted for using the policies applied generally to such assets, subject to depreciation being charged over the lease term if this is shorter than the asset’s estimated useful life (where ownership of the asset does not transfer to the Council at the end of the lease period).</w:t>
      </w:r>
    </w:p>
    <w:p w14:paraId="0886F944" w14:textId="68CD105D" w:rsidR="003E6022" w:rsidRPr="001B4C9B" w:rsidRDefault="007C0E0F" w:rsidP="007C0E0F">
      <w:pPr>
        <w:spacing w:after="240"/>
        <w:jc w:val="both"/>
      </w:pPr>
      <w:r w:rsidRPr="001B4C9B">
        <w:t>The Council is not required to raise Council Tax to cover depreciation or revaluation and impairment losses arising on leased assets.  Instead, a prudent annual contribution is made from revenue funds towards the deemed capital investment in accordance with statutory requirements.  Depreciation and revaluation and impairment losses and therefore substituted by a revenue contribution in the General Fund Balance, by way of an adjusting transaction with the Capital Adjustment Account in the Movement in Reserves Statement for the difference between the two.</w:t>
      </w:r>
    </w:p>
    <w:p w14:paraId="1DF9A025" w14:textId="77777777" w:rsidR="003E6022" w:rsidRPr="001B4C9B" w:rsidRDefault="003E6022">
      <w:r w:rsidRPr="001B4C9B">
        <w:br w:type="page"/>
      </w:r>
    </w:p>
    <w:p w14:paraId="3D1559EE" w14:textId="5D8747FC" w:rsidR="004C3C95" w:rsidRPr="001B4C9B" w:rsidRDefault="007C0E0F" w:rsidP="00D6391D">
      <w:pPr>
        <w:spacing w:after="240"/>
        <w:jc w:val="both"/>
        <w:rPr>
          <w:i/>
          <w:u w:val="single"/>
        </w:rPr>
      </w:pPr>
      <w:r w:rsidRPr="001B4C9B">
        <w:rPr>
          <w:i/>
          <w:u w:val="single"/>
        </w:rPr>
        <w:lastRenderedPageBreak/>
        <w:t>Operating L</w:t>
      </w:r>
      <w:r w:rsidR="003E6022" w:rsidRPr="001B4C9B">
        <w:rPr>
          <w:i/>
          <w:u w:val="single"/>
        </w:rPr>
        <w:t>eases</w:t>
      </w:r>
    </w:p>
    <w:p w14:paraId="7727CA16" w14:textId="77777777" w:rsidR="004C3C95" w:rsidRPr="001B4C9B" w:rsidRDefault="0036381D" w:rsidP="00D6391D">
      <w:pPr>
        <w:spacing w:after="240"/>
        <w:jc w:val="both"/>
      </w:pPr>
      <w:r w:rsidRPr="001B4C9B">
        <w:t xml:space="preserve">Rentals paid under operating leases are charged to the Comprehensive Income and Expenditure Statement as an expense of the services benefiting from use of the leased property, plant or equipment.  Charges are made on a straight-line basis over the life of the lease, even if this does not match the pattern of payments (eg there is a rent-free period at the commencement of the lease).  </w:t>
      </w:r>
    </w:p>
    <w:p w14:paraId="4C80AAE6" w14:textId="77777777" w:rsidR="0036381D" w:rsidRPr="001B4C9B" w:rsidRDefault="0036381D" w:rsidP="0036381D">
      <w:pPr>
        <w:spacing w:after="240"/>
        <w:jc w:val="both"/>
        <w:rPr>
          <w:b/>
          <w:i/>
        </w:rPr>
      </w:pPr>
      <w:r w:rsidRPr="001B4C9B">
        <w:rPr>
          <w:b/>
          <w:i/>
        </w:rPr>
        <w:t>The Council as Lessor</w:t>
      </w:r>
    </w:p>
    <w:p w14:paraId="7F290B99" w14:textId="77777777" w:rsidR="004C3C95" w:rsidRPr="001B4C9B" w:rsidRDefault="0036381D" w:rsidP="00D6391D">
      <w:pPr>
        <w:spacing w:after="240"/>
        <w:jc w:val="both"/>
        <w:rPr>
          <w:i/>
          <w:u w:val="single"/>
        </w:rPr>
      </w:pPr>
      <w:r w:rsidRPr="001B4C9B">
        <w:rPr>
          <w:i/>
          <w:u w:val="single"/>
        </w:rPr>
        <w:t>Finance Leases</w:t>
      </w:r>
    </w:p>
    <w:p w14:paraId="64AEE8D0" w14:textId="77777777" w:rsidR="004C3C95" w:rsidRPr="001B4C9B" w:rsidRDefault="0036381D" w:rsidP="00D6391D">
      <w:pPr>
        <w:spacing w:after="240"/>
        <w:jc w:val="both"/>
      </w:pPr>
      <w:r w:rsidRPr="001B4C9B">
        <w:t xml:space="preserve">Where the Council grants a finance lease over a property or an item of plant or equipment, the relevant asset is written out of the Balance Sheet as a disposal.  At the commencement of the lease, the carrying amount of the asset in the Balance Sheet (whether Property, Plant and Equipment or Asset Held for Sale) is written off to the Other Operating Expenditure line in the Comprehensive Income and Expenditure Statement as part of the gain or loss on disposal.  A gain, representing the Council’s net investment in the lease, is credited to the same line in the Comprehensive Income and Expenditure Statement also as part of the gain or loss on disposal (ie netted off against the carrying value of the asset at the time of disposal), matched by a lease (long-term debtor) asset in the Balance Sheet.  </w:t>
      </w:r>
    </w:p>
    <w:p w14:paraId="252653B3" w14:textId="77777777" w:rsidR="0036381D" w:rsidRPr="001B4C9B" w:rsidRDefault="0036381D" w:rsidP="00D6391D">
      <w:pPr>
        <w:spacing w:after="240"/>
        <w:jc w:val="both"/>
      </w:pPr>
      <w:r w:rsidRPr="001B4C9B">
        <w:t>Lease rentals receivable are apportioned between:</w:t>
      </w:r>
    </w:p>
    <w:p w14:paraId="4A65AF3A" w14:textId="77777777" w:rsidR="0036381D" w:rsidRPr="001B4C9B" w:rsidRDefault="0036381D" w:rsidP="005676B7">
      <w:pPr>
        <w:numPr>
          <w:ilvl w:val="0"/>
          <w:numId w:val="10"/>
        </w:numPr>
        <w:spacing w:after="120"/>
        <w:ind w:left="714" w:hanging="357"/>
        <w:jc w:val="both"/>
        <w:rPr>
          <w:rFonts w:cs="Arial"/>
          <w:szCs w:val="22"/>
        </w:rPr>
      </w:pPr>
      <w:r w:rsidRPr="001B4C9B">
        <w:rPr>
          <w:rFonts w:cs="Arial"/>
          <w:szCs w:val="22"/>
        </w:rPr>
        <w:t xml:space="preserve">a charge for the acquisition of the interest in </w:t>
      </w:r>
      <w:r w:rsidR="00D6043E" w:rsidRPr="001B4C9B">
        <w:rPr>
          <w:rFonts w:cs="Arial"/>
          <w:szCs w:val="22"/>
        </w:rPr>
        <w:t>the property</w:t>
      </w:r>
      <w:r w:rsidRPr="001B4C9B">
        <w:rPr>
          <w:rFonts w:cs="Arial"/>
          <w:szCs w:val="22"/>
        </w:rPr>
        <w:t xml:space="preserve"> – applied to write down the lease debtor (together with any premiums received), and</w:t>
      </w:r>
    </w:p>
    <w:p w14:paraId="3A001C90" w14:textId="77777777" w:rsidR="004C3C95" w:rsidRPr="001B4C9B" w:rsidRDefault="0036381D" w:rsidP="005676B7">
      <w:pPr>
        <w:numPr>
          <w:ilvl w:val="0"/>
          <w:numId w:val="10"/>
        </w:numPr>
        <w:spacing w:after="120"/>
        <w:ind w:left="714" w:hanging="357"/>
        <w:jc w:val="both"/>
        <w:rPr>
          <w:rFonts w:cs="Arial"/>
          <w:szCs w:val="22"/>
        </w:rPr>
      </w:pPr>
      <w:r w:rsidRPr="001B4C9B">
        <w:rPr>
          <w:rFonts w:cs="Arial"/>
          <w:szCs w:val="22"/>
        </w:rPr>
        <w:t>finance income (credited to the Financing and Investment Income and Expenditure line in the Comprehensive Income and Expenditure Statement)</w:t>
      </w:r>
    </w:p>
    <w:p w14:paraId="315487A5" w14:textId="77777777" w:rsidR="004C3C95" w:rsidRPr="001B4C9B" w:rsidRDefault="0036381D" w:rsidP="00D6391D">
      <w:pPr>
        <w:spacing w:after="240"/>
        <w:jc w:val="both"/>
      </w:pPr>
      <w:r w:rsidRPr="001B4C9B">
        <w:t>The gain credited to the Comprehensive Income and Expenditure Statement on disposal is not permitted by statute to increase the General Fund Balance and is required to be treated as a capital receipt.  Where a premium has been received, this is posted out of the General Fund Balance to the Capital Receipts Reserve in the Movement in Reserves Statement.  Where the amount due in relation to the lease asset is to be settled by the payment of rentals in future financial years, this is posted out of the General Fund Balance to the Deferred Capital Receipts Reserve in the Movement in Reserves Statement.  When the future rentals are received, the element for the capital receipt for the disposal of the asset is used to write down the lease debtor.  At this point, the deferred capital receipts are transferred to the Capital Receipts Reserve.</w:t>
      </w:r>
    </w:p>
    <w:p w14:paraId="12E49BC9" w14:textId="77777777" w:rsidR="004C3C95" w:rsidRPr="001B4C9B" w:rsidRDefault="0036381D" w:rsidP="00D6391D">
      <w:pPr>
        <w:spacing w:after="240"/>
        <w:jc w:val="both"/>
      </w:pPr>
      <w:r w:rsidRPr="001B4C9B">
        <w:t>The written-off value of disposals is not a charge against Council Tax, as the cost of non-current assets is fully provided for under separate arrangements for capital financing.  Amounts are therefore appropriated to the Capital Adjustment Account from the General Fund Balance in the Movement in Reserves Statement.</w:t>
      </w:r>
    </w:p>
    <w:p w14:paraId="67393580" w14:textId="77777777" w:rsidR="004C3C95" w:rsidRPr="001B4C9B" w:rsidRDefault="0036381D" w:rsidP="00D6391D">
      <w:pPr>
        <w:spacing w:after="240"/>
        <w:jc w:val="both"/>
        <w:rPr>
          <w:i/>
          <w:u w:val="single"/>
        </w:rPr>
      </w:pPr>
      <w:r w:rsidRPr="001B4C9B">
        <w:rPr>
          <w:i/>
          <w:u w:val="single"/>
        </w:rPr>
        <w:t>Operating Leases</w:t>
      </w:r>
    </w:p>
    <w:p w14:paraId="18C65448" w14:textId="77777777" w:rsidR="004C3C95" w:rsidRPr="001B4C9B" w:rsidRDefault="0036381D" w:rsidP="00D6391D">
      <w:pPr>
        <w:spacing w:after="240"/>
        <w:jc w:val="both"/>
      </w:pPr>
      <w:r w:rsidRPr="001B4C9B">
        <w:t>Where the Council grants an operating lease over a property or an item of plant or equipment, the asset is retained in the Balance Sheet.  Rental income is credited to the Other Operating Expenditure line in the Comprehensive Income and Expenditure Statement.  Credits are made on a straight-line basis over the life of the lease, even if this does not match the pattern of payments (eg there is a premium paid at the commencement of the lease).  Initial direct costs incurred in negotiating and arranging the lease are added to the carrying amount of the relevant asset and charged as an expense over the lease term on the same basis as rental income.</w:t>
      </w:r>
    </w:p>
    <w:p w14:paraId="0B9C0D66" w14:textId="77777777" w:rsidR="003128FB" w:rsidRPr="001B4C9B" w:rsidRDefault="003128FB" w:rsidP="00D6391D">
      <w:pPr>
        <w:spacing w:after="240"/>
        <w:jc w:val="both"/>
        <w:rPr>
          <w:b/>
        </w:rPr>
      </w:pPr>
      <w:r w:rsidRPr="001B4C9B">
        <w:rPr>
          <w:b/>
        </w:rPr>
        <w:t>Overheads and Support Services</w:t>
      </w:r>
    </w:p>
    <w:p w14:paraId="7CBAC137" w14:textId="03156E1A" w:rsidR="003128FB" w:rsidRPr="001B4C9B" w:rsidRDefault="003128FB" w:rsidP="00D6391D">
      <w:pPr>
        <w:spacing w:after="240"/>
        <w:jc w:val="both"/>
      </w:pPr>
      <w:r w:rsidRPr="001B4C9B">
        <w:t>The costs of overheads and support services are charged to service segments i</w:t>
      </w:r>
      <w:r w:rsidR="005F5496" w:rsidRPr="001B4C9B">
        <w:t>n accordance with the authority’</w:t>
      </w:r>
      <w:r w:rsidRPr="001B4C9B">
        <w:t>s arrangements for accountability and financial performance.</w:t>
      </w:r>
    </w:p>
    <w:p w14:paraId="23935FE8" w14:textId="77777777" w:rsidR="004C3C95" w:rsidRPr="001B4C9B" w:rsidRDefault="004C3C95" w:rsidP="00D6391D">
      <w:pPr>
        <w:spacing w:after="240"/>
        <w:jc w:val="both"/>
        <w:rPr>
          <w:b/>
        </w:rPr>
      </w:pPr>
      <w:r w:rsidRPr="001B4C9B">
        <w:rPr>
          <w:b/>
        </w:rPr>
        <w:lastRenderedPageBreak/>
        <w:t>P</w:t>
      </w:r>
      <w:r w:rsidR="003C7C83" w:rsidRPr="001B4C9B">
        <w:rPr>
          <w:b/>
        </w:rPr>
        <w:t>roperty</w:t>
      </w:r>
      <w:r w:rsidRPr="001B4C9B">
        <w:rPr>
          <w:b/>
        </w:rPr>
        <w:t>, P</w:t>
      </w:r>
      <w:r w:rsidR="003C7C83" w:rsidRPr="001B4C9B">
        <w:rPr>
          <w:b/>
        </w:rPr>
        <w:t>lant</w:t>
      </w:r>
      <w:r w:rsidRPr="001B4C9B">
        <w:rPr>
          <w:b/>
        </w:rPr>
        <w:t xml:space="preserve"> </w:t>
      </w:r>
      <w:r w:rsidR="003C7C83" w:rsidRPr="001B4C9B">
        <w:rPr>
          <w:b/>
        </w:rPr>
        <w:t>and</w:t>
      </w:r>
      <w:r w:rsidRPr="001B4C9B">
        <w:rPr>
          <w:b/>
        </w:rPr>
        <w:t xml:space="preserve"> E</w:t>
      </w:r>
      <w:r w:rsidR="003C7C83" w:rsidRPr="001B4C9B">
        <w:rPr>
          <w:b/>
        </w:rPr>
        <w:t>quipment</w:t>
      </w:r>
    </w:p>
    <w:p w14:paraId="67D303BF" w14:textId="77777777" w:rsidR="004C3C95" w:rsidRPr="001B4C9B" w:rsidRDefault="004C3C95" w:rsidP="00D6391D">
      <w:pPr>
        <w:spacing w:after="240"/>
        <w:jc w:val="both"/>
      </w:pPr>
      <w:r w:rsidRPr="001B4C9B">
        <w:t xml:space="preserve">Assets that have physical substance and are held for use in the production or supply of goods or services, for rental to others, or for administrative purposes and that are expected to be used during more than one financial year are classified as Property, Plant and Equipment.  </w:t>
      </w:r>
    </w:p>
    <w:p w14:paraId="2543A6A2" w14:textId="77777777" w:rsidR="004C3C95" w:rsidRPr="001B4C9B" w:rsidRDefault="004C3C95" w:rsidP="00D6391D">
      <w:pPr>
        <w:spacing w:after="240"/>
        <w:jc w:val="both"/>
        <w:rPr>
          <w:b/>
          <w:i/>
        </w:rPr>
      </w:pPr>
      <w:r w:rsidRPr="001B4C9B">
        <w:rPr>
          <w:b/>
          <w:i/>
        </w:rPr>
        <w:t>Recognition</w:t>
      </w:r>
    </w:p>
    <w:p w14:paraId="2F5C4C13" w14:textId="77777777" w:rsidR="004C3C95" w:rsidRPr="001B4C9B" w:rsidRDefault="00EA1128" w:rsidP="00D6391D">
      <w:pPr>
        <w:spacing w:after="240"/>
        <w:jc w:val="both"/>
      </w:pPr>
      <w:r w:rsidRPr="001B4C9B">
        <w:t>Expenditure on the acquisition, creation or enhancement of Property, Plant and Equipment is capitalised on an accruals basis, provided that it is probable that the future economic benefits or service potential associated with the item will flow to the Council and the cost of the item can be measured reliably.  Expenditure that maintains but does not add to an asset’s potential to deliver future economic benefits or service potential (ie repairs and maintenance) is charged as an expense when it is incurred.</w:t>
      </w:r>
    </w:p>
    <w:p w14:paraId="02DF49BA" w14:textId="77777777" w:rsidR="004C3C95" w:rsidRPr="001B4C9B" w:rsidRDefault="004C3C95" w:rsidP="00D6391D">
      <w:pPr>
        <w:spacing w:after="240"/>
        <w:jc w:val="both"/>
        <w:rPr>
          <w:b/>
          <w:i/>
        </w:rPr>
      </w:pPr>
      <w:r w:rsidRPr="001B4C9B">
        <w:rPr>
          <w:b/>
          <w:i/>
        </w:rPr>
        <w:t>Measurement</w:t>
      </w:r>
    </w:p>
    <w:p w14:paraId="4B1C095C" w14:textId="77777777" w:rsidR="00EA1128" w:rsidRPr="001B4C9B" w:rsidRDefault="00EA1128" w:rsidP="00EA1128">
      <w:pPr>
        <w:autoSpaceDE w:val="0"/>
        <w:autoSpaceDN w:val="0"/>
        <w:adjustRightInd w:val="0"/>
        <w:spacing w:after="120"/>
        <w:jc w:val="both"/>
        <w:rPr>
          <w:szCs w:val="22"/>
        </w:rPr>
      </w:pPr>
      <w:r w:rsidRPr="001B4C9B">
        <w:rPr>
          <w:szCs w:val="22"/>
        </w:rPr>
        <w:t>Assets are initially measured at cost, comprising:</w:t>
      </w:r>
    </w:p>
    <w:p w14:paraId="0D9FEF63" w14:textId="77777777" w:rsidR="00EA1128" w:rsidRPr="001B4C9B" w:rsidRDefault="00EA1128" w:rsidP="005676B7">
      <w:pPr>
        <w:numPr>
          <w:ilvl w:val="0"/>
          <w:numId w:val="10"/>
        </w:numPr>
        <w:spacing w:after="120"/>
        <w:ind w:left="714" w:hanging="357"/>
        <w:jc w:val="both"/>
        <w:rPr>
          <w:rFonts w:cs="Arial"/>
          <w:szCs w:val="22"/>
        </w:rPr>
      </w:pPr>
      <w:r w:rsidRPr="001B4C9B">
        <w:rPr>
          <w:rFonts w:cs="Arial"/>
          <w:szCs w:val="22"/>
        </w:rPr>
        <w:t>the purchase price</w:t>
      </w:r>
    </w:p>
    <w:p w14:paraId="4BAF4EBA" w14:textId="77777777" w:rsidR="004C3C95" w:rsidRPr="001B4C9B" w:rsidRDefault="00EA1128" w:rsidP="005676B7">
      <w:pPr>
        <w:numPr>
          <w:ilvl w:val="0"/>
          <w:numId w:val="10"/>
        </w:numPr>
        <w:spacing w:after="120"/>
        <w:ind w:left="714" w:hanging="357"/>
        <w:jc w:val="both"/>
        <w:rPr>
          <w:rFonts w:cs="Arial"/>
          <w:szCs w:val="22"/>
        </w:rPr>
      </w:pPr>
      <w:r w:rsidRPr="001B4C9B">
        <w:rPr>
          <w:rFonts w:cs="Arial"/>
          <w:szCs w:val="22"/>
        </w:rPr>
        <w:t>any costs attributable to bringing the asset to the location and condition necessary for it to be capable of operating in the manner intended by management</w:t>
      </w:r>
    </w:p>
    <w:p w14:paraId="1F6C2464" w14:textId="77777777" w:rsidR="00EA1128" w:rsidRPr="001B4C9B" w:rsidRDefault="00EA1128" w:rsidP="005676B7">
      <w:pPr>
        <w:numPr>
          <w:ilvl w:val="0"/>
          <w:numId w:val="10"/>
        </w:numPr>
        <w:spacing w:after="120"/>
        <w:ind w:left="714" w:hanging="357"/>
        <w:jc w:val="both"/>
        <w:rPr>
          <w:rFonts w:cs="Arial"/>
          <w:szCs w:val="22"/>
        </w:rPr>
      </w:pPr>
      <w:r w:rsidRPr="001B4C9B">
        <w:rPr>
          <w:rFonts w:cs="Arial"/>
          <w:szCs w:val="22"/>
        </w:rPr>
        <w:t>the initial estimate of the costs of dismantling and removing the item and restoring the site on which it is located</w:t>
      </w:r>
    </w:p>
    <w:p w14:paraId="12BCDC9C" w14:textId="77777777" w:rsidR="004C3C95" w:rsidRPr="001B4C9B" w:rsidRDefault="00EA1128" w:rsidP="00D6391D">
      <w:pPr>
        <w:spacing w:after="240"/>
        <w:jc w:val="both"/>
      </w:pPr>
      <w:r w:rsidRPr="001B4C9B">
        <w:t>The Council does not capitalise borrowing costs incurred whilst assets are under construction.</w:t>
      </w:r>
    </w:p>
    <w:p w14:paraId="7267FCB3" w14:textId="77777777" w:rsidR="004C3C95" w:rsidRPr="001B4C9B" w:rsidRDefault="00EA1128" w:rsidP="00D6391D">
      <w:pPr>
        <w:spacing w:after="240"/>
        <w:jc w:val="both"/>
      </w:pPr>
      <w:r w:rsidRPr="001B4C9B">
        <w:t>The cost of assets acquired other than by purchase is deemed to be its fair value, unless the acquisition does not have commercial substance (ie it will not lead to a variation in the cash flows of the Council).  In the latter case, where an asset is acquired via an exchange, the cost of acquisition is the carrying amount of the asset given up by the Council.</w:t>
      </w:r>
    </w:p>
    <w:p w14:paraId="1A56496E" w14:textId="77777777" w:rsidR="004C3C95" w:rsidRPr="001B4C9B" w:rsidRDefault="00EA1128" w:rsidP="00D6391D">
      <w:pPr>
        <w:spacing w:after="240"/>
        <w:jc w:val="both"/>
      </w:pPr>
      <w:r w:rsidRPr="001B4C9B">
        <w:t xml:space="preserve">Donated assets are measured initially at fair value.  The difference between fair value and any consideration paid is credited to the Taxation and Non-Specific Grant Income </w:t>
      </w:r>
      <w:r w:rsidR="001B7FE2" w:rsidRPr="001B4C9B">
        <w:t xml:space="preserve">and expenditure </w:t>
      </w:r>
      <w:r w:rsidRPr="001B4C9B">
        <w:t>line of the Comprehensive Income and Expenditure Statement, unless the donation has been made conditionally.  Until conditions are satisfied, the gain is held in the Donated Assets Account.  Where gains are credited to the Comprehensive Income and Expenditure Statement, they are reversed out of the General Fund Balance to the Capital Adjustment Account in the Movement in Reserves Statement.</w:t>
      </w:r>
    </w:p>
    <w:p w14:paraId="7B4BB1BC" w14:textId="77777777" w:rsidR="00EA1128" w:rsidRPr="001B4C9B" w:rsidRDefault="00EA1128" w:rsidP="00D6391D">
      <w:pPr>
        <w:spacing w:after="240"/>
        <w:jc w:val="both"/>
      </w:pPr>
      <w:r w:rsidRPr="001B4C9B">
        <w:t>Assets are then carried in the Balance Sheet using the following measurement bases:</w:t>
      </w:r>
    </w:p>
    <w:p w14:paraId="1E394CED" w14:textId="3A365712" w:rsidR="00236218" w:rsidRPr="001B4C9B" w:rsidRDefault="00236218" w:rsidP="005676B7">
      <w:pPr>
        <w:numPr>
          <w:ilvl w:val="0"/>
          <w:numId w:val="10"/>
        </w:numPr>
        <w:spacing w:after="120"/>
        <w:jc w:val="both"/>
        <w:rPr>
          <w:rFonts w:cs="Arial"/>
          <w:szCs w:val="22"/>
        </w:rPr>
      </w:pPr>
      <w:r w:rsidRPr="001B4C9B">
        <w:rPr>
          <w:rFonts w:cs="Arial"/>
          <w:szCs w:val="22"/>
        </w:rPr>
        <w:t>Infrastructure, community assets and assets under construction – depreciated historical cost.</w:t>
      </w:r>
    </w:p>
    <w:p w14:paraId="21EE8304" w14:textId="5D465AF9" w:rsidR="00BE211A" w:rsidRPr="001B4C9B" w:rsidRDefault="00236218" w:rsidP="005676B7">
      <w:pPr>
        <w:numPr>
          <w:ilvl w:val="0"/>
          <w:numId w:val="10"/>
        </w:numPr>
        <w:spacing w:after="120"/>
        <w:jc w:val="both"/>
        <w:rPr>
          <w:rFonts w:cs="Arial"/>
          <w:szCs w:val="22"/>
        </w:rPr>
      </w:pPr>
      <w:r w:rsidRPr="001B4C9B">
        <w:rPr>
          <w:rFonts w:cs="Arial"/>
          <w:szCs w:val="22"/>
        </w:rPr>
        <w:t>d</w:t>
      </w:r>
      <w:r w:rsidR="00BE211A" w:rsidRPr="001B4C9B">
        <w:rPr>
          <w:rFonts w:cs="Arial"/>
          <w:szCs w:val="22"/>
        </w:rPr>
        <w:t xml:space="preserve">wellings </w:t>
      </w:r>
      <w:r w:rsidRPr="001B4C9B">
        <w:rPr>
          <w:rFonts w:cs="Arial"/>
          <w:szCs w:val="22"/>
        </w:rPr>
        <w:t>– current value, determined using the basis of existing use value for social housing (EUV-SH)</w:t>
      </w:r>
      <w:r w:rsidR="00BE211A" w:rsidRPr="001B4C9B">
        <w:rPr>
          <w:rFonts w:cs="Arial"/>
          <w:szCs w:val="22"/>
        </w:rPr>
        <w:t>.</w:t>
      </w:r>
    </w:p>
    <w:p w14:paraId="562504E5" w14:textId="7B19D798" w:rsidR="00BE211A" w:rsidRPr="001B4C9B" w:rsidRDefault="00070299" w:rsidP="005676B7">
      <w:pPr>
        <w:numPr>
          <w:ilvl w:val="0"/>
          <w:numId w:val="10"/>
        </w:numPr>
        <w:spacing w:after="120"/>
        <w:jc w:val="both"/>
        <w:rPr>
          <w:rFonts w:cs="Arial"/>
          <w:szCs w:val="22"/>
        </w:rPr>
      </w:pPr>
      <w:r w:rsidRPr="001B4C9B">
        <w:rPr>
          <w:rFonts w:cs="Arial"/>
          <w:szCs w:val="22"/>
        </w:rPr>
        <w:t>council offices – current value, determined as the amount that would be paid for the asset in its existing use (existing use value – EUV), except for a few offices that are situated close to the council’s housing properties, where there is no market for office accommodation, and that are measured at depreciated replacement costs (instant build) as an estimate of current value</w:t>
      </w:r>
    </w:p>
    <w:p w14:paraId="2970D7C8" w14:textId="7074E956" w:rsidR="00070299" w:rsidRPr="001B4C9B" w:rsidRDefault="00070299" w:rsidP="005676B7">
      <w:pPr>
        <w:numPr>
          <w:ilvl w:val="0"/>
          <w:numId w:val="10"/>
        </w:numPr>
        <w:spacing w:after="120"/>
        <w:jc w:val="both"/>
        <w:rPr>
          <w:rFonts w:cs="Arial"/>
          <w:szCs w:val="22"/>
        </w:rPr>
      </w:pPr>
      <w:r w:rsidRPr="001B4C9B">
        <w:rPr>
          <w:rFonts w:cs="Arial"/>
          <w:szCs w:val="22"/>
        </w:rPr>
        <w:t>school buildings – current value, but because of their specialist nature, are measured at depreciated replacement cost which is used as an estimate of current value.</w:t>
      </w:r>
    </w:p>
    <w:p w14:paraId="50287FFA" w14:textId="27FDDAD8" w:rsidR="00070299" w:rsidRPr="001B4C9B" w:rsidRDefault="00070299" w:rsidP="005676B7">
      <w:pPr>
        <w:numPr>
          <w:ilvl w:val="0"/>
          <w:numId w:val="10"/>
        </w:numPr>
        <w:spacing w:after="120"/>
        <w:jc w:val="both"/>
        <w:rPr>
          <w:rFonts w:cs="Arial"/>
          <w:szCs w:val="22"/>
        </w:rPr>
      </w:pPr>
      <w:r w:rsidRPr="001B4C9B">
        <w:rPr>
          <w:rFonts w:cs="Arial"/>
          <w:szCs w:val="22"/>
        </w:rPr>
        <w:t>Surplus assets – the current value measurement base is fair value, estimated at highest and best use from a market participant’s perspective.</w:t>
      </w:r>
    </w:p>
    <w:p w14:paraId="50C15D7F" w14:textId="4C9C0C84" w:rsidR="00070299" w:rsidRPr="001B4C9B" w:rsidRDefault="00070299" w:rsidP="005676B7">
      <w:pPr>
        <w:numPr>
          <w:ilvl w:val="0"/>
          <w:numId w:val="10"/>
        </w:numPr>
        <w:spacing w:after="120"/>
        <w:jc w:val="both"/>
        <w:rPr>
          <w:rFonts w:cs="Arial"/>
          <w:szCs w:val="22"/>
        </w:rPr>
      </w:pPr>
      <w:r w:rsidRPr="001B4C9B">
        <w:rPr>
          <w:rFonts w:cs="Arial"/>
          <w:szCs w:val="22"/>
        </w:rPr>
        <w:t>All other assets – current value, determined as the amount that would be paid for the asset ihn its existing use (existing use value – EUV)</w:t>
      </w:r>
    </w:p>
    <w:p w14:paraId="074B7878" w14:textId="77777777" w:rsidR="004C3C95" w:rsidRPr="001B4C9B" w:rsidRDefault="00EA1128" w:rsidP="00A530FB">
      <w:pPr>
        <w:spacing w:after="120"/>
        <w:jc w:val="both"/>
        <w:rPr>
          <w:rFonts w:cs="Arial"/>
          <w:szCs w:val="22"/>
        </w:rPr>
      </w:pPr>
      <w:r w:rsidRPr="001B4C9B">
        <w:lastRenderedPageBreak/>
        <w:t>Where there is no ma</w:t>
      </w:r>
      <w:r w:rsidR="001B7FE2" w:rsidRPr="001B4C9B">
        <w:t>rket-based evidence of current</w:t>
      </w:r>
      <w:r w:rsidRPr="001B4C9B">
        <w:t xml:space="preserve"> value because of the specialist nature of an asset, depreciated replacement cost (DRC</w:t>
      </w:r>
      <w:r w:rsidR="001B7FE2" w:rsidRPr="001B4C9B">
        <w:t>) is used as an estimate of current</w:t>
      </w:r>
      <w:r w:rsidRPr="001B4C9B">
        <w:t xml:space="preserve"> value</w:t>
      </w:r>
    </w:p>
    <w:p w14:paraId="7559505C" w14:textId="77777777" w:rsidR="004C3C95" w:rsidRPr="001B4C9B" w:rsidRDefault="00EA1128" w:rsidP="00D6391D">
      <w:pPr>
        <w:spacing w:after="240"/>
        <w:jc w:val="both"/>
      </w:pPr>
      <w:r w:rsidRPr="001B4C9B">
        <w:t>Where non-property assets that have short useful lives or low values (or both), depreciated historical cost b</w:t>
      </w:r>
      <w:r w:rsidR="001B7FE2" w:rsidRPr="001B4C9B">
        <w:t>asis is used as a proxy for current</w:t>
      </w:r>
      <w:r w:rsidRPr="001B4C9B">
        <w:t xml:space="preserve"> value.</w:t>
      </w:r>
    </w:p>
    <w:p w14:paraId="7E6CBF2C" w14:textId="77777777" w:rsidR="004C3C95" w:rsidRPr="001B4C9B" w:rsidRDefault="00EA1128" w:rsidP="00D6391D">
      <w:pPr>
        <w:spacing w:after="240"/>
        <w:jc w:val="both"/>
      </w:pPr>
      <w:r w:rsidRPr="001B4C9B">
        <w:t>Assets inclu</w:t>
      </w:r>
      <w:r w:rsidR="000678CE" w:rsidRPr="001B4C9B">
        <w:t>ded in the Balance Sheet at current</w:t>
      </w:r>
      <w:r w:rsidRPr="001B4C9B">
        <w:t xml:space="preserve"> value are revalued sufficiently regularly to ensure that their carrying amount is not mate</w:t>
      </w:r>
      <w:r w:rsidR="000678CE" w:rsidRPr="001B4C9B">
        <w:t>rially different from their current</w:t>
      </w:r>
      <w:r w:rsidRPr="001B4C9B">
        <w:t xml:space="preserve"> value at the year-end, but as a minimum every </w:t>
      </w:r>
      <w:r w:rsidR="000678CE" w:rsidRPr="001B4C9B">
        <w:t>five</w:t>
      </w:r>
      <w:r w:rsidRPr="001B4C9B">
        <w:t xml:space="preserve"> years.  Increases in valuations are matched by credits to the Revaluation Reserve to recognise unrealised gains.  Exceptionally, gains might be credited to the Surplus or Deficit on the Provision of Services where they arise from the reversal of a loss previously charged to a service.</w:t>
      </w:r>
      <w:r w:rsidR="00A530FB" w:rsidRPr="001B4C9B">
        <w:t xml:space="preserve"> </w:t>
      </w:r>
    </w:p>
    <w:p w14:paraId="2CEEEE9A" w14:textId="77777777" w:rsidR="00EA1128" w:rsidRPr="001B4C9B" w:rsidRDefault="00EA1128" w:rsidP="00D6391D">
      <w:pPr>
        <w:spacing w:after="240"/>
        <w:jc w:val="both"/>
      </w:pPr>
      <w:r w:rsidRPr="001B4C9B">
        <w:t>Where decreases in value are identified, they are accounted for by:</w:t>
      </w:r>
    </w:p>
    <w:p w14:paraId="654447E9" w14:textId="77777777" w:rsidR="00EA1128" w:rsidRPr="001B4C9B" w:rsidRDefault="00EA1128" w:rsidP="005676B7">
      <w:pPr>
        <w:numPr>
          <w:ilvl w:val="0"/>
          <w:numId w:val="10"/>
        </w:numPr>
        <w:spacing w:after="120"/>
        <w:ind w:left="714" w:hanging="357"/>
        <w:jc w:val="both"/>
        <w:rPr>
          <w:rFonts w:cs="Arial"/>
          <w:szCs w:val="22"/>
        </w:rPr>
      </w:pPr>
      <w:r w:rsidRPr="001B4C9B">
        <w:rPr>
          <w:rFonts w:cs="Arial"/>
          <w:szCs w:val="22"/>
        </w:rPr>
        <w:t>where there is a balance of revaluation gains for the asset in the Revaluation Reserve, the carrying amount of the asset is written down against that balance (up to the amount of the accumulated gains)</w:t>
      </w:r>
    </w:p>
    <w:p w14:paraId="078797CE" w14:textId="77777777" w:rsidR="004C3C95" w:rsidRPr="001B4C9B" w:rsidRDefault="00EA1128" w:rsidP="005676B7">
      <w:pPr>
        <w:numPr>
          <w:ilvl w:val="0"/>
          <w:numId w:val="10"/>
        </w:numPr>
        <w:spacing w:after="120"/>
        <w:ind w:left="714" w:hanging="357"/>
        <w:jc w:val="both"/>
        <w:rPr>
          <w:rFonts w:cs="Arial"/>
          <w:szCs w:val="22"/>
        </w:rPr>
      </w:pPr>
      <w:r w:rsidRPr="001B4C9B">
        <w:rPr>
          <w:rFonts w:cs="Arial"/>
          <w:szCs w:val="22"/>
        </w:rPr>
        <w:t>where there is no balance in the Revaluation Reserve or insufficient balance, the carrying amount of the asset is written down against the relevant service line(s) in the Comprehensive Income and Expenditure Statement</w:t>
      </w:r>
    </w:p>
    <w:p w14:paraId="77D76B5C" w14:textId="77777777" w:rsidR="004C3C95" w:rsidRPr="001B4C9B" w:rsidRDefault="00EA1128" w:rsidP="00D6391D">
      <w:pPr>
        <w:spacing w:after="240"/>
        <w:jc w:val="both"/>
      </w:pPr>
      <w:r w:rsidRPr="001B4C9B">
        <w:t>The Revaluation Reserve contains revaluation gains recognised since 1 April 2007 only, the date of its formal implementation.  Gains arising before that date have been consolidated into the Capital Adjustment Account.</w:t>
      </w:r>
    </w:p>
    <w:p w14:paraId="1E3EAB19" w14:textId="77777777" w:rsidR="004C3C95" w:rsidRPr="001B4C9B" w:rsidRDefault="004C3C95" w:rsidP="00D6391D">
      <w:pPr>
        <w:spacing w:after="240"/>
        <w:jc w:val="both"/>
        <w:rPr>
          <w:b/>
          <w:i/>
        </w:rPr>
      </w:pPr>
      <w:r w:rsidRPr="001B4C9B">
        <w:rPr>
          <w:b/>
          <w:i/>
        </w:rPr>
        <w:t>Impairment</w:t>
      </w:r>
    </w:p>
    <w:p w14:paraId="6536AF87" w14:textId="77777777" w:rsidR="004C3C95" w:rsidRPr="001B4C9B" w:rsidRDefault="00EA1128" w:rsidP="00D6391D">
      <w:pPr>
        <w:spacing w:after="240"/>
        <w:jc w:val="both"/>
      </w:pPr>
      <w:r w:rsidRPr="001B4C9B">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14:paraId="7DF8B8E3" w14:textId="77777777" w:rsidR="00EA1128" w:rsidRPr="001B4C9B" w:rsidRDefault="00EA1128" w:rsidP="00D6391D">
      <w:pPr>
        <w:spacing w:after="240"/>
        <w:jc w:val="both"/>
      </w:pPr>
      <w:r w:rsidRPr="001B4C9B">
        <w:t>Where impairment losses are identified, they are accounted for by:</w:t>
      </w:r>
    </w:p>
    <w:p w14:paraId="49D9DD6B" w14:textId="77777777" w:rsidR="00EA1128" w:rsidRPr="001B4C9B" w:rsidRDefault="00EA1128" w:rsidP="005676B7">
      <w:pPr>
        <w:numPr>
          <w:ilvl w:val="0"/>
          <w:numId w:val="10"/>
        </w:numPr>
        <w:spacing w:after="120"/>
        <w:ind w:left="714" w:hanging="357"/>
        <w:jc w:val="both"/>
        <w:rPr>
          <w:rFonts w:cs="Arial"/>
          <w:szCs w:val="22"/>
        </w:rPr>
      </w:pPr>
      <w:r w:rsidRPr="001B4C9B">
        <w:rPr>
          <w:rFonts w:cs="Arial"/>
          <w:szCs w:val="22"/>
        </w:rPr>
        <w:t>where there is a balance of revaluation gains for the asset in the Revaluation Reserve, the carrying amount of the asset is written down against that balance (up to the amount of the accumulated gains)</w:t>
      </w:r>
    </w:p>
    <w:p w14:paraId="46101C93" w14:textId="77777777" w:rsidR="004C3C95" w:rsidRPr="001B4C9B" w:rsidRDefault="00EA1128" w:rsidP="005676B7">
      <w:pPr>
        <w:numPr>
          <w:ilvl w:val="0"/>
          <w:numId w:val="10"/>
        </w:numPr>
        <w:spacing w:after="120"/>
        <w:ind w:left="714" w:hanging="357"/>
        <w:jc w:val="both"/>
        <w:rPr>
          <w:rFonts w:cs="Arial"/>
          <w:szCs w:val="22"/>
        </w:rPr>
      </w:pPr>
      <w:r w:rsidRPr="001B4C9B">
        <w:rPr>
          <w:rFonts w:cs="Arial"/>
          <w:szCs w:val="22"/>
        </w:rPr>
        <w:t>where there is no balance in the Revaluation Reserve or an insufficient balance, the carrying amount of the asset is written down against the relevant service line(s) in the Comprehensive Income and Expenditure Statement</w:t>
      </w:r>
    </w:p>
    <w:p w14:paraId="732510E9" w14:textId="77777777" w:rsidR="004C3C95" w:rsidRPr="001B4C9B" w:rsidRDefault="00EA1128" w:rsidP="00D6391D">
      <w:pPr>
        <w:spacing w:after="240"/>
        <w:jc w:val="both"/>
      </w:pPr>
      <w:r w:rsidRPr="001B4C9B">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14:paraId="7006AEDB" w14:textId="77777777" w:rsidR="004C3C95" w:rsidRPr="001B4C9B" w:rsidRDefault="004C3C95" w:rsidP="00D6391D">
      <w:pPr>
        <w:spacing w:after="240"/>
        <w:jc w:val="both"/>
        <w:rPr>
          <w:b/>
          <w:i/>
        </w:rPr>
      </w:pPr>
      <w:r w:rsidRPr="001B4C9B">
        <w:rPr>
          <w:b/>
          <w:i/>
        </w:rPr>
        <w:t>Depreciation</w:t>
      </w:r>
    </w:p>
    <w:p w14:paraId="4B6EFD45" w14:textId="77777777" w:rsidR="004C3C95" w:rsidRPr="001B4C9B" w:rsidRDefault="00EA1128" w:rsidP="00D6391D">
      <w:pPr>
        <w:spacing w:after="240"/>
        <w:jc w:val="both"/>
      </w:pPr>
      <w:r w:rsidRPr="001B4C9B">
        <w:t>Depreciation is provided for on all Property, Plant and Equipment assets by the systematic allocation of their depreciable amounts over their useful lives.  An exception is made for assets without a determinable finite useful life (ie freehold land and certain Community Assets) and assets that are not yet available for use (ie assets under construction).</w:t>
      </w:r>
    </w:p>
    <w:p w14:paraId="7BF727B0" w14:textId="77777777" w:rsidR="00EA1128" w:rsidRPr="001B4C9B" w:rsidRDefault="00EA1128" w:rsidP="00D6391D">
      <w:pPr>
        <w:spacing w:after="240"/>
        <w:jc w:val="both"/>
      </w:pPr>
      <w:r w:rsidRPr="001B4C9B">
        <w:t>Depreciation is calculated on the following bases:</w:t>
      </w:r>
    </w:p>
    <w:p w14:paraId="53BA9328" w14:textId="77777777" w:rsidR="00EA1128" w:rsidRPr="001B4C9B" w:rsidRDefault="00EA1128" w:rsidP="005676B7">
      <w:pPr>
        <w:numPr>
          <w:ilvl w:val="0"/>
          <w:numId w:val="10"/>
        </w:numPr>
        <w:spacing w:after="120"/>
        <w:ind w:left="714" w:hanging="357"/>
        <w:jc w:val="both"/>
        <w:rPr>
          <w:rFonts w:cs="Arial"/>
          <w:szCs w:val="22"/>
        </w:rPr>
      </w:pPr>
      <w:r w:rsidRPr="001B4C9B">
        <w:rPr>
          <w:rFonts w:cs="Arial"/>
          <w:szCs w:val="22"/>
        </w:rPr>
        <w:t>dwellings and other buildings – straight-line allocation over the useful life of the property as estimated by the valuer</w:t>
      </w:r>
    </w:p>
    <w:p w14:paraId="37AC4810" w14:textId="58C680D0" w:rsidR="00EA1128" w:rsidRPr="001B4C9B" w:rsidRDefault="00EA1128" w:rsidP="00B35D23">
      <w:pPr>
        <w:numPr>
          <w:ilvl w:val="0"/>
          <w:numId w:val="10"/>
        </w:numPr>
        <w:spacing w:after="120"/>
        <w:ind w:left="714" w:hanging="357"/>
        <w:jc w:val="both"/>
        <w:rPr>
          <w:rFonts w:cs="Arial"/>
          <w:szCs w:val="22"/>
        </w:rPr>
      </w:pPr>
      <w:r w:rsidRPr="001B4C9B">
        <w:rPr>
          <w:rFonts w:cs="Arial"/>
          <w:szCs w:val="22"/>
        </w:rPr>
        <w:lastRenderedPageBreak/>
        <w:t xml:space="preserve">vehicles, plant and equipment – </w:t>
      </w:r>
      <w:r w:rsidR="00B35D23" w:rsidRPr="00B35D23">
        <w:rPr>
          <w:rFonts w:cs="Arial"/>
          <w:szCs w:val="22"/>
        </w:rPr>
        <w:t>straight-line allocation over the useful life of the asset ranging between 5 and 10 years</w:t>
      </w:r>
    </w:p>
    <w:p w14:paraId="6755622E" w14:textId="69C56715" w:rsidR="004C3C95" w:rsidRPr="001B4C9B" w:rsidRDefault="00EA1128" w:rsidP="005676B7">
      <w:pPr>
        <w:numPr>
          <w:ilvl w:val="0"/>
          <w:numId w:val="10"/>
        </w:numPr>
        <w:spacing w:after="120"/>
        <w:ind w:left="714" w:hanging="357"/>
        <w:jc w:val="both"/>
        <w:rPr>
          <w:rFonts w:cs="Arial"/>
          <w:szCs w:val="22"/>
        </w:rPr>
      </w:pPr>
      <w:r w:rsidRPr="001B4C9B">
        <w:rPr>
          <w:rFonts w:cs="Arial"/>
          <w:szCs w:val="22"/>
        </w:rPr>
        <w:t xml:space="preserve">infrastructure – straight-line allocation over </w:t>
      </w:r>
      <w:r w:rsidR="00B35D23">
        <w:rPr>
          <w:rFonts w:cs="Arial"/>
          <w:szCs w:val="22"/>
        </w:rPr>
        <w:t>25 years</w:t>
      </w:r>
    </w:p>
    <w:p w14:paraId="51A46CC8" w14:textId="77777777" w:rsidR="004C3C95" w:rsidRPr="001B4C9B" w:rsidRDefault="00EA1128" w:rsidP="00D6391D">
      <w:pPr>
        <w:spacing w:after="240"/>
        <w:jc w:val="both"/>
      </w:pPr>
      <w:r w:rsidRPr="001B4C9B">
        <w:t xml:space="preserve">Where an item of Property, Plant and Equipment asset has major components whose cost is significant in relation to the total cost of the item, the components are depreciated separately.  </w:t>
      </w:r>
    </w:p>
    <w:p w14:paraId="2BEE07FA" w14:textId="77777777" w:rsidR="004C3C95" w:rsidRPr="001B4C9B" w:rsidRDefault="009F651E" w:rsidP="00D6391D">
      <w:pPr>
        <w:spacing w:after="240"/>
        <w:jc w:val="both"/>
      </w:pPr>
      <w:r w:rsidRPr="001B4C9B">
        <w:t xml:space="preserve">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  </w:t>
      </w:r>
    </w:p>
    <w:p w14:paraId="65B4DB0F" w14:textId="77777777" w:rsidR="004C3C95" w:rsidRPr="001B4C9B" w:rsidRDefault="004C3C95" w:rsidP="00D6391D">
      <w:pPr>
        <w:spacing w:after="240"/>
        <w:jc w:val="both"/>
        <w:rPr>
          <w:b/>
          <w:i/>
        </w:rPr>
      </w:pPr>
      <w:r w:rsidRPr="001B4C9B">
        <w:rPr>
          <w:b/>
          <w:i/>
        </w:rPr>
        <w:t>Disposals and Non-current Assets Held for Sale</w:t>
      </w:r>
    </w:p>
    <w:p w14:paraId="6644B519" w14:textId="77777777" w:rsidR="004C3C95" w:rsidRPr="001B4C9B" w:rsidRDefault="009F651E" w:rsidP="00D6391D">
      <w:pPr>
        <w:spacing w:after="240"/>
        <w:jc w:val="both"/>
      </w:pPr>
      <w:r w:rsidRPr="001B4C9B">
        <w:t>When it becomes probable that the carrying amount of asset will be recovered principally through a sale transaction rather than through its continuing use, it is reclassified as an Asset Held for Sale.  The asset is revalued immediately before 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previously recognised losses in the Surplus or Deficit on Provision of Services.  Depreciation is not charged on Assets Held for Sale.</w:t>
      </w:r>
    </w:p>
    <w:p w14:paraId="74E47A70" w14:textId="77777777" w:rsidR="004C3C95" w:rsidRPr="001B4C9B" w:rsidRDefault="009F651E" w:rsidP="00D6391D">
      <w:pPr>
        <w:spacing w:after="240"/>
        <w:jc w:val="both"/>
      </w:pPr>
      <w:r w:rsidRPr="001B4C9B">
        <w:t>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they not been classified as Held for Sale, and their recoverable amount at the date of the decision not to sell.</w:t>
      </w:r>
    </w:p>
    <w:p w14:paraId="7C3A0C47" w14:textId="77777777" w:rsidR="004C3C95" w:rsidRPr="001B4C9B" w:rsidRDefault="009F651E" w:rsidP="00D6391D">
      <w:pPr>
        <w:spacing w:after="240"/>
        <w:jc w:val="both"/>
      </w:pPr>
      <w:r w:rsidRPr="001B4C9B">
        <w:t>Assets that are to be abandoned or scrapped are not reclassified as Assets Held for Sale.</w:t>
      </w:r>
    </w:p>
    <w:p w14:paraId="59F5E7B8" w14:textId="77777777" w:rsidR="009F651E" w:rsidRPr="001B4C9B" w:rsidRDefault="009F651E" w:rsidP="009F651E">
      <w:pPr>
        <w:spacing w:after="240"/>
        <w:jc w:val="both"/>
      </w:pPr>
      <w:r w:rsidRPr="001B4C9B">
        <w:t xml:space="preserve">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(ie netted off against the carrying value of the asset at the time of disposal).  Any revaluation gains accumulated for the asset in the Revaluation Reserve are transferred to the Capital Adjustment Account.  </w:t>
      </w:r>
    </w:p>
    <w:p w14:paraId="49C75549" w14:textId="77777777" w:rsidR="004C3C95" w:rsidRPr="001B4C9B" w:rsidRDefault="009F651E" w:rsidP="009F651E">
      <w:pPr>
        <w:spacing w:after="240"/>
        <w:jc w:val="both"/>
      </w:pPr>
      <w:r w:rsidRPr="001B4C9B">
        <w:t>The written-off value of disposals is not a charge against Council Tax, as the cost of non-current assets is fully provided for under separate arrangements for capital financing.  Amounts are appropriated to the Capital Adjustment Account from the General Fund Balance in the Movement in Reserves Statement.</w:t>
      </w:r>
    </w:p>
    <w:p w14:paraId="7F1FAA62" w14:textId="77777777" w:rsidR="004C3C95" w:rsidRPr="001B4C9B" w:rsidRDefault="004C3C95" w:rsidP="00D6391D">
      <w:pPr>
        <w:spacing w:after="240"/>
        <w:jc w:val="both"/>
        <w:rPr>
          <w:b/>
        </w:rPr>
      </w:pPr>
      <w:r w:rsidRPr="001B4C9B">
        <w:rPr>
          <w:b/>
        </w:rPr>
        <w:t>P</w:t>
      </w:r>
      <w:r w:rsidR="009F651E" w:rsidRPr="001B4C9B">
        <w:rPr>
          <w:b/>
        </w:rPr>
        <w:t>rovisions</w:t>
      </w:r>
      <w:r w:rsidRPr="001B4C9B">
        <w:rPr>
          <w:b/>
        </w:rPr>
        <w:t>, C</w:t>
      </w:r>
      <w:r w:rsidR="009F651E" w:rsidRPr="001B4C9B">
        <w:rPr>
          <w:b/>
        </w:rPr>
        <w:t>ontingent</w:t>
      </w:r>
      <w:r w:rsidRPr="001B4C9B">
        <w:rPr>
          <w:b/>
        </w:rPr>
        <w:t xml:space="preserve"> L</w:t>
      </w:r>
      <w:r w:rsidR="009F651E" w:rsidRPr="001B4C9B">
        <w:rPr>
          <w:b/>
        </w:rPr>
        <w:t>iabilities</w:t>
      </w:r>
      <w:r w:rsidRPr="001B4C9B">
        <w:rPr>
          <w:b/>
        </w:rPr>
        <w:t xml:space="preserve"> </w:t>
      </w:r>
      <w:r w:rsidR="009F651E" w:rsidRPr="001B4C9B">
        <w:rPr>
          <w:b/>
        </w:rPr>
        <w:t>and</w:t>
      </w:r>
      <w:r w:rsidRPr="001B4C9B">
        <w:rPr>
          <w:b/>
        </w:rPr>
        <w:t xml:space="preserve"> C</w:t>
      </w:r>
      <w:r w:rsidR="009F651E" w:rsidRPr="001B4C9B">
        <w:rPr>
          <w:b/>
        </w:rPr>
        <w:t>ontingent</w:t>
      </w:r>
      <w:r w:rsidRPr="001B4C9B">
        <w:rPr>
          <w:b/>
        </w:rPr>
        <w:t xml:space="preserve"> A</w:t>
      </w:r>
      <w:r w:rsidR="009F651E" w:rsidRPr="001B4C9B">
        <w:rPr>
          <w:b/>
        </w:rPr>
        <w:t>ssets</w:t>
      </w:r>
    </w:p>
    <w:p w14:paraId="7CD85BC6" w14:textId="77777777" w:rsidR="004C3C95" w:rsidRPr="001B4C9B" w:rsidRDefault="004C3C95" w:rsidP="00D6391D">
      <w:pPr>
        <w:spacing w:after="240"/>
        <w:jc w:val="both"/>
        <w:rPr>
          <w:b/>
          <w:i/>
        </w:rPr>
      </w:pPr>
      <w:r w:rsidRPr="001B4C9B">
        <w:rPr>
          <w:b/>
          <w:i/>
        </w:rPr>
        <w:t>Provisions</w:t>
      </w:r>
    </w:p>
    <w:p w14:paraId="1345A39C" w14:textId="77777777" w:rsidR="004C3C95" w:rsidRPr="001B4C9B" w:rsidRDefault="009F651E" w:rsidP="00D6391D">
      <w:pPr>
        <w:spacing w:after="240"/>
        <w:jc w:val="both"/>
      </w:pPr>
      <w:r w:rsidRPr="001B4C9B">
        <w:t xml:space="preserve">Provisions are made where an event has taken place that gives the Council a legal or constructive obligation that probably requires settlement by a transfer of economic benefits or service potential, and a reliable estimate can be made of the amount of the obligation.  For instance, the Council may be involved in a court case that could eventually result in the making of a settlement or the payment of compensation.  </w:t>
      </w:r>
    </w:p>
    <w:p w14:paraId="71A241B4" w14:textId="77777777" w:rsidR="004C3C95" w:rsidRPr="001B4C9B" w:rsidRDefault="009F651E" w:rsidP="00D6391D">
      <w:pPr>
        <w:spacing w:after="240"/>
        <w:jc w:val="both"/>
      </w:pPr>
      <w:r w:rsidRPr="001B4C9B">
        <w:t xml:space="preserve">Provisions are charged as an expense to the appropriate service line in the Comprehensive Income and Expenditure Statement in the year that the Council becomes aware of the obligation, and are measured at the best estimate at the balance sheet date of the expenditure required to settle the obligation, taking into account relevant risks and uncertainties.  </w:t>
      </w:r>
    </w:p>
    <w:p w14:paraId="78BF92C5" w14:textId="77777777" w:rsidR="004C3C95" w:rsidRPr="001B4C9B" w:rsidRDefault="009F651E" w:rsidP="00D6391D">
      <w:pPr>
        <w:spacing w:after="240"/>
        <w:jc w:val="both"/>
      </w:pPr>
      <w:r w:rsidRPr="001B4C9B">
        <w:lastRenderedPageBreak/>
        <w:t>When payments are eventually made, they are charged to the provision carried in the Balance Sheet.  Estimated settlements are reviewed at the end of each financial year – where it becomes less than probable that a transfer of economic benefits will now be required (or a lower settlement than anticipated is made), the provision is reversed and credited back to the relevant service.</w:t>
      </w:r>
    </w:p>
    <w:p w14:paraId="686E7D7C" w14:textId="75C1BD99" w:rsidR="004C3C95" w:rsidRPr="001B4C9B" w:rsidRDefault="009F651E" w:rsidP="00D6391D">
      <w:pPr>
        <w:spacing w:after="240"/>
        <w:jc w:val="both"/>
      </w:pPr>
      <w:r w:rsidRPr="001B4C9B">
        <w:t>Where some or all of the payment required to settle a provision is expected to be recovered from another party (</w:t>
      </w:r>
      <w:r w:rsidR="00D40DA5" w:rsidRPr="001B4C9B">
        <w:t>e.g.</w:t>
      </w:r>
      <w:r w:rsidRPr="001B4C9B">
        <w:t xml:space="preserve"> from an insurance claim), this is only recognised as income for the relevant service if it is virtually certain that reimbursement will be received if the Council settles the obligation.</w:t>
      </w:r>
    </w:p>
    <w:p w14:paraId="71D0E9DE" w14:textId="77777777" w:rsidR="004C3C95" w:rsidRPr="001B4C9B" w:rsidRDefault="004C3C95" w:rsidP="00D6391D">
      <w:pPr>
        <w:spacing w:after="240"/>
        <w:jc w:val="both"/>
        <w:rPr>
          <w:b/>
          <w:i/>
        </w:rPr>
      </w:pPr>
      <w:r w:rsidRPr="001B4C9B">
        <w:rPr>
          <w:b/>
          <w:i/>
        </w:rPr>
        <w:t xml:space="preserve">Contingent </w:t>
      </w:r>
      <w:r w:rsidR="009F651E" w:rsidRPr="001B4C9B">
        <w:rPr>
          <w:b/>
          <w:i/>
        </w:rPr>
        <w:t>L</w:t>
      </w:r>
      <w:r w:rsidRPr="001B4C9B">
        <w:rPr>
          <w:b/>
          <w:i/>
        </w:rPr>
        <w:t>iabilities</w:t>
      </w:r>
    </w:p>
    <w:p w14:paraId="76A8D218" w14:textId="77777777" w:rsidR="00F96D7C" w:rsidRPr="001B4C9B" w:rsidRDefault="00F96D7C" w:rsidP="00F96D7C">
      <w:pPr>
        <w:spacing w:after="240"/>
        <w:jc w:val="both"/>
      </w:pPr>
      <w:r w:rsidRPr="001B4C9B">
        <w:t>A contingent liability arises where an event has taken place that gives the Council a possible obligation whose existence will only be confirmed by the occurrence or otherwise of uncertain future events not wholly within the control of the Council.  Contingent liabilities also arise in circumstances where a provision would otherwise be made but either it is not probable that an outflow of resources will be required or the amount of the obligation cannot be measured reliably.</w:t>
      </w:r>
    </w:p>
    <w:p w14:paraId="4590EB03" w14:textId="77777777" w:rsidR="004C3C95" w:rsidRPr="001B4C9B" w:rsidRDefault="00F96D7C" w:rsidP="00F96D7C">
      <w:pPr>
        <w:spacing w:after="240"/>
        <w:jc w:val="both"/>
      </w:pPr>
      <w:r w:rsidRPr="001B4C9B">
        <w:t>Contingent liabilities are not recognised in the Balance Sheet but disclosed in a note to the accounts.</w:t>
      </w:r>
    </w:p>
    <w:p w14:paraId="6394BB83" w14:textId="77777777" w:rsidR="004C3C95" w:rsidRPr="001B4C9B" w:rsidRDefault="004C3C95" w:rsidP="00D6391D">
      <w:pPr>
        <w:spacing w:after="240"/>
        <w:jc w:val="both"/>
        <w:rPr>
          <w:b/>
          <w:i/>
        </w:rPr>
      </w:pPr>
      <w:r w:rsidRPr="001B4C9B">
        <w:rPr>
          <w:b/>
          <w:i/>
        </w:rPr>
        <w:t xml:space="preserve">Contingent </w:t>
      </w:r>
      <w:r w:rsidR="00F96D7C" w:rsidRPr="001B4C9B">
        <w:rPr>
          <w:b/>
          <w:i/>
        </w:rPr>
        <w:t>A</w:t>
      </w:r>
      <w:r w:rsidRPr="001B4C9B">
        <w:rPr>
          <w:b/>
          <w:i/>
        </w:rPr>
        <w:t>ssets</w:t>
      </w:r>
    </w:p>
    <w:p w14:paraId="5BEA803B" w14:textId="77777777" w:rsidR="00F96D7C" w:rsidRPr="001B4C9B" w:rsidRDefault="00F96D7C" w:rsidP="00F96D7C">
      <w:pPr>
        <w:spacing w:after="240"/>
        <w:jc w:val="both"/>
      </w:pPr>
      <w:r w:rsidRPr="001B4C9B">
        <w:t>A contingent asset arises where an event has taken place that gives the Council a possible asset whose existence will only be confirmed by the occurrence or otherwise of uncertain future events not wholly within the control of the Council.</w:t>
      </w:r>
    </w:p>
    <w:p w14:paraId="4E464A00" w14:textId="77777777" w:rsidR="004C3C95" w:rsidRPr="001B4C9B" w:rsidRDefault="00F96D7C" w:rsidP="00F96D7C">
      <w:pPr>
        <w:spacing w:after="240"/>
        <w:jc w:val="both"/>
      </w:pPr>
      <w:r w:rsidRPr="001B4C9B">
        <w:t>Contingent assets are not recognised in the Balance Sheet but disclosed in a note to the accounts where it is probable that there will be an inflow of economic benefits or service potential.</w:t>
      </w:r>
    </w:p>
    <w:p w14:paraId="7991B16C" w14:textId="77777777" w:rsidR="004C3C95" w:rsidRPr="001B4C9B" w:rsidRDefault="00F96D7C" w:rsidP="00D6391D">
      <w:pPr>
        <w:spacing w:after="240"/>
        <w:jc w:val="both"/>
        <w:rPr>
          <w:b/>
        </w:rPr>
      </w:pPr>
      <w:r w:rsidRPr="001B4C9B">
        <w:rPr>
          <w:b/>
        </w:rPr>
        <w:t>Reserves</w:t>
      </w:r>
    </w:p>
    <w:p w14:paraId="65506AC0" w14:textId="3628EC87" w:rsidR="00F96D7C" w:rsidRPr="001B4C9B" w:rsidRDefault="00F96D7C" w:rsidP="00F96D7C">
      <w:pPr>
        <w:spacing w:after="240"/>
        <w:jc w:val="both"/>
      </w:pPr>
      <w:r w:rsidRPr="001B4C9B">
        <w:t>The Council sets aside specific amounts as reserves for future policy purposes or to cover contingencies.  Reserves are created b</w:t>
      </w:r>
      <w:r w:rsidR="002A3D84" w:rsidRPr="001B4C9B">
        <w:t>y transferring</w:t>
      </w:r>
      <w:r w:rsidRPr="001B4C9B">
        <w:t xml:space="preserve"> amounts out of the General Fund Balance</w:t>
      </w:r>
      <w:r w:rsidR="002A3D84" w:rsidRPr="001B4C9B">
        <w:t>.</w:t>
      </w:r>
      <w:r w:rsidRPr="001B4C9B">
        <w:t xml:space="preserve"> When expenditure to be financed from a reserve is incurred, it is charged to the appropriate service in that year to score against the Surplus or Deficit on the Provision of Services in the Comprehensive Income and Expenditure Statement.  </w:t>
      </w:r>
      <w:r w:rsidR="002A3D84" w:rsidRPr="001B4C9B">
        <w:t>The reserve is then transferred</w:t>
      </w:r>
      <w:r w:rsidRPr="001B4C9B">
        <w:t xml:space="preserve"> back into the General Fund Balance so that there is no net charge against Council Tax for the expenditure.  </w:t>
      </w:r>
    </w:p>
    <w:p w14:paraId="591C44F4" w14:textId="6146037A" w:rsidR="004C3C95" w:rsidRPr="001B4C9B" w:rsidRDefault="00F96D7C" w:rsidP="00F96D7C">
      <w:pPr>
        <w:spacing w:after="240"/>
        <w:jc w:val="both"/>
      </w:pPr>
      <w:r w:rsidRPr="001B4C9B">
        <w:t xml:space="preserve">Certain reserves are kept to manage the accounting process for non-current assets, financial instruments, </w:t>
      </w:r>
      <w:r w:rsidR="00631125" w:rsidRPr="001B4C9B">
        <w:t xml:space="preserve">local taxation, </w:t>
      </w:r>
      <w:r w:rsidRPr="001B4C9B">
        <w:t>retirement and employee benefits and do not represent usable resources for the Council – these reserves are explained in the relevant policies.</w:t>
      </w:r>
    </w:p>
    <w:p w14:paraId="2C8E327D" w14:textId="77777777" w:rsidR="004C3C95" w:rsidRPr="001B4C9B" w:rsidRDefault="00F96D7C" w:rsidP="00D6391D">
      <w:pPr>
        <w:spacing w:after="240"/>
        <w:jc w:val="both"/>
        <w:rPr>
          <w:b/>
        </w:rPr>
      </w:pPr>
      <w:r w:rsidRPr="001B4C9B">
        <w:rPr>
          <w:b/>
        </w:rPr>
        <w:t>Revenue E</w:t>
      </w:r>
      <w:r w:rsidR="00C37A44" w:rsidRPr="001B4C9B">
        <w:rPr>
          <w:b/>
        </w:rPr>
        <w:t>xpenditure Funded from Capital u</w:t>
      </w:r>
      <w:r w:rsidRPr="001B4C9B">
        <w:rPr>
          <w:b/>
        </w:rPr>
        <w:t>nder Statute (REFCUS)</w:t>
      </w:r>
    </w:p>
    <w:p w14:paraId="6633A3D3" w14:textId="77777777" w:rsidR="004C3C95" w:rsidRPr="001B4C9B" w:rsidRDefault="004C3C95" w:rsidP="00D6391D">
      <w:pPr>
        <w:spacing w:after="240"/>
        <w:jc w:val="both"/>
      </w:pPr>
      <w:r w:rsidRPr="001B4C9B">
        <w:t xml:space="preserve">Expenditure incurred during the year that may be capitalised under statutory provisions but that does not result in the creation of a non-current asset has been charged as expenditure to the relevant service in the Comprehensive Income and Expenditure Statement in the year.  Where the </w:t>
      </w:r>
      <w:r w:rsidR="00F96D7C" w:rsidRPr="001B4C9B">
        <w:t>Council</w:t>
      </w:r>
      <w:r w:rsidRPr="001B4C9B">
        <w:t xml:space="preserve"> has determined to meet the cost of this expenditure from existing capital resources or by borrowing, a transfer in the Movement in Reserves Statement from the General Fund Balance to the Capital Adjustment Account then reverses out the amounts charged, so that there is no impact on the level of council tax.</w:t>
      </w:r>
    </w:p>
    <w:p w14:paraId="6620BB41" w14:textId="77777777" w:rsidR="00F96D7C" w:rsidRPr="001B4C9B" w:rsidRDefault="00C37A44" w:rsidP="00D6391D">
      <w:pPr>
        <w:spacing w:after="240"/>
        <w:jc w:val="both"/>
        <w:rPr>
          <w:b/>
        </w:rPr>
      </w:pPr>
      <w:r w:rsidRPr="001B4C9B">
        <w:rPr>
          <w:b/>
        </w:rPr>
        <w:t>Schools</w:t>
      </w:r>
    </w:p>
    <w:p w14:paraId="10BC9225" w14:textId="77777777" w:rsidR="00C37A44" w:rsidRPr="001B4C9B" w:rsidRDefault="008F36FE" w:rsidP="00D6391D">
      <w:pPr>
        <w:spacing w:after="240"/>
        <w:jc w:val="both"/>
      </w:pPr>
      <w:r w:rsidRPr="001B4C9B">
        <w:t>The Code of P</w:t>
      </w:r>
      <w:r w:rsidR="00C37A44" w:rsidRPr="001B4C9B">
        <w:t>ractice on Local Authority Accounting in the United Kingdom confirms that the balance for local authori</w:t>
      </w:r>
      <w:r w:rsidRPr="001B4C9B">
        <w:t>ty maintained schools (ie those</w:t>
      </w:r>
      <w:r w:rsidR="00C37A44" w:rsidRPr="001B4C9B">
        <w:t xml:space="preserve"> categories of schoo</w:t>
      </w:r>
      <w:r w:rsidRPr="001B4C9B">
        <w:t>l identified in the School Stand</w:t>
      </w:r>
      <w:r w:rsidR="00C37A44" w:rsidRPr="001B4C9B">
        <w:t>ards and Framework Act 1998, as amended) lies with the local authority</w:t>
      </w:r>
      <w:r w:rsidRPr="001B4C9B">
        <w:t>. The code also stipulates that those schools assets, liabilities, reserves and cash flows are recognised in the local authority</w:t>
      </w:r>
      <w:r w:rsidR="00C37A44" w:rsidRPr="001B4C9B">
        <w:t xml:space="preserve"> financial statements (and not the Group Accounts) Therefore schools transactions, cash flows and balances are recognised in each </w:t>
      </w:r>
      <w:r w:rsidR="00C37A44" w:rsidRPr="001B4C9B">
        <w:lastRenderedPageBreak/>
        <w:t>of the financial statements of the authority as if they were the transactions, cash flows and balances of the authority</w:t>
      </w:r>
      <w:r w:rsidRPr="001B4C9B">
        <w:t>.</w:t>
      </w:r>
    </w:p>
    <w:p w14:paraId="2D3F4DA4" w14:textId="77777777" w:rsidR="004C3C95" w:rsidRPr="001B4C9B" w:rsidRDefault="004C3C95" w:rsidP="00D6391D">
      <w:pPr>
        <w:spacing w:after="240"/>
        <w:jc w:val="both"/>
        <w:rPr>
          <w:b/>
        </w:rPr>
      </w:pPr>
      <w:r w:rsidRPr="001B4C9B">
        <w:rPr>
          <w:b/>
        </w:rPr>
        <w:t>V</w:t>
      </w:r>
      <w:r w:rsidR="00F96D7C" w:rsidRPr="001B4C9B">
        <w:rPr>
          <w:b/>
        </w:rPr>
        <w:t>alue</w:t>
      </w:r>
      <w:r w:rsidRPr="001B4C9B">
        <w:rPr>
          <w:b/>
        </w:rPr>
        <w:t xml:space="preserve"> A</w:t>
      </w:r>
      <w:r w:rsidR="00F96D7C" w:rsidRPr="001B4C9B">
        <w:rPr>
          <w:b/>
        </w:rPr>
        <w:t>dded Tax</w:t>
      </w:r>
      <w:r w:rsidRPr="001B4C9B">
        <w:rPr>
          <w:b/>
        </w:rPr>
        <w:t xml:space="preserve"> (VAT)</w:t>
      </w:r>
    </w:p>
    <w:p w14:paraId="709248E5" w14:textId="77777777" w:rsidR="004C3C95" w:rsidRPr="001B4C9B" w:rsidRDefault="00F96D7C" w:rsidP="00D6391D">
      <w:pPr>
        <w:spacing w:after="240"/>
        <w:jc w:val="both"/>
      </w:pPr>
      <w:r w:rsidRPr="001B4C9B">
        <w:t xml:space="preserve">VAT payable is included as an expense only to the extent that it is not recoverable from Her Majesty’s Revenue and Customs (HMRC).  VAT receivable is excluded from income.  </w:t>
      </w:r>
    </w:p>
    <w:p w14:paraId="37035B80" w14:textId="240E1A34" w:rsidR="00F96D7C" w:rsidRPr="001B4C9B" w:rsidRDefault="00F837BF" w:rsidP="00D61100">
      <w:pPr>
        <w:spacing w:after="240"/>
        <w:jc w:val="both"/>
        <w:rPr>
          <w:b/>
        </w:rPr>
      </w:pPr>
      <w:r w:rsidRPr="001B4C9B">
        <w:rPr>
          <w:b/>
        </w:rPr>
        <w:t xml:space="preserve">Fair Value Measurement </w:t>
      </w:r>
    </w:p>
    <w:p w14:paraId="6CCDE681" w14:textId="2D7D1750" w:rsidR="002A738E" w:rsidRPr="001B4C9B" w:rsidRDefault="00F837BF" w:rsidP="00D61100">
      <w:pPr>
        <w:spacing w:after="240"/>
        <w:jc w:val="both"/>
      </w:pPr>
      <w:r w:rsidRPr="001B4C9B">
        <w:t>The authority measures some of its non-financia</w:t>
      </w:r>
      <w:r w:rsidR="002A3D84" w:rsidRPr="001B4C9B">
        <w:t xml:space="preserve">l assets such as surplus assets, investment properties </w:t>
      </w:r>
      <w:r w:rsidRPr="001B4C9B">
        <w:t xml:space="preserve">and some of its financial instruments as applicable at fair value at each reporting date. Fair value is the price that would be received to sell an asset or paid to transfer a liability in an orderly transaction between participants </w:t>
      </w:r>
      <w:r w:rsidR="002A738E" w:rsidRPr="001B4C9B">
        <w:t>at the measurement date. The fair value measurement assumes that the transaction to sell the asset or transfer the liability takes place either:</w:t>
      </w:r>
    </w:p>
    <w:p w14:paraId="4AA15D7C" w14:textId="605F0A15" w:rsidR="002A738E" w:rsidRPr="001B4C9B" w:rsidRDefault="002A738E" w:rsidP="005676B7">
      <w:pPr>
        <w:numPr>
          <w:ilvl w:val="0"/>
          <w:numId w:val="10"/>
        </w:numPr>
        <w:spacing w:after="120"/>
        <w:ind w:left="714" w:hanging="357"/>
        <w:jc w:val="both"/>
        <w:rPr>
          <w:rFonts w:cs="Arial"/>
          <w:szCs w:val="22"/>
        </w:rPr>
      </w:pPr>
      <w:r w:rsidRPr="001B4C9B">
        <w:rPr>
          <w:rFonts w:cs="Arial"/>
          <w:szCs w:val="22"/>
        </w:rPr>
        <w:t xml:space="preserve">in the principal market for the asset or liability, or </w:t>
      </w:r>
      <w:r w:rsidRPr="001B4C9B">
        <w:rPr>
          <w:rFonts w:cs="Arial"/>
          <w:szCs w:val="22"/>
        </w:rPr>
        <w:tab/>
      </w:r>
      <w:r w:rsidRPr="001B4C9B">
        <w:rPr>
          <w:rFonts w:cs="Arial"/>
          <w:szCs w:val="22"/>
        </w:rPr>
        <w:tab/>
      </w:r>
      <w:r w:rsidRPr="001B4C9B">
        <w:rPr>
          <w:rFonts w:cs="Arial"/>
          <w:szCs w:val="22"/>
        </w:rPr>
        <w:tab/>
      </w:r>
    </w:p>
    <w:p w14:paraId="29FB854B" w14:textId="1B1F8663" w:rsidR="002A738E" w:rsidRPr="001B4C9B" w:rsidRDefault="002A738E" w:rsidP="005676B7">
      <w:pPr>
        <w:numPr>
          <w:ilvl w:val="0"/>
          <w:numId w:val="10"/>
        </w:numPr>
        <w:spacing w:after="120"/>
        <w:ind w:left="714" w:hanging="357"/>
        <w:jc w:val="both"/>
        <w:rPr>
          <w:rFonts w:cs="Arial"/>
          <w:szCs w:val="22"/>
        </w:rPr>
      </w:pPr>
      <w:r w:rsidRPr="001B4C9B">
        <w:rPr>
          <w:rFonts w:cs="Arial"/>
          <w:szCs w:val="22"/>
        </w:rPr>
        <w:t xml:space="preserve">in the absence of a principal market, in the most advantageous market for the asset or liability </w:t>
      </w:r>
    </w:p>
    <w:p w14:paraId="3912A3B7" w14:textId="12006289" w:rsidR="002A738E" w:rsidRPr="001B4C9B" w:rsidRDefault="002A738E" w:rsidP="00D61100">
      <w:pPr>
        <w:spacing w:after="240"/>
        <w:jc w:val="both"/>
      </w:pPr>
      <w:r w:rsidRPr="001B4C9B">
        <w:t>The authority measures the fair value of an asset or liability using the assumptions that market participants would use when pricing the asset or liability, assuming that market participants act in their economic best interest.</w:t>
      </w:r>
    </w:p>
    <w:p w14:paraId="2DE18641" w14:textId="4DC48C35" w:rsidR="00FE1ECA" w:rsidRPr="001B4C9B" w:rsidRDefault="00FE1ECA" w:rsidP="00D61100">
      <w:pPr>
        <w:spacing w:after="240"/>
        <w:jc w:val="both"/>
      </w:pPr>
      <w:r w:rsidRPr="001B4C9B">
        <w:t xml:space="preserve">When measuring the fair value of a non-financial asset, the Council takes into account a market participant’s ability to generate economic benefits by using the asset in its highest and best use or by selling to another market participant that would use the asset in its highest or best use </w:t>
      </w:r>
    </w:p>
    <w:p w14:paraId="7DB6430E" w14:textId="1DF8146C" w:rsidR="00925F29" w:rsidRPr="000127EF" w:rsidRDefault="003B44C5" w:rsidP="00D61100">
      <w:pPr>
        <w:spacing w:after="240"/>
        <w:jc w:val="both"/>
      </w:pPr>
      <w:r w:rsidRPr="001B4C9B">
        <w:t>Where there is not an active market for the asset or liability the authority uses professional services such as qualified valuers to measure the fair value.</w:t>
      </w:r>
      <w:r w:rsidR="00925F29" w:rsidRPr="000127EF">
        <w:t xml:space="preserve"> </w:t>
      </w:r>
    </w:p>
    <w:p w14:paraId="102935C9" w14:textId="77777777" w:rsidR="00925F29" w:rsidRPr="000127EF" w:rsidRDefault="00925F29" w:rsidP="00925F29">
      <w:pPr>
        <w:pStyle w:val="MainSoAHeading"/>
        <w:rPr>
          <w:b w:val="0"/>
          <w:sz w:val="22"/>
          <w:szCs w:val="22"/>
        </w:rPr>
      </w:pPr>
    </w:p>
    <w:p w14:paraId="63CFD398" w14:textId="0E59EEE7" w:rsidR="00F837BF" w:rsidRPr="000127EF" w:rsidRDefault="00F837BF" w:rsidP="00F837BF">
      <w:pPr>
        <w:pStyle w:val="MainSoAHeading"/>
        <w:rPr>
          <w:sz w:val="22"/>
          <w:szCs w:val="22"/>
        </w:rPr>
        <w:sectPr w:rsidR="00F837BF" w:rsidRPr="000127EF" w:rsidSect="008C78E8">
          <w:pgSz w:w="11907" w:h="16840" w:code="9"/>
          <w:pgMar w:top="1135" w:right="992" w:bottom="1440" w:left="709" w:header="567" w:footer="851" w:gutter="0"/>
          <w:paperSrc w:first="7" w:other="7"/>
          <w:cols w:space="720"/>
          <w:docGrid w:linePitch="299"/>
        </w:sectPr>
      </w:pPr>
    </w:p>
    <w:p w14:paraId="16D9FCF8" w14:textId="77777777" w:rsidR="000C6697" w:rsidRPr="000127EF" w:rsidRDefault="000C6697" w:rsidP="000C6697">
      <w:pPr>
        <w:pStyle w:val="MainSoAHeading"/>
      </w:pPr>
      <w:bookmarkStart w:id="19" w:name="_Toc54886661"/>
      <w:r w:rsidRPr="000127EF">
        <w:lastRenderedPageBreak/>
        <w:t>Glossary</w:t>
      </w:r>
      <w:bookmarkEnd w:id="19"/>
    </w:p>
    <w:p w14:paraId="43CA63CD" w14:textId="77777777" w:rsidR="004C3C95" w:rsidRPr="000127EF" w:rsidRDefault="00661E70" w:rsidP="004C3C95">
      <w:pPr>
        <w:spacing w:after="240"/>
      </w:pPr>
      <w:r>
        <w:pict w14:anchorId="212959A6">
          <v:rect id="_x0000_i1036" style="width:510.3pt;height:2pt" o:hralign="center" o:hrstd="t" o:hrnoshade="t" o:hr="t" fillcolor="#a8d08d [1945]" stroked="f"/>
        </w:pict>
      </w:r>
    </w:p>
    <w:p w14:paraId="466381AB" w14:textId="77777777" w:rsidR="000C6697" w:rsidRPr="000127EF" w:rsidRDefault="000C6697" w:rsidP="000C6697">
      <w:pPr>
        <w:spacing w:after="240"/>
      </w:pPr>
      <w:r w:rsidRPr="000127EF">
        <w:rPr>
          <w:b/>
          <w:i/>
        </w:rPr>
        <w:t>Accruals</w:t>
      </w:r>
      <w:r w:rsidRPr="000127EF">
        <w:t xml:space="preserve"> - The concept that revenue and capital income and expenditure are recognised as they are earned or incurred, not as money is received or paid.  Transactions are treated on an accruals basis with income and expenditure due as at 31 March brought into the accounts.</w:t>
      </w:r>
    </w:p>
    <w:p w14:paraId="727260EC" w14:textId="77777777" w:rsidR="000C6697" w:rsidRPr="000127EF" w:rsidRDefault="000C6697" w:rsidP="000C6697">
      <w:pPr>
        <w:spacing w:after="240"/>
      </w:pPr>
      <w:r w:rsidRPr="000127EF">
        <w:rPr>
          <w:b/>
          <w:i/>
        </w:rPr>
        <w:t>Accumulating Compensated Absences Adjustment Account</w:t>
      </w:r>
      <w:r w:rsidRPr="000127EF">
        <w:t xml:space="preserve"> – Absorbs the differences that would otherwise arise on the General Fund Balance from accruing for compensated absences earned but not taken in the year.</w:t>
      </w:r>
    </w:p>
    <w:p w14:paraId="28FD3BD7" w14:textId="77777777" w:rsidR="000C6697" w:rsidRPr="000127EF" w:rsidRDefault="000C6697" w:rsidP="000C6697">
      <w:pPr>
        <w:spacing w:after="240"/>
      </w:pPr>
      <w:r w:rsidRPr="000127EF">
        <w:rPr>
          <w:b/>
          <w:i/>
        </w:rPr>
        <w:t>Amortisation</w:t>
      </w:r>
      <w:r w:rsidRPr="000127EF">
        <w:t xml:space="preserve"> – The reduction in the useful economic life of a long term intangible asset, whether arising from time or obsolescence through technological or other changes.</w:t>
      </w:r>
    </w:p>
    <w:p w14:paraId="15ED758F" w14:textId="77777777" w:rsidR="000C6697" w:rsidRPr="000127EF" w:rsidRDefault="000C6697" w:rsidP="000C6697">
      <w:pPr>
        <w:spacing w:after="240"/>
      </w:pPr>
      <w:r w:rsidRPr="000127EF">
        <w:rPr>
          <w:b/>
          <w:i/>
        </w:rPr>
        <w:t>Annual Governance Statement</w:t>
      </w:r>
      <w:r w:rsidRPr="000127EF">
        <w:t xml:space="preserve"> – Identifies the systems that the Council has in place to ensure that its business is conducted in accordance with the law and proper standards and that public money is safeguarded.</w:t>
      </w:r>
    </w:p>
    <w:p w14:paraId="51C3A93E" w14:textId="77777777" w:rsidR="000C6697" w:rsidRPr="000127EF" w:rsidRDefault="000C6697" w:rsidP="000C6697">
      <w:pPr>
        <w:spacing w:after="240"/>
      </w:pPr>
      <w:r w:rsidRPr="000127EF">
        <w:rPr>
          <w:b/>
          <w:i/>
        </w:rPr>
        <w:t>Balance Sheet</w:t>
      </w:r>
      <w:r w:rsidRPr="000127EF">
        <w:t xml:space="preserve"> - Fundamental to the understanding of a local Council’s financial position at the year-end.  It shows the balances and reserves at the Council’s disposal and its long term indebtedness, and the long term and net current assets employed in its operations.</w:t>
      </w:r>
    </w:p>
    <w:p w14:paraId="5A409580" w14:textId="77777777" w:rsidR="000C6697" w:rsidRPr="000127EF" w:rsidRDefault="000C6697" w:rsidP="000C6697">
      <w:pPr>
        <w:spacing w:after="240"/>
      </w:pPr>
      <w:r w:rsidRPr="000127EF">
        <w:rPr>
          <w:b/>
          <w:i/>
        </w:rPr>
        <w:t>Balances</w:t>
      </w:r>
      <w:r w:rsidRPr="000127EF">
        <w:t xml:space="preserve"> – The non-earmarked reserves of a local Council, which are made up of the accumulated surplus of income over expenditure. This is known as the General Fund Balance for all the other services provided by the Council.  Adequate revenue balances are needed to meet unexpected expenditure or a shortfall of income.  A local Council may decide to use its revenue balances to reduce its budget and thus its call on the Collection Fund.</w:t>
      </w:r>
    </w:p>
    <w:p w14:paraId="7AB43181" w14:textId="77777777" w:rsidR="000C6697" w:rsidRPr="000127EF" w:rsidRDefault="000C6697" w:rsidP="000C6697">
      <w:pPr>
        <w:spacing w:after="240"/>
      </w:pPr>
      <w:r w:rsidRPr="000127EF">
        <w:rPr>
          <w:b/>
          <w:i/>
        </w:rPr>
        <w:t>Budget (Medium Term Financial Plan (MTFP))</w:t>
      </w:r>
      <w:r w:rsidRPr="000127EF">
        <w:t xml:space="preserve"> - A statement of a Council's plans for net revenue and capital expenditure over a specified period of time.</w:t>
      </w:r>
    </w:p>
    <w:p w14:paraId="6DDC122E" w14:textId="77777777" w:rsidR="000C6697" w:rsidRPr="000127EF" w:rsidRDefault="000C6697" w:rsidP="000C6697">
      <w:pPr>
        <w:spacing w:after="240"/>
      </w:pPr>
      <w:r w:rsidRPr="000127EF">
        <w:rPr>
          <w:b/>
          <w:i/>
        </w:rPr>
        <w:t>Capital Adjustment Account</w:t>
      </w:r>
      <w:r w:rsidRPr="000127EF">
        <w:t xml:space="preserve"> – This account was created at midnight on 31 March 2007 and its opening balance was made up of the balance on the Fixed Asset Restatement Account (FARA) and the Capital Financing Account.</w:t>
      </w:r>
    </w:p>
    <w:p w14:paraId="2EB25357" w14:textId="77777777" w:rsidR="000C6697" w:rsidRPr="000127EF" w:rsidRDefault="000C6697" w:rsidP="000C6697">
      <w:pPr>
        <w:spacing w:after="240"/>
      </w:pPr>
      <w:r w:rsidRPr="000127EF">
        <w:rPr>
          <w:b/>
          <w:i/>
        </w:rPr>
        <w:t>Capital Charge</w:t>
      </w:r>
      <w:r w:rsidRPr="000127EF">
        <w:t xml:space="preserve"> - A charge to service revenue accounts to reflect the cost of non-current assets used in the provision of their services.</w:t>
      </w:r>
    </w:p>
    <w:p w14:paraId="0A34085A" w14:textId="77777777" w:rsidR="000C6697" w:rsidRPr="000127EF" w:rsidRDefault="000C6697" w:rsidP="000C6697">
      <w:pPr>
        <w:spacing w:after="240"/>
      </w:pPr>
      <w:r w:rsidRPr="000127EF">
        <w:rPr>
          <w:b/>
          <w:i/>
        </w:rPr>
        <w:t>Capital Expenditure</w:t>
      </w:r>
      <w:r w:rsidRPr="000127EF">
        <w:t xml:space="preserve"> - Expenditure on the acquisition or development of major assets which will be of use or benefit to a Council in providing its services beyond the year of account.</w:t>
      </w:r>
    </w:p>
    <w:p w14:paraId="09310CB6" w14:textId="77777777" w:rsidR="000C6697" w:rsidRPr="000127EF" w:rsidRDefault="000C6697" w:rsidP="000C6697">
      <w:pPr>
        <w:spacing w:after="240"/>
      </w:pPr>
      <w:r w:rsidRPr="000127EF">
        <w:rPr>
          <w:b/>
          <w:i/>
        </w:rPr>
        <w:t>Capital Grant</w:t>
      </w:r>
      <w:r w:rsidRPr="000127EF">
        <w:t xml:space="preserve"> - A grant received towards the capital expenditure incurred on a particular service or project.  Capital grants can be made by a Council, for example, to homeowners to meet the cost of improving their houses.</w:t>
      </w:r>
    </w:p>
    <w:p w14:paraId="39C15572" w14:textId="77777777" w:rsidR="000C6697" w:rsidRPr="000127EF" w:rsidRDefault="000C6697" w:rsidP="000C6697">
      <w:pPr>
        <w:spacing w:after="240"/>
      </w:pPr>
      <w:r w:rsidRPr="000127EF">
        <w:rPr>
          <w:b/>
          <w:i/>
        </w:rPr>
        <w:t>Capital Receipts</w:t>
      </w:r>
      <w:r w:rsidRPr="000127EF">
        <w:t xml:space="preserve"> - Proceeds from the sale of non-current assets, e.g. land and buildings.  The proceeds can be used to finance new capital expenditure or repay debt.  It cannot be used to finance revenue expenditure.</w:t>
      </w:r>
    </w:p>
    <w:p w14:paraId="48F7BA26" w14:textId="77777777" w:rsidR="000C6697" w:rsidRPr="000127EF" w:rsidRDefault="000C6697" w:rsidP="000C6697">
      <w:pPr>
        <w:spacing w:after="240"/>
      </w:pPr>
      <w:r w:rsidRPr="000127EF">
        <w:rPr>
          <w:b/>
          <w:i/>
        </w:rPr>
        <w:t>Collection Fund</w:t>
      </w:r>
      <w:r w:rsidRPr="000127EF">
        <w:t xml:space="preserve"> - A statutory fund in which a Council records transactions for Council Tax, National Non-Domestic Rates and residual Community Charges.</w:t>
      </w:r>
    </w:p>
    <w:p w14:paraId="62AD256F" w14:textId="77777777" w:rsidR="000C6697" w:rsidRPr="000127EF" w:rsidRDefault="000C6697" w:rsidP="000C6697">
      <w:pPr>
        <w:spacing w:after="240"/>
      </w:pPr>
      <w:r w:rsidRPr="000127EF">
        <w:rPr>
          <w:b/>
          <w:i/>
        </w:rPr>
        <w:t>Community Assets</w:t>
      </w:r>
      <w:r w:rsidRPr="000127EF">
        <w:t xml:space="preserve"> - Assets that the local Council intends to hold in perpetuity, that have no determinable useful life, and that may have restrictions on their disposal.  Examples of community assets are parks and open spaces.</w:t>
      </w:r>
    </w:p>
    <w:p w14:paraId="2782072A" w14:textId="77777777" w:rsidR="000C6697" w:rsidRPr="000127EF" w:rsidRDefault="000C6697" w:rsidP="000C6697">
      <w:pPr>
        <w:spacing w:after="240"/>
      </w:pPr>
      <w:r w:rsidRPr="000127EF">
        <w:rPr>
          <w:b/>
          <w:i/>
        </w:rPr>
        <w:lastRenderedPageBreak/>
        <w:t>Comprehensive Income and Expenditure Statement</w:t>
      </w:r>
      <w:r w:rsidRPr="000127EF">
        <w:t xml:space="preserve"> - Reports the income and expenditure for all the Council’s services and demonstrates how that cost has been financed from general government grants and income from taxpayers.</w:t>
      </w:r>
    </w:p>
    <w:p w14:paraId="4259A90E" w14:textId="77777777" w:rsidR="000C6697" w:rsidRPr="000127EF" w:rsidRDefault="000C6697" w:rsidP="000C6697">
      <w:pPr>
        <w:spacing w:after="240"/>
      </w:pPr>
      <w:r w:rsidRPr="000127EF">
        <w:rPr>
          <w:b/>
          <w:i/>
        </w:rPr>
        <w:t xml:space="preserve">Council </w:t>
      </w:r>
      <w:r w:rsidRPr="000127EF">
        <w:t xml:space="preserve">– Means ‘Rutland County Council’ specifically.  The Council is a local Council and this term is used in these definitions, and in the Statement of Accounts’, to define any or all Councils. </w:t>
      </w:r>
    </w:p>
    <w:p w14:paraId="04B74CEA" w14:textId="77777777" w:rsidR="000C6697" w:rsidRPr="000127EF" w:rsidRDefault="000C6697" w:rsidP="000C6697">
      <w:pPr>
        <w:spacing w:after="240"/>
      </w:pPr>
      <w:r w:rsidRPr="000127EF">
        <w:rPr>
          <w:b/>
          <w:i/>
        </w:rPr>
        <w:t>Creditor</w:t>
      </w:r>
      <w:r w:rsidRPr="000127EF">
        <w:t xml:space="preserve"> - An amount owed by the Council for work done, goods received or services rendered to the Council within the accounting period but for which payment has not been made.</w:t>
      </w:r>
    </w:p>
    <w:p w14:paraId="070E63C9" w14:textId="77777777" w:rsidR="000C6697" w:rsidRPr="000127EF" w:rsidRDefault="000C6697" w:rsidP="000C6697">
      <w:pPr>
        <w:spacing w:after="240"/>
      </w:pPr>
      <w:r w:rsidRPr="000127EF">
        <w:rPr>
          <w:b/>
          <w:i/>
        </w:rPr>
        <w:t>Current Asset</w:t>
      </w:r>
      <w:r w:rsidRPr="000127EF">
        <w:t xml:space="preserve"> - An asset which can be expected to be consumed or realised during the next accounting period.</w:t>
      </w:r>
    </w:p>
    <w:p w14:paraId="4E16C107" w14:textId="77777777" w:rsidR="000C6697" w:rsidRPr="000127EF" w:rsidRDefault="000C6697" w:rsidP="000C6697">
      <w:pPr>
        <w:spacing w:after="240"/>
      </w:pPr>
      <w:r w:rsidRPr="000127EF">
        <w:rPr>
          <w:b/>
          <w:i/>
        </w:rPr>
        <w:t>Current Liability</w:t>
      </w:r>
      <w:r w:rsidRPr="000127EF">
        <w:t xml:space="preserve"> - An amount which will become payable or could be called in within the next accounting period, e.g. creditor, cash overdrawn.</w:t>
      </w:r>
    </w:p>
    <w:p w14:paraId="59F80D6C" w14:textId="77777777" w:rsidR="000C6697" w:rsidRPr="000127EF" w:rsidRDefault="000C6697" w:rsidP="000C6697">
      <w:pPr>
        <w:spacing w:after="240"/>
      </w:pPr>
      <w:r w:rsidRPr="000127EF">
        <w:rPr>
          <w:b/>
          <w:i/>
        </w:rPr>
        <w:t>Debt Redemption</w:t>
      </w:r>
      <w:r w:rsidRPr="000127EF">
        <w:t xml:space="preserve"> - The repayment of loans raised to finance capital expenditure.</w:t>
      </w:r>
    </w:p>
    <w:p w14:paraId="1C27C6F2" w14:textId="77777777" w:rsidR="000C6697" w:rsidRPr="000127EF" w:rsidRDefault="000C6697" w:rsidP="000C6697">
      <w:pPr>
        <w:spacing w:after="240"/>
      </w:pPr>
      <w:r w:rsidRPr="000127EF">
        <w:rPr>
          <w:b/>
          <w:i/>
        </w:rPr>
        <w:t>Debtor</w:t>
      </w:r>
      <w:r w:rsidRPr="000127EF">
        <w:t xml:space="preserve"> - An amount owed to a local Council within the accounting period, but not received at the Balance Sheet date.</w:t>
      </w:r>
    </w:p>
    <w:p w14:paraId="3D07FC2B" w14:textId="77777777" w:rsidR="000C6697" w:rsidRPr="000127EF" w:rsidRDefault="000C6697" w:rsidP="000C6697">
      <w:pPr>
        <w:spacing w:after="240"/>
      </w:pPr>
      <w:r w:rsidRPr="000127EF">
        <w:rPr>
          <w:b/>
          <w:i/>
        </w:rPr>
        <w:t>Dedicated Schools Grant (DSG)</w:t>
      </w:r>
      <w:r w:rsidRPr="000127EF">
        <w:t xml:space="preserve"> – Grant received from Department for Education to fund schools related expenditure.  </w:t>
      </w:r>
    </w:p>
    <w:p w14:paraId="7661D7AF" w14:textId="521C8F4E" w:rsidR="000C6697" w:rsidRPr="000127EF" w:rsidRDefault="000C6697" w:rsidP="000C6697">
      <w:pPr>
        <w:spacing w:after="240"/>
      </w:pPr>
      <w:r w:rsidRPr="000127EF">
        <w:rPr>
          <w:b/>
          <w:i/>
        </w:rPr>
        <w:t>Deferred Capital Receipts Reserve</w:t>
      </w:r>
      <w:r w:rsidRPr="000127EF">
        <w:t xml:space="preserve"> </w:t>
      </w:r>
      <w:r w:rsidR="00D40DA5" w:rsidRPr="000127EF">
        <w:t>- Holds</w:t>
      </w:r>
      <w:r w:rsidRPr="000127EF">
        <w:t xml:space="preserve"> the gains recognised on the disposal of non-current assets but for which cash settlement has yet to take place.</w:t>
      </w:r>
    </w:p>
    <w:p w14:paraId="229C3B27" w14:textId="77777777" w:rsidR="000C6697" w:rsidRPr="000127EF" w:rsidRDefault="000C6697" w:rsidP="000C6697">
      <w:pPr>
        <w:spacing w:after="240"/>
      </w:pPr>
      <w:r w:rsidRPr="000127EF">
        <w:rPr>
          <w:b/>
          <w:i/>
        </w:rPr>
        <w:t>Depreciation</w:t>
      </w:r>
      <w:r w:rsidRPr="000127EF">
        <w:t xml:space="preserve"> - The measure of the wearing out, consumption or other reduction in the useful economic life of a long term asset, whether arising from use, time or obsolescence through technological or other changes. </w:t>
      </w:r>
    </w:p>
    <w:p w14:paraId="5E961445" w14:textId="77777777" w:rsidR="000C6697" w:rsidRPr="000127EF" w:rsidRDefault="000C6697" w:rsidP="000C6697">
      <w:pPr>
        <w:spacing w:after="240"/>
      </w:pPr>
      <w:r w:rsidRPr="000127EF">
        <w:rPr>
          <w:b/>
          <w:i/>
        </w:rPr>
        <w:t>Derecognition</w:t>
      </w:r>
      <w:r w:rsidRPr="000127EF">
        <w:t xml:space="preserve"> – The term used for the removal of an asset or liability from the balance sheet.</w:t>
      </w:r>
    </w:p>
    <w:p w14:paraId="3E947162" w14:textId="77777777" w:rsidR="000C6697" w:rsidRPr="000127EF" w:rsidRDefault="000C6697" w:rsidP="000C6697">
      <w:pPr>
        <w:spacing w:after="240"/>
      </w:pPr>
      <w:r w:rsidRPr="000127EF">
        <w:rPr>
          <w:b/>
          <w:i/>
        </w:rPr>
        <w:t>Revenue Contribution to Capital Outlay (RCCO)</w:t>
      </w:r>
      <w:r w:rsidRPr="000127EF">
        <w:t xml:space="preserve"> - A contribution to the financing of capital expenditure by a charge to the Comprehensive Income and Expenditure Statement.  This can be used to supplement a local Council's other capital resources.</w:t>
      </w:r>
    </w:p>
    <w:p w14:paraId="5FCEA008" w14:textId="77777777" w:rsidR="000C6697" w:rsidRPr="000127EF" w:rsidRDefault="000C6697" w:rsidP="000C6697">
      <w:pPr>
        <w:spacing w:after="240"/>
      </w:pPr>
      <w:r w:rsidRPr="000127EF">
        <w:rPr>
          <w:b/>
          <w:i/>
        </w:rPr>
        <w:t>Effective Rate of Interest</w:t>
      </w:r>
      <w:r w:rsidRPr="000127EF">
        <w:t xml:space="preserve"> – The rate of interest that will discount the estimated cash flows over the life of a financial instrument to the amount in the balance sheet at initial measurement.</w:t>
      </w:r>
    </w:p>
    <w:p w14:paraId="14DE2E2C" w14:textId="53A8C367" w:rsidR="000C6697" w:rsidRPr="000127EF" w:rsidRDefault="000C6697" w:rsidP="000C6697">
      <w:pPr>
        <w:spacing w:after="240"/>
      </w:pPr>
      <w:r w:rsidRPr="000127EF">
        <w:rPr>
          <w:b/>
          <w:i/>
        </w:rPr>
        <w:t>Equity Instrument</w:t>
      </w:r>
      <w:r w:rsidRPr="000127EF">
        <w:t xml:space="preserve"> – A contract that evidences a residual interest in the assets of an entity after deducting all of its liabilities (</w:t>
      </w:r>
      <w:r w:rsidR="00D40DA5" w:rsidRPr="000127EF">
        <w:t>e.g.</w:t>
      </w:r>
      <w:r w:rsidRPr="000127EF">
        <w:t xml:space="preserve"> an equity share in a company).</w:t>
      </w:r>
    </w:p>
    <w:p w14:paraId="2A9E0A9A" w14:textId="1438E94F" w:rsidR="000C6697" w:rsidRPr="000127EF" w:rsidRDefault="000C6697" w:rsidP="000C6697">
      <w:pPr>
        <w:spacing w:after="240"/>
      </w:pPr>
      <w:r w:rsidRPr="000127EF">
        <w:rPr>
          <w:b/>
          <w:i/>
        </w:rPr>
        <w:t xml:space="preserve">Fair Value </w:t>
      </w:r>
      <w:r w:rsidRPr="000127EF">
        <w:t xml:space="preserve">– The amount for which an asset could be exchanged, or a liability settled, between knowledgeable, willing parties in an </w:t>
      </w:r>
      <w:r w:rsidR="00D40DA5" w:rsidRPr="000127EF">
        <w:t>arm’s length</w:t>
      </w:r>
      <w:r w:rsidRPr="000127EF">
        <w:t xml:space="preserve"> transaction.</w:t>
      </w:r>
    </w:p>
    <w:p w14:paraId="0C098DC4" w14:textId="77777777" w:rsidR="000C6697" w:rsidRPr="000127EF" w:rsidRDefault="000C6697" w:rsidP="000C6697">
      <w:pPr>
        <w:spacing w:after="240"/>
      </w:pPr>
      <w:r w:rsidRPr="000127EF">
        <w:rPr>
          <w:b/>
          <w:i/>
        </w:rPr>
        <w:t>Financing Charges</w:t>
      </w:r>
      <w:r w:rsidRPr="000127EF">
        <w:t xml:space="preserve"> - Annual charges to the Comprehensive Income and Expenditure Statement of a local Council to cover the interest on, and repayment of, loans raised for capital expenditure.</w:t>
      </w:r>
    </w:p>
    <w:p w14:paraId="6590472E" w14:textId="77777777" w:rsidR="000C6697" w:rsidRPr="000127EF" w:rsidRDefault="000C6697" w:rsidP="000C6697">
      <w:pPr>
        <w:spacing w:after="240"/>
      </w:pPr>
      <w:r w:rsidRPr="000127EF">
        <w:rPr>
          <w:b/>
          <w:i/>
        </w:rPr>
        <w:t>Finance Lease</w:t>
      </w:r>
      <w:r w:rsidRPr="000127EF">
        <w:t xml:space="preserve"> - A lease that transfers substantially all of the risks and rewards of ownership of an asset to the lessee.  Such a transfer of risks and rewards may be presumed to occur if at the inception of the lease the present value of the minimum lease payments, including any initial payment, amounts to substantially all of the fair value of the leased asset</w:t>
      </w:r>
    </w:p>
    <w:p w14:paraId="6B07ABA4" w14:textId="77777777" w:rsidR="000C6697" w:rsidRPr="000127EF" w:rsidRDefault="000C6697" w:rsidP="000C6697">
      <w:pPr>
        <w:spacing w:after="240"/>
      </w:pPr>
      <w:r w:rsidRPr="000127EF">
        <w:rPr>
          <w:b/>
          <w:i/>
        </w:rPr>
        <w:t>Financial Asset</w:t>
      </w:r>
      <w:r w:rsidRPr="000127EF">
        <w:t xml:space="preserve"> – A right to future economic benefits controlled by the Council. Examples include bank deposits, investments and loans receivable.</w:t>
      </w:r>
    </w:p>
    <w:p w14:paraId="20509D0E" w14:textId="77777777" w:rsidR="000C6697" w:rsidRPr="000127EF" w:rsidRDefault="000C6697" w:rsidP="000C6697">
      <w:pPr>
        <w:spacing w:after="240"/>
      </w:pPr>
      <w:r w:rsidRPr="000127EF">
        <w:rPr>
          <w:b/>
          <w:i/>
        </w:rPr>
        <w:lastRenderedPageBreak/>
        <w:t>Financial Instrument</w:t>
      </w:r>
      <w:r w:rsidRPr="000127EF">
        <w:t xml:space="preserve"> – Any contract that gives rise to a financial asset of one entity and a financial liability or equity instrument of another.</w:t>
      </w:r>
    </w:p>
    <w:p w14:paraId="4FA5D9E8" w14:textId="77777777" w:rsidR="000C6697" w:rsidRPr="000127EF" w:rsidRDefault="000C6697" w:rsidP="000C6697">
      <w:pPr>
        <w:spacing w:after="240"/>
      </w:pPr>
      <w:r w:rsidRPr="000127EF">
        <w:rPr>
          <w:b/>
          <w:i/>
        </w:rPr>
        <w:t>Financial Instrument Adjustment Account</w:t>
      </w:r>
      <w:r w:rsidRPr="000127EF">
        <w:t xml:space="preserve"> – This is a specific accounting mechanism used to reconcile the different rates at which gains and losses (such as premiums on the early repayment of debt) are recognised under proper accounting practice and are required by statute to be met from the General Fund. </w:t>
      </w:r>
    </w:p>
    <w:p w14:paraId="28A57F7C" w14:textId="77777777" w:rsidR="000C6697" w:rsidRPr="000127EF" w:rsidRDefault="000C6697" w:rsidP="000C6697">
      <w:pPr>
        <w:spacing w:after="240"/>
      </w:pPr>
      <w:r w:rsidRPr="000127EF">
        <w:rPr>
          <w:b/>
          <w:i/>
        </w:rPr>
        <w:t>Financial Liability</w:t>
      </w:r>
      <w:r w:rsidRPr="000127EF">
        <w:t xml:space="preserve"> – An obligation to transfer economic benefits controlled by the Council. Examples include borrowings, financial guarantees and amounts owed to trade creditors.</w:t>
      </w:r>
    </w:p>
    <w:p w14:paraId="70188898" w14:textId="77777777" w:rsidR="000C6697" w:rsidRPr="000127EF" w:rsidRDefault="000C6697" w:rsidP="000C6697">
      <w:pPr>
        <w:spacing w:after="240"/>
      </w:pPr>
      <w:r w:rsidRPr="000127EF">
        <w:rPr>
          <w:b/>
          <w:i/>
        </w:rPr>
        <w:t>Long Term Asset</w:t>
      </w:r>
      <w:r w:rsidRPr="000127EF">
        <w:t xml:space="preserve"> - An asset which has value beyond one financial year</w:t>
      </w:r>
    </w:p>
    <w:p w14:paraId="783D132C" w14:textId="77777777" w:rsidR="000C6697" w:rsidRPr="000127EF" w:rsidRDefault="000C6697" w:rsidP="000C6697">
      <w:pPr>
        <w:spacing w:after="240"/>
      </w:pPr>
      <w:r w:rsidRPr="000127EF">
        <w:rPr>
          <w:b/>
          <w:i/>
        </w:rPr>
        <w:t>General Fund</w:t>
      </w:r>
      <w:r w:rsidRPr="000127EF">
        <w:t xml:space="preserve"> - The main revenue account of a local Council which summarises the cost of all services provided by the Council which are paid for from Council Tax, government grant and other income.</w:t>
      </w:r>
    </w:p>
    <w:p w14:paraId="5A1564D0" w14:textId="77777777" w:rsidR="000C6697" w:rsidRPr="000127EF" w:rsidRDefault="000C6697" w:rsidP="000C6697">
      <w:pPr>
        <w:spacing w:after="240"/>
      </w:pPr>
      <w:r w:rsidRPr="000127EF">
        <w:rPr>
          <w:b/>
          <w:i/>
        </w:rPr>
        <w:t>Government Grants and Subsidies</w:t>
      </w:r>
      <w:r w:rsidRPr="000127EF">
        <w:t xml:space="preserve"> - Grants towards either the revenue or capital cost of local Council services.  These may be either in respect of particular services or purposes, (specific and supplementary grants), or in aid of local services generally e.g. Revenue Support Grant.</w:t>
      </w:r>
    </w:p>
    <w:p w14:paraId="01C953B6" w14:textId="77777777" w:rsidR="000C6697" w:rsidRPr="000127EF" w:rsidRDefault="000C6697" w:rsidP="000C6697">
      <w:pPr>
        <w:spacing w:after="240"/>
      </w:pPr>
      <w:r w:rsidRPr="000127EF">
        <w:rPr>
          <w:b/>
          <w:i/>
        </w:rPr>
        <w:t>Heritage Assets</w:t>
      </w:r>
      <w:r w:rsidRPr="000127EF">
        <w:t xml:space="preserve"> – A tangible asset with historical, artistic, scientific, technological, geophysical or environmental qualities that is held and maintained principally for its contribution to knowledge and culture.</w:t>
      </w:r>
    </w:p>
    <w:p w14:paraId="239D1FEC" w14:textId="77777777" w:rsidR="000C6697" w:rsidRPr="000127EF" w:rsidRDefault="000C6697" w:rsidP="000C6697">
      <w:pPr>
        <w:spacing w:after="240"/>
      </w:pPr>
      <w:r w:rsidRPr="000127EF">
        <w:rPr>
          <w:b/>
          <w:i/>
        </w:rPr>
        <w:t>IAS 19</w:t>
      </w:r>
      <w:r w:rsidRPr="000127EF">
        <w:t xml:space="preserve"> - This is an International Accounting Standard (which replaces Financial Reporting Standard 17) now universally adopted across all sectors (public and private) for the inclusion and reporting of pension costs in Financial Accounts.  It is based on the principle of recognising pension costs in the financial year that they become known rather than the cash transfers made in that year – usually, this means that a higher cost arises.  These (higher) costs are calculated each year by Actuaries who forecast changes in future liabilities and the performance of the Pension Fund in determining any potential shortfall.  In local government, a Pension Reserve has been introduced to absorb this impact so that no additional costs fall on Council Taxpayers until they are actually due.</w:t>
      </w:r>
    </w:p>
    <w:p w14:paraId="5DDE5A0E" w14:textId="77777777" w:rsidR="000C6697" w:rsidRPr="000127EF" w:rsidRDefault="000C6697" w:rsidP="000C6697">
      <w:pPr>
        <w:spacing w:after="240"/>
      </w:pPr>
      <w:r w:rsidRPr="000127EF">
        <w:rPr>
          <w:b/>
          <w:i/>
        </w:rPr>
        <w:t>Impairment</w:t>
      </w:r>
      <w:r w:rsidRPr="000127EF">
        <w:t xml:space="preserve"> – The term used where the estimated recoverable amount from an asset is less than the amortised cost at which the asset is being carried on the balance sheet.</w:t>
      </w:r>
    </w:p>
    <w:p w14:paraId="3631BA35" w14:textId="77777777" w:rsidR="000C6697" w:rsidRPr="000127EF" w:rsidRDefault="000C6697" w:rsidP="000C6697">
      <w:pPr>
        <w:spacing w:after="240"/>
      </w:pPr>
      <w:r w:rsidRPr="000127EF">
        <w:rPr>
          <w:b/>
          <w:i/>
        </w:rPr>
        <w:t>Infrastructure Assets</w:t>
      </w:r>
      <w:r w:rsidRPr="000127EF">
        <w:t xml:space="preserve"> - Assets that are inalienable, ie may not be sold, transferred or assigned to another.  These include facilities required to enable other developments to take place e.g. roads and street lighting.</w:t>
      </w:r>
    </w:p>
    <w:p w14:paraId="2CC1450B" w14:textId="77777777" w:rsidR="000C6697" w:rsidRPr="000127EF" w:rsidRDefault="000C6697" w:rsidP="000C6697">
      <w:pPr>
        <w:spacing w:after="240"/>
      </w:pPr>
      <w:r w:rsidRPr="000127EF">
        <w:rPr>
          <w:b/>
          <w:i/>
        </w:rPr>
        <w:t>Investment Properties</w:t>
      </w:r>
      <w:r w:rsidRPr="000127EF">
        <w:t xml:space="preserve"> – Those properties that are used solely to earn rentals and/or for capital appreciation.</w:t>
      </w:r>
    </w:p>
    <w:p w14:paraId="0D827CE8" w14:textId="77777777" w:rsidR="000C6697" w:rsidRPr="000127EF" w:rsidRDefault="000C6697" w:rsidP="000C6697">
      <w:pPr>
        <w:spacing w:after="240"/>
      </w:pPr>
      <w:r w:rsidRPr="000127EF">
        <w:rPr>
          <w:b/>
          <w:i/>
        </w:rPr>
        <w:t>Loans Outstanding</w:t>
      </w:r>
      <w:r w:rsidRPr="000127EF">
        <w:t xml:space="preserve"> - The total amounts borrowed from external lenders for capital and temporary revenue purposes and not repaid at the Balance Sheet date.</w:t>
      </w:r>
    </w:p>
    <w:p w14:paraId="61FE95D0" w14:textId="77777777" w:rsidR="000C6697" w:rsidRPr="000127EF" w:rsidRDefault="000C6697" w:rsidP="000C6697">
      <w:pPr>
        <w:spacing w:after="240"/>
      </w:pPr>
      <w:r w:rsidRPr="000127EF">
        <w:rPr>
          <w:b/>
          <w:i/>
        </w:rPr>
        <w:t>Local Council</w:t>
      </w:r>
      <w:r w:rsidRPr="000127EF">
        <w:t xml:space="preserve"> – A corporate body, established by statute, to undertake specific local functions.  It is governed by Members (also known as Councillors) who are either elected or appointed.  Peterborough City Council is a ‘local Council’.  In these definitions, the term ‘local Council is used to describe one or all Councils generally.  Sometimes, this is shortened to just ‘Council’. </w:t>
      </w:r>
    </w:p>
    <w:p w14:paraId="7EC63BFA" w14:textId="77777777" w:rsidR="000C6697" w:rsidRPr="000127EF" w:rsidRDefault="000C6697" w:rsidP="000C6697">
      <w:pPr>
        <w:spacing w:after="240"/>
      </w:pPr>
      <w:r w:rsidRPr="000127EF">
        <w:rPr>
          <w:b/>
          <w:i/>
        </w:rPr>
        <w:t>Minimum Lease Payments</w:t>
      </w:r>
      <w:r w:rsidRPr="000127EF">
        <w:t xml:space="preserve"> – Those lease payments that the Council is, or can be, required to make.</w:t>
      </w:r>
    </w:p>
    <w:p w14:paraId="15F7E9D9" w14:textId="77777777" w:rsidR="000C6697" w:rsidRPr="000127EF" w:rsidRDefault="000C6697" w:rsidP="000C6697">
      <w:pPr>
        <w:spacing w:after="240"/>
      </w:pPr>
      <w:r w:rsidRPr="000127EF">
        <w:rPr>
          <w:b/>
          <w:i/>
        </w:rPr>
        <w:t>Minimum Revenue Provision (MRP)</w:t>
      </w:r>
      <w:r w:rsidRPr="000127EF">
        <w:t xml:space="preserve"> - This is the minimum amount which must be charged to a local Council's Comprehensive Income and Expenditure Statement and set aside to repay debt.  It is calculated by charging 4% on all borrowing up to the 1st April 2007 and for any new supported </w:t>
      </w:r>
      <w:r w:rsidRPr="000127EF">
        <w:lastRenderedPageBreak/>
        <w:t>borrowing.  For the remaining unsupported borrowing, MRP is charged in line with the life of the asset for which the borrowing was undertaken.</w:t>
      </w:r>
    </w:p>
    <w:p w14:paraId="62D2DF67" w14:textId="1F310162" w:rsidR="000C6697" w:rsidRPr="000127EF" w:rsidRDefault="000C6697" w:rsidP="000C6697">
      <w:pPr>
        <w:spacing w:after="240"/>
      </w:pPr>
      <w:r w:rsidRPr="000127EF">
        <w:rPr>
          <w:b/>
          <w:i/>
        </w:rPr>
        <w:t>Movement in Reserves Statement</w:t>
      </w:r>
      <w:r w:rsidRPr="000127EF">
        <w:t xml:space="preserve"> – This statement shows the movement in the year on the different reserves held by the Council, analysed into ‘usable reserves’ (</w:t>
      </w:r>
      <w:r w:rsidR="00D40DA5" w:rsidRPr="000127EF">
        <w:t>i.e.</w:t>
      </w:r>
      <w:r w:rsidRPr="000127EF">
        <w:t xml:space="preserve"> those that can be applied to fund expenditure or reduce local taxation) and unusable reserves.</w:t>
      </w:r>
    </w:p>
    <w:p w14:paraId="4ED16DC0" w14:textId="77777777" w:rsidR="000C6697" w:rsidRPr="000127EF" w:rsidRDefault="001B461B" w:rsidP="000C6697">
      <w:pPr>
        <w:spacing w:after="240"/>
      </w:pPr>
      <w:r w:rsidRPr="000127EF">
        <w:rPr>
          <w:b/>
          <w:i/>
        </w:rPr>
        <w:t>Business Rates</w:t>
      </w:r>
      <w:r w:rsidR="000C6697" w:rsidRPr="000127EF">
        <w:rPr>
          <w:b/>
          <w:i/>
        </w:rPr>
        <w:t xml:space="preserve"> (</w:t>
      </w:r>
      <w:r w:rsidRPr="000127EF">
        <w:rPr>
          <w:b/>
          <w:i/>
        </w:rPr>
        <w:t>B</w:t>
      </w:r>
      <w:r w:rsidR="000C6697" w:rsidRPr="000127EF">
        <w:rPr>
          <w:b/>
          <w:i/>
        </w:rPr>
        <w:t>R)</w:t>
      </w:r>
      <w:r w:rsidR="000C6697" w:rsidRPr="000127EF">
        <w:t xml:space="preserve"> - The rates payable by businesses on their properties are calculated by applying a nationally determined multiplier to the rateable value of the property.</w:t>
      </w:r>
    </w:p>
    <w:p w14:paraId="536C37D7" w14:textId="77777777" w:rsidR="000C6697" w:rsidRPr="000127EF" w:rsidRDefault="000C6697" w:rsidP="000C6697">
      <w:pPr>
        <w:spacing w:after="240"/>
      </w:pPr>
      <w:r w:rsidRPr="000127EF">
        <w:rPr>
          <w:b/>
          <w:i/>
        </w:rPr>
        <w:t>Operating Leases</w:t>
      </w:r>
      <w:r w:rsidRPr="000127EF">
        <w:t xml:space="preserve"> - Leases under which the ownership of the asset remains with the lessor.</w:t>
      </w:r>
    </w:p>
    <w:p w14:paraId="79A70BD1" w14:textId="77777777" w:rsidR="000C6697" w:rsidRPr="000127EF" w:rsidRDefault="000C6697" w:rsidP="000C6697">
      <w:pPr>
        <w:spacing w:after="240"/>
      </w:pPr>
      <w:r w:rsidRPr="000127EF">
        <w:rPr>
          <w:b/>
          <w:i/>
        </w:rPr>
        <w:t>Pooling</w:t>
      </w:r>
      <w:r w:rsidRPr="000127EF">
        <w:t xml:space="preserve"> – The term used for the calculation and payment of a proportion of housing capital receipts into a national pool for redistribution.</w:t>
      </w:r>
    </w:p>
    <w:p w14:paraId="187D5387" w14:textId="77777777" w:rsidR="000C6697" w:rsidRPr="000127EF" w:rsidRDefault="000C6697" w:rsidP="000C6697">
      <w:pPr>
        <w:spacing w:after="240"/>
      </w:pPr>
      <w:r w:rsidRPr="000127EF">
        <w:rPr>
          <w:b/>
          <w:i/>
        </w:rPr>
        <w:t>Precept -</w:t>
      </w:r>
      <w:r w:rsidRPr="000127EF">
        <w:t xml:space="preserve"> The amount a local Council, who cannot levy a council tax directly on the public (eg Fire and Police authorities, Parish council), requires it to be collected on its behalf.</w:t>
      </w:r>
    </w:p>
    <w:p w14:paraId="1AFA2C99" w14:textId="77777777" w:rsidR="000C6697" w:rsidRPr="000127EF" w:rsidRDefault="000C6697" w:rsidP="000C6697">
      <w:pPr>
        <w:spacing w:after="240"/>
      </w:pPr>
      <w:r w:rsidRPr="000127EF">
        <w:rPr>
          <w:b/>
          <w:i/>
        </w:rPr>
        <w:t>Provisions</w:t>
      </w:r>
      <w:r w:rsidRPr="000127EF">
        <w:t xml:space="preserve"> - Required for any liabilities of uncertain timing or amount that have been incurred.  Provisions are set aside in the accounts and charged to individual services.  When the relevant expenditure occurs, it is charged direct to the Provision.</w:t>
      </w:r>
    </w:p>
    <w:p w14:paraId="0A8DB929" w14:textId="77777777" w:rsidR="000C6697" w:rsidRPr="000127EF" w:rsidRDefault="000C6697" w:rsidP="000C6697">
      <w:pPr>
        <w:spacing w:after="240"/>
      </w:pPr>
      <w:r w:rsidRPr="000127EF">
        <w:rPr>
          <w:b/>
          <w:i/>
        </w:rPr>
        <w:t>Reserves</w:t>
      </w:r>
      <w:r w:rsidRPr="000127EF">
        <w:t xml:space="preserve"> - Amounts set aside for purposes falling outside the strict definition of provisions are considered as reserves.  Reserves include earmarked reserves set aside for specific projects or service areas, or expected future commitments.</w:t>
      </w:r>
    </w:p>
    <w:p w14:paraId="7A05099F" w14:textId="77777777" w:rsidR="000C6697" w:rsidRPr="000127EF" w:rsidRDefault="000C6697" w:rsidP="000C6697">
      <w:pPr>
        <w:spacing w:after="240"/>
      </w:pPr>
      <w:r w:rsidRPr="000127EF">
        <w:rPr>
          <w:b/>
          <w:i/>
        </w:rPr>
        <w:t>Revaluation Reserve</w:t>
      </w:r>
      <w:r w:rsidRPr="000127EF">
        <w:t xml:space="preserve"> – This account was created on 1 April 2007 and its balance represents the revaluation gains accumulated since 1 April 2007.</w:t>
      </w:r>
    </w:p>
    <w:p w14:paraId="2E4F0DA7" w14:textId="77777777" w:rsidR="000C6697" w:rsidRPr="000127EF" w:rsidRDefault="000C6697" w:rsidP="000C6697">
      <w:pPr>
        <w:spacing w:after="240"/>
      </w:pPr>
      <w:r w:rsidRPr="000127EF">
        <w:rPr>
          <w:b/>
          <w:i/>
        </w:rPr>
        <w:t>Revenue Expenditure</w:t>
      </w:r>
      <w:r w:rsidRPr="000127EF">
        <w:t xml:space="preserve"> - The day-to-day running costs a local Council incurs in providing services (as opposed to capital expenditure).</w:t>
      </w:r>
    </w:p>
    <w:p w14:paraId="29CB80EF" w14:textId="77777777" w:rsidR="000C6697" w:rsidRPr="000127EF" w:rsidRDefault="000C6697" w:rsidP="000C6697">
      <w:pPr>
        <w:spacing w:after="240"/>
      </w:pPr>
      <w:r w:rsidRPr="000127EF">
        <w:rPr>
          <w:b/>
          <w:i/>
        </w:rPr>
        <w:t>Revenue Support Grant (RSG)</w:t>
      </w:r>
      <w:r w:rsidRPr="000127EF">
        <w:t xml:space="preserve"> - A general grant paid by the government and recognised in the General Fund to help finance local Council revenue expenditure.</w:t>
      </w:r>
    </w:p>
    <w:p w14:paraId="7F1E0C50" w14:textId="77777777" w:rsidR="000C6697" w:rsidRPr="000127EF" w:rsidRDefault="000C6697" w:rsidP="000C6697">
      <w:pPr>
        <w:spacing w:after="240"/>
      </w:pPr>
      <w:r w:rsidRPr="000127EF">
        <w:rPr>
          <w:b/>
          <w:i/>
        </w:rPr>
        <w:t>Supported Borrowing</w:t>
      </w:r>
      <w:r w:rsidRPr="000127EF">
        <w:t xml:space="preserve"> – The amount of borrowing assumed by Government in the calculation of their grant payment.</w:t>
      </w:r>
    </w:p>
    <w:p w14:paraId="3ECB61CF" w14:textId="77777777" w:rsidR="000C6697" w:rsidRPr="000127EF" w:rsidRDefault="000C6697" w:rsidP="000C6697">
      <w:pPr>
        <w:spacing w:after="240"/>
      </w:pPr>
      <w:r w:rsidRPr="000127EF">
        <w:rPr>
          <w:b/>
          <w:i/>
        </w:rPr>
        <w:t>Usable Reserves</w:t>
      </w:r>
      <w:r w:rsidRPr="000127EF">
        <w:t xml:space="preserve"> –  Those reserves that can be applied to fund expenditure or reduce local taxation.</w:t>
      </w:r>
    </w:p>
    <w:p w14:paraId="1B7408B6" w14:textId="77777777" w:rsidR="000C6697" w:rsidRPr="000127EF" w:rsidRDefault="000C6697" w:rsidP="000C6697">
      <w:pPr>
        <w:spacing w:after="240"/>
      </w:pPr>
      <w:r w:rsidRPr="000127EF">
        <w:rPr>
          <w:b/>
          <w:i/>
        </w:rPr>
        <w:t>Unusable Reserves</w:t>
      </w:r>
      <w:r w:rsidRPr="000127EF">
        <w:t xml:space="preserve"> – Those reserves that absorb the timing differences arising from different accounting arrangements. </w:t>
      </w:r>
    </w:p>
    <w:p w14:paraId="4D7EDEAC" w14:textId="77777777" w:rsidR="000C6697" w:rsidRPr="000127EF" w:rsidRDefault="000C6697" w:rsidP="000C6697">
      <w:pPr>
        <w:spacing w:after="240"/>
      </w:pPr>
      <w:r w:rsidRPr="000127EF">
        <w:rPr>
          <w:b/>
          <w:i/>
        </w:rPr>
        <w:t>Unsupported / Prudential borrowing</w:t>
      </w:r>
      <w:r w:rsidRPr="000127EF">
        <w:t xml:space="preserve"> – The amount of borrowing for which there is no grant to support its revenue impact.</w:t>
      </w:r>
    </w:p>
    <w:p w14:paraId="0BF11B52" w14:textId="1BEEDE1C" w:rsidR="002372EA" w:rsidRPr="000127EF" w:rsidRDefault="000C6697" w:rsidP="00354499">
      <w:pPr>
        <w:spacing w:after="240"/>
      </w:pPr>
      <w:r w:rsidRPr="000127EF">
        <w:rPr>
          <w:b/>
          <w:i/>
        </w:rPr>
        <w:t>VAT</w:t>
      </w:r>
      <w:r w:rsidR="001B461B" w:rsidRPr="000127EF">
        <w:rPr>
          <w:b/>
          <w:i/>
        </w:rPr>
        <w:t xml:space="preserve"> </w:t>
      </w:r>
      <w:r w:rsidRPr="000127EF">
        <w:t xml:space="preserve">– </w:t>
      </w:r>
      <w:r w:rsidR="001B461B" w:rsidRPr="000127EF">
        <w:t>VAT is an indirect tax levied on most business</w:t>
      </w:r>
      <w:r w:rsidR="00354499" w:rsidRPr="000127EF">
        <w:t xml:space="preserve"> supplies of goods and service</w:t>
      </w:r>
    </w:p>
    <w:p w14:paraId="62DD0407" w14:textId="77777777" w:rsidR="003F2B1F" w:rsidRPr="000127EF" w:rsidRDefault="003F2B1F" w:rsidP="003F2B1F">
      <w:pPr>
        <w:pStyle w:val="MainSoAHeading"/>
        <w:sectPr w:rsidR="003F2B1F" w:rsidRPr="000127EF" w:rsidSect="008C78E8">
          <w:pgSz w:w="11907" w:h="16840" w:code="9"/>
          <w:pgMar w:top="1135" w:right="992" w:bottom="1440" w:left="709" w:header="567" w:footer="851" w:gutter="0"/>
          <w:paperSrc w:first="7" w:other="7"/>
          <w:cols w:space="720"/>
          <w:docGrid w:linePitch="299"/>
        </w:sectPr>
      </w:pPr>
      <w:bookmarkStart w:id="20" w:name="_Toc493689107"/>
    </w:p>
    <w:p w14:paraId="63A42C4A" w14:textId="77777777" w:rsidR="007D0037" w:rsidRPr="000127EF" w:rsidRDefault="007D0037" w:rsidP="007D0037">
      <w:pPr>
        <w:pStyle w:val="MainSoAHeading"/>
      </w:pPr>
      <w:bookmarkStart w:id="21" w:name="_Toc493682120"/>
      <w:bookmarkStart w:id="22" w:name="_Toc54886662"/>
      <w:r w:rsidRPr="000127EF">
        <w:lastRenderedPageBreak/>
        <w:t>Independent Auditor’s Repor</w:t>
      </w:r>
      <w:bookmarkStart w:id="23" w:name="_Toc493682121"/>
      <w:bookmarkEnd w:id="21"/>
      <w:r w:rsidRPr="000127EF">
        <w:t>t</w:t>
      </w:r>
      <w:bookmarkEnd w:id="22"/>
    </w:p>
    <w:p w14:paraId="7534E42E" w14:textId="77777777" w:rsidR="00022CBC" w:rsidRDefault="00661E70" w:rsidP="007D0037">
      <w:pPr>
        <w:rPr>
          <w:rStyle w:val="Emphasis"/>
        </w:rPr>
      </w:pPr>
      <w:r>
        <w:rPr>
          <w:rStyle w:val="Emphasis"/>
        </w:rPr>
        <w:pict w14:anchorId="6F7039D8">
          <v:rect id="_x0000_i1037" style="width:510.3pt;height:2pt" o:hralign="center" o:hrstd="t" o:hrnoshade="t" o:hr="t" fillcolor="#a8d08d [1945]" stroked="f"/>
        </w:pict>
      </w:r>
      <w:bookmarkEnd w:id="23"/>
    </w:p>
    <w:p w14:paraId="69FA54B7" w14:textId="77777777" w:rsidR="00022CBC" w:rsidRDefault="00022CBC" w:rsidP="00022CBC">
      <w:pPr>
        <w:keepNext/>
        <w:spacing w:before="240" w:after="120" w:line="320" w:lineRule="exact"/>
        <w:outlineLvl w:val="1"/>
        <w:rPr>
          <w:rFonts w:cs="Arial"/>
          <w:color w:val="4F2D7F"/>
          <w:kern w:val="32"/>
          <w:sz w:val="26"/>
          <w:szCs w:val="19"/>
        </w:rPr>
      </w:pPr>
      <w:r w:rsidRPr="00022CBC">
        <w:rPr>
          <w:rFonts w:cs="Arial"/>
          <w:color w:val="4F2D7F"/>
          <w:kern w:val="32"/>
          <w:sz w:val="26"/>
          <w:szCs w:val="19"/>
        </w:rPr>
        <w:t>Independent auditor’s report to the members of Rutland County Council</w:t>
      </w:r>
    </w:p>
    <w:p w14:paraId="585BE2F3" w14:textId="4390DB1B" w:rsidR="00022CBC" w:rsidRPr="00022CBC" w:rsidRDefault="00022CBC" w:rsidP="00022CBC">
      <w:pPr>
        <w:keepNext/>
        <w:spacing w:before="240" w:after="120" w:line="320" w:lineRule="exact"/>
        <w:outlineLvl w:val="1"/>
        <w:rPr>
          <w:rFonts w:cs="Arial"/>
          <w:color w:val="4F2D7F"/>
          <w:kern w:val="32"/>
          <w:sz w:val="26"/>
          <w:szCs w:val="19"/>
        </w:rPr>
      </w:pPr>
      <w:r w:rsidRPr="00022CBC">
        <w:rPr>
          <w:rFonts w:cs="Arial"/>
          <w:b/>
          <w:bCs/>
          <w:color w:val="4F2D7F"/>
          <w:kern w:val="32"/>
          <w:sz w:val="24"/>
          <w:szCs w:val="24"/>
        </w:rPr>
        <w:t>Report on the Audit of the Financial Statements</w:t>
      </w:r>
    </w:p>
    <w:p w14:paraId="581E5AE5" w14:textId="77777777" w:rsidR="00022CBC" w:rsidRPr="00022CBC" w:rsidRDefault="00022CBC" w:rsidP="00022CBC">
      <w:pPr>
        <w:keepNext/>
        <w:spacing w:before="240" w:after="120" w:line="240" w:lineRule="atLeast"/>
        <w:outlineLvl w:val="2"/>
        <w:rPr>
          <w:rFonts w:cs="Arial"/>
          <w:b/>
          <w:bCs/>
          <w:color w:val="4F2D7F"/>
          <w:kern w:val="32"/>
          <w:sz w:val="18"/>
          <w:szCs w:val="18"/>
        </w:rPr>
      </w:pPr>
      <w:r w:rsidRPr="00022CBC">
        <w:rPr>
          <w:rFonts w:cs="Arial"/>
          <w:b/>
          <w:bCs/>
          <w:color w:val="4F2D7F"/>
          <w:kern w:val="32"/>
          <w:sz w:val="18"/>
          <w:szCs w:val="18"/>
        </w:rPr>
        <w:t>Opinion</w:t>
      </w:r>
    </w:p>
    <w:p w14:paraId="1F91DC22" w14:textId="77777777" w:rsidR="00022CBC" w:rsidRPr="00022CBC" w:rsidRDefault="00022CBC" w:rsidP="00022CBC">
      <w:pPr>
        <w:spacing w:after="120" w:line="240" w:lineRule="atLeast"/>
        <w:rPr>
          <w:sz w:val="18"/>
          <w:szCs w:val="18"/>
        </w:rPr>
      </w:pPr>
      <w:r w:rsidRPr="00022CBC">
        <w:rPr>
          <w:sz w:val="18"/>
          <w:szCs w:val="18"/>
        </w:rPr>
        <w:t>We have audited the financial statements of Rutland County Council (the ‘Authority’</w:t>
      </w:r>
      <w:r w:rsidRPr="00022CBC">
        <w:rPr>
          <w:rFonts w:cs="Arial"/>
          <w:sz w:val="18"/>
          <w:szCs w:val="18"/>
        </w:rPr>
        <w:t xml:space="preserve">) </w:t>
      </w:r>
      <w:r w:rsidRPr="00022CBC">
        <w:rPr>
          <w:sz w:val="18"/>
          <w:szCs w:val="18"/>
        </w:rPr>
        <w:t>for the year ended 31 March 2020 which comprise the Comprehensive Income and Expenditure Statement, the Movement in Reserves Statement, the Balance Sheet, the Cash Flow Statement, the Collection Fund Statement, notes to the financial statements and a Statement of Accounting Policies. The notes to the financial statements include the EFA, Notes to the Core Statements, and Notes to the Collection Fund Statement. The financial reporting framework that has been applied in their preparation is applicable law and the CIPFA/LASAAC code of practice on local authority accounting in the United Kingdom 2019/20.</w:t>
      </w:r>
    </w:p>
    <w:p w14:paraId="39B6CF21" w14:textId="77777777" w:rsidR="00022CBC" w:rsidRPr="00022CBC" w:rsidRDefault="00022CBC" w:rsidP="00022CBC">
      <w:pPr>
        <w:spacing w:after="120" w:line="240" w:lineRule="atLeast"/>
        <w:rPr>
          <w:sz w:val="18"/>
          <w:szCs w:val="18"/>
        </w:rPr>
      </w:pPr>
      <w:r w:rsidRPr="00022CBC">
        <w:rPr>
          <w:sz w:val="18"/>
          <w:szCs w:val="18"/>
        </w:rPr>
        <w:t>In our opinion, the financial statements:</w:t>
      </w:r>
    </w:p>
    <w:p w14:paraId="35350978" w14:textId="77777777" w:rsidR="00022CBC" w:rsidRPr="00022CBC" w:rsidRDefault="00022CBC" w:rsidP="00022CBC">
      <w:pPr>
        <w:pStyle w:val="ListParagraph"/>
        <w:numPr>
          <w:ilvl w:val="0"/>
          <w:numId w:val="39"/>
        </w:numPr>
        <w:tabs>
          <w:tab w:val="num" w:pos="284"/>
        </w:tabs>
        <w:spacing w:after="120" w:line="240" w:lineRule="atLeast"/>
        <w:rPr>
          <w:sz w:val="18"/>
          <w:szCs w:val="18"/>
        </w:rPr>
      </w:pPr>
      <w:r w:rsidRPr="00022CBC">
        <w:rPr>
          <w:sz w:val="18"/>
          <w:szCs w:val="18"/>
        </w:rPr>
        <w:t xml:space="preserve">give a true and fair view of the financial position of the Authority as at 31 March 2020 and of its expenditure and income for the year then ended; </w:t>
      </w:r>
    </w:p>
    <w:p w14:paraId="4EB90A53" w14:textId="77777777" w:rsidR="00022CBC" w:rsidRPr="00022CBC" w:rsidRDefault="00022CBC" w:rsidP="00022CBC">
      <w:pPr>
        <w:pStyle w:val="ListParagraph"/>
        <w:numPr>
          <w:ilvl w:val="0"/>
          <w:numId w:val="39"/>
        </w:numPr>
        <w:tabs>
          <w:tab w:val="num" w:pos="284"/>
        </w:tabs>
        <w:spacing w:after="120" w:line="240" w:lineRule="atLeast"/>
        <w:rPr>
          <w:sz w:val="18"/>
          <w:szCs w:val="18"/>
        </w:rPr>
      </w:pPr>
      <w:r w:rsidRPr="00022CBC">
        <w:rPr>
          <w:sz w:val="18"/>
          <w:szCs w:val="18"/>
        </w:rPr>
        <w:t xml:space="preserve">have been properly prepared in accordance with the CIPFA/LASAAC code of practice on local authority accounting in the United Kingdom 2019/20; and </w:t>
      </w:r>
    </w:p>
    <w:p w14:paraId="2BCDE1CD" w14:textId="77777777" w:rsidR="00022CBC" w:rsidRPr="00022CBC" w:rsidRDefault="00022CBC" w:rsidP="00022CBC">
      <w:pPr>
        <w:pStyle w:val="ListParagraph"/>
        <w:numPr>
          <w:ilvl w:val="0"/>
          <w:numId w:val="39"/>
        </w:numPr>
        <w:tabs>
          <w:tab w:val="num" w:pos="284"/>
        </w:tabs>
        <w:spacing w:after="120" w:line="240" w:lineRule="atLeast"/>
        <w:rPr>
          <w:sz w:val="18"/>
          <w:szCs w:val="18"/>
        </w:rPr>
      </w:pPr>
      <w:r w:rsidRPr="00022CBC">
        <w:rPr>
          <w:sz w:val="18"/>
          <w:szCs w:val="18"/>
        </w:rPr>
        <w:t>have been prepared in accordance with the requirements of the Local Audit and Accountability Act 2014.</w:t>
      </w:r>
    </w:p>
    <w:p w14:paraId="145C5289" w14:textId="77777777" w:rsidR="00022CBC" w:rsidRPr="00022CBC" w:rsidRDefault="00022CBC" w:rsidP="00022CBC">
      <w:pPr>
        <w:keepNext/>
        <w:spacing w:before="240" w:after="120" w:line="240" w:lineRule="atLeast"/>
        <w:outlineLvl w:val="2"/>
        <w:rPr>
          <w:rFonts w:cs="Arial"/>
          <w:b/>
          <w:bCs/>
          <w:color w:val="4F2D7F"/>
          <w:kern w:val="32"/>
          <w:sz w:val="18"/>
          <w:szCs w:val="18"/>
        </w:rPr>
      </w:pPr>
      <w:r w:rsidRPr="00022CBC">
        <w:rPr>
          <w:rFonts w:cs="Arial"/>
          <w:b/>
          <w:bCs/>
          <w:color w:val="4F2D7F"/>
          <w:kern w:val="32"/>
          <w:sz w:val="18"/>
          <w:szCs w:val="18"/>
        </w:rPr>
        <w:t>Basis for opinion</w:t>
      </w:r>
    </w:p>
    <w:p w14:paraId="34D71C2D" w14:textId="77777777" w:rsidR="00022CBC" w:rsidRPr="00022CBC" w:rsidRDefault="00022CBC" w:rsidP="00022CBC">
      <w:pPr>
        <w:spacing w:after="120" w:line="240" w:lineRule="atLeast"/>
        <w:rPr>
          <w:sz w:val="18"/>
          <w:szCs w:val="18"/>
        </w:rPr>
      </w:pPr>
      <w:r w:rsidRPr="00022CBC">
        <w:rPr>
          <w:sz w:val="18"/>
          <w:szCs w:val="18"/>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are independent of the Authority in accordance with the ethical requirements that are relevant to our audit of the financial statements in the UK, including the FRC’s Ethical Standard, and we have fulfilled our other ethical responsibilities in accordance with these requirements. We believe that the audit evidence we have obtained is sufficient and appropriate to provide a basis for our opinion.</w:t>
      </w:r>
    </w:p>
    <w:p w14:paraId="3B60ABFC" w14:textId="77777777" w:rsidR="00022CBC" w:rsidRPr="00022CBC" w:rsidRDefault="00022CBC" w:rsidP="00022CBC">
      <w:pPr>
        <w:spacing w:before="240" w:after="120" w:line="273" w:lineRule="atLeast"/>
        <w:rPr>
          <w:rFonts w:cs="Arial"/>
          <w:color w:val="7030A0"/>
          <w:sz w:val="18"/>
          <w:szCs w:val="18"/>
          <w:lang w:eastAsia="en-GB"/>
        </w:rPr>
      </w:pPr>
      <w:r w:rsidRPr="00022CBC">
        <w:rPr>
          <w:rFonts w:cs="Arial"/>
          <w:b/>
          <w:bCs/>
          <w:color w:val="7030A0"/>
          <w:sz w:val="18"/>
          <w:szCs w:val="18"/>
          <w:lang w:eastAsia="en-GB"/>
        </w:rPr>
        <w:t xml:space="preserve">The impact of macro-economic uncertainties on our audit </w:t>
      </w:r>
    </w:p>
    <w:p w14:paraId="06B2C0E3" w14:textId="77777777" w:rsidR="00022CBC" w:rsidRPr="00022CBC" w:rsidRDefault="00022CBC" w:rsidP="00022CBC">
      <w:pPr>
        <w:spacing w:after="120" w:line="273" w:lineRule="atLeast"/>
        <w:rPr>
          <w:rFonts w:cs="Arial"/>
          <w:color w:val="000000"/>
          <w:sz w:val="18"/>
          <w:szCs w:val="18"/>
          <w:lang w:eastAsia="en-GB"/>
        </w:rPr>
      </w:pPr>
      <w:r w:rsidRPr="00022CBC">
        <w:rPr>
          <w:rFonts w:cs="Arial"/>
          <w:color w:val="000000"/>
          <w:sz w:val="18"/>
          <w:szCs w:val="18"/>
          <w:lang w:eastAsia="en-GB"/>
        </w:rPr>
        <w:t xml:space="preserve">Our audit of the financial statements requires us to obtain an understanding of all relevant uncertainties, including those arising as a consequence of the effects of macro-economic uncertainties such as Covid-19 and Brexit. All audits assess and challenge the reasonableness of estimates made by the </w:t>
      </w:r>
      <w:r w:rsidRPr="00022CBC">
        <w:rPr>
          <w:rFonts w:cs="Arial"/>
          <w:sz w:val="18"/>
          <w:szCs w:val="18"/>
          <w:lang w:eastAsia="en-GB"/>
        </w:rPr>
        <w:t>Strategic Director for Resources and the related disclosures and the appropriateness of the going conc</w:t>
      </w:r>
      <w:r w:rsidRPr="00022CBC">
        <w:rPr>
          <w:rFonts w:cs="Arial"/>
          <w:color w:val="000000"/>
          <w:sz w:val="18"/>
          <w:szCs w:val="18"/>
          <w:lang w:eastAsia="en-GB"/>
        </w:rPr>
        <w:t>ern basis of preparation of the financial statements. All of these depend on assessments of the future economic environment and the Authority’s future operational arrangements.</w:t>
      </w:r>
    </w:p>
    <w:p w14:paraId="129E6BE1" w14:textId="77777777" w:rsidR="00022CBC" w:rsidRPr="00022CBC" w:rsidRDefault="00022CBC" w:rsidP="00022CBC">
      <w:pPr>
        <w:spacing w:after="120" w:line="273" w:lineRule="atLeast"/>
        <w:rPr>
          <w:rFonts w:cs="Arial"/>
          <w:color w:val="000000"/>
          <w:sz w:val="18"/>
          <w:szCs w:val="18"/>
          <w:lang w:eastAsia="en-GB"/>
        </w:rPr>
      </w:pPr>
      <w:r w:rsidRPr="00022CBC">
        <w:rPr>
          <w:rFonts w:cs="Arial"/>
          <w:color w:val="000000"/>
          <w:sz w:val="18"/>
          <w:szCs w:val="18"/>
          <w:lang w:eastAsia="en-GB"/>
        </w:rPr>
        <w:t>Covid-19 and Brexit are amongst the most significant economic events currently faced by the UK, and at the date of this report their effects are subject to unprecedented levels of uncertainty, with the full range of possible outcomes and their impacts unknown. We applied a standardised firm-wide approach in response to these uncertainties when assessing the Authority’s future operational arrangements. However, no audit should be expected to predict the unknowable factors or all possible future implications for an authority associated with these particular events.</w:t>
      </w:r>
    </w:p>
    <w:p w14:paraId="629D5F0B" w14:textId="77777777" w:rsidR="00022CBC" w:rsidRPr="00022CBC" w:rsidRDefault="00022CBC" w:rsidP="00022CBC">
      <w:pPr>
        <w:keepNext/>
        <w:spacing w:before="240" w:after="120" w:line="240" w:lineRule="atLeast"/>
        <w:outlineLvl w:val="2"/>
        <w:rPr>
          <w:rFonts w:cs="Arial"/>
          <w:b/>
          <w:bCs/>
          <w:iCs/>
          <w:color w:val="4F2D7F"/>
          <w:kern w:val="32"/>
          <w:sz w:val="18"/>
          <w:szCs w:val="18"/>
        </w:rPr>
      </w:pPr>
      <w:r w:rsidRPr="00022CBC">
        <w:rPr>
          <w:rFonts w:cs="Arial"/>
          <w:b/>
          <w:bCs/>
          <w:iCs/>
          <w:color w:val="4F2D7F"/>
          <w:kern w:val="32"/>
          <w:sz w:val="18"/>
          <w:szCs w:val="18"/>
        </w:rPr>
        <w:t>Conclusions relating to going concern</w:t>
      </w:r>
    </w:p>
    <w:p w14:paraId="4A540DB3" w14:textId="77777777" w:rsidR="00022CBC" w:rsidRPr="00022CBC" w:rsidRDefault="00022CBC" w:rsidP="00022CBC">
      <w:pPr>
        <w:spacing w:after="120" w:line="240" w:lineRule="atLeast"/>
        <w:rPr>
          <w:sz w:val="18"/>
          <w:szCs w:val="18"/>
        </w:rPr>
      </w:pPr>
      <w:r w:rsidRPr="00022CBC">
        <w:rPr>
          <w:sz w:val="18"/>
          <w:szCs w:val="18"/>
        </w:rPr>
        <w:t>We have nothing to report in respect of the following matters in relation to which the ISAs (UK) require us to report to you where:</w:t>
      </w:r>
    </w:p>
    <w:p w14:paraId="159E6AAA" w14:textId="77777777" w:rsidR="00022CBC" w:rsidRPr="00022CBC" w:rsidRDefault="00022CBC" w:rsidP="00022CBC">
      <w:pPr>
        <w:pStyle w:val="ListParagraph"/>
        <w:numPr>
          <w:ilvl w:val="0"/>
          <w:numId w:val="40"/>
        </w:numPr>
        <w:tabs>
          <w:tab w:val="num" w:pos="284"/>
        </w:tabs>
        <w:spacing w:after="120" w:line="240" w:lineRule="atLeast"/>
        <w:rPr>
          <w:sz w:val="18"/>
          <w:szCs w:val="18"/>
        </w:rPr>
      </w:pPr>
      <w:r w:rsidRPr="00022CBC">
        <w:rPr>
          <w:sz w:val="18"/>
          <w:szCs w:val="18"/>
        </w:rPr>
        <w:t xml:space="preserve">the </w:t>
      </w:r>
      <w:r w:rsidRPr="00022CBC">
        <w:rPr>
          <w:rFonts w:cs="Arial"/>
          <w:sz w:val="18"/>
          <w:szCs w:val="18"/>
        </w:rPr>
        <w:t>Strategic Director for Resources</w:t>
      </w:r>
      <w:r w:rsidRPr="00022CBC">
        <w:rPr>
          <w:sz w:val="18"/>
          <w:szCs w:val="18"/>
        </w:rPr>
        <w:t xml:space="preserve"> use of the going concern basis of accounting in the preparation of the financial statements is not appropriate; or</w:t>
      </w:r>
    </w:p>
    <w:p w14:paraId="796EBF0A" w14:textId="77777777" w:rsidR="00022CBC" w:rsidRPr="00022CBC" w:rsidRDefault="00022CBC" w:rsidP="00022CBC">
      <w:pPr>
        <w:pStyle w:val="ListParagraph"/>
        <w:numPr>
          <w:ilvl w:val="0"/>
          <w:numId w:val="40"/>
        </w:numPr>
        <w:tabs>
          <w:tab w:val="num" w:pos="284"/>
        </w:tabs>
        <w:spacing w:after="120" w:line="240" w:lineRule="atLeast"/>
        <w:rPr>
          <w:sz w:val="18"/>
          <w:szCs w:val="18"/>
        </w:rPr>
      </w:pPr>
      <w:r w:rsidRPr="00022CBC">
        <w:rPr>
          <w:sz w:val="18"/>
          <w:szCs w:val="18"/>
        </w:rPr>
        <w:t xml:space="preserve">the </w:t>
      </w:r>
      <w:r w:rsidRPr="00022CBC">
        <w:rPr>
          <w:rFonts w:cs="Arial"/>
          <w:sz w:val="18"/>
          <w:szCs w:val="18"/>
        </w:rPr>
        <w:t xml:space="preserve">Strategic Director for Resources </w:t>
      </w:r>
      <w:r w:rsidRPr="00022CBC">
        <w:rPr>
          <w:sz w:val="18"/>
          <w:szCs w:val="18"/>
        </w:rPr>
        <w:t>has not disclosed in the financial statements any identified material uncertainties that may cast significant doubt about the Authority’s ability to continue to adopt the going concern basis of accounting for a period of at least twelve months from the date when the financial statements are authorised for issue.</w:t>
      </w:r>
    </w:p>
    <w:p w14:paraId="28A3E72F" w14:textId="77777777" w:rsidR="00022CBC" w:rsidRPr="00022CBC" w:rsidRDefault="00022CBC" w:rsidP="00022CBC">
      <w:pPr>
        <w:spacing w:after="120" w:line="273" w:lineRule="atLeast"/>
        <w:rPr>
          <w:rFonts w:cs="Arial"/>
          <w:color w:val="000000"/>
          <w:sz w:val="18"/>
          <w:szCs w:val="18"/>
          <w:lang w:eastAsia="en-GB"/>
        </w:rPr>
      </w:pPr>
      <w:r w:rsidRPr="00022CBC">
        <w:rPr>
          <w:rFonts w:cs="Arial"/>
          <w:color w:val="000000"/>
          <w:sz w:val="18"/>
          <w:szCs w:val="18"/>
          <w:lang w:eastAsia="en-GB"/>
        </w:rPr>
        <w:t xml:space="preserve">In our evaluation of the </w:t>
      </w:r>
      <w:r w:rsidRPr="00022CBC">
        <w:rPr>
          <w:rFonts w:cs="Arial"/>
          <w:sz w:val="18"/>
          <w:szCs w:val="18"/>
          <w:lang w:eastAsia="en-GB"/>
        </w:rPr>
        <w:t>Strategic Director for Resources’ conclusions</w:t>
      </w:r>
      <w:r w:rsidRPr="00022CBC">
        <w:rPr>
          <w:rFonts w:cs="Arial"/>
          <w:color w:val="000000"/>
          <w:sz w:val="18"/>
          <w:szCs w:val="18"/>
          <w:lang w:eastAsia="en-GB"/>
        </w:rPr>
        <w:t xml:space="preserve">, and in accordance with the expectation set out within the </w:t>
      </w:r>
      <w:r w:rsidRPr="00022CBC">
        <w:rPr>
          <w:rFonts w:cs="Arial"/>
          <w:sz w:val="18"/>
          <w:szCs w:val="18"/>
        </w:rPr>
        <w:t xml:space="preserve">CIPFA/LASAAC code of practice on local authority accounting in the United Kingdom 2019/20 that the Authority’s financial statements shall be prepared on a going concern basis, </w:t>
      </w:r>
      <w:r w:rsidRPr="00022CBC">
        <w:rPr>
          <w:rFonts w:cs="Arial"/>
          <w:color w:val="000000"/>
          <w:sz w:val="18"/>
          <w:szCs w:val="18"/>
          <w:lang w:eastAsia="en-GB"/>
        </w:rPr>
        <w:t xml:space="preserve">we considered the risks associated with the Authority’s operating </w:t>
      </w:r>
      <w:r w:rsidRPr="00022CBC">
        <w:rPr>
          <w:rFonts w:cs="Arial"/>
          <w:color w:val="000000"/>
          <w:sz w:val="18"/>
          <w:szCs w:val="18"/>
          <w:lang w:eastAsia="en-GB"/>
        </w:rPr>
        <w:lastRenderedPageBreak/>
        <w:t>activities, including effects arising from macro-economic uncertainties such as Covid-19 and Brexit. We analysed how those risks might affect the Authority’s financial resources or ability to continue operations over the period of at least twelve months from the date when the financial statements are authorised for issue. In accordance with the above, we have nothing to report in these respects. </w:t>
      </w:r>
    </w:p>
    <w:p w14:paraId="32E8B5FD" w14:textId="77777777" w:rsidR="00022CBC" w:rsidRPr="00022CBC" w:rsidRDefault="00022CBC" w:rsidP="00022CBC">
      <w:pPr>
        <w:spacing w:after="120" w:line="273" w:lineRule="atLeast"/>
        <w:rPr>
          <w:rFonts w:cs="Arial"/>
          <w:color w:val="000000"/>
          <w:sz w:val="18"/>
          <w:szCs w:val="18"/>
          <w:lang w:eastAsia="en-GB"/>
        </w:rPr>
      </w:pPr>
      <w:r w:rsidRPr="00022CBC">
        <w:rPr>
          <w:rFonts w:cs="Arial"/>
          <w:color w:val="000000"/>
          <w:sz w:val="18"/>
          <w:szCs w:val="18"/>
          <w:lang w:eastAsia="en-GB"/>
        </w:rPr>
        <w:t>However, as we cannot predict all future events or conditions and as subsequent events may result in outcomes that are inconsistent with judgements that were reasonable at the time they were made, the absence of reference to a material uncertainty in this auditor's report is not a guarantee that the Authority will continue in operation.</w:t>
      </w:r>
    </w:p>
    <w:p w14:paraId="249A826E" w14:textId="77777777" w:rsidR="00022CBC" w:rsidRPr="00022CBC" w:rsidRDefault="00022CBC" w:rsidP="00022CBC">
      <w:pPr>
        <w:spacing w:before="240" w:after="120"/>
        <w:rPr>
          <w:rFonts w:cs="Arial"/>
          <w:b/>
          <w:bCs/>
          <w:color w:val="FF0000"/>
          <w:sz w:val="18"/>
          <w:szCs w:val="18"/>
          <w:lang w:eastAsia="en-GB"/>
        </w:rPr>
      </w:pPr>
      <w:bookmarkStart w:id="24" w:name="_Hlk45016884"/>
      <w:r w:rsidRPr="00022CBC">
        <w:rPr>
          <w:rFonts w:cs="Arial"/>
          <w:b/>
          <w:bCs/>
          <w:color w:val="7030A0"/>
          <w:sz w:val="18"/>
          <w:szCs w:val="18"/>
          <w:lang w:eastAsia="en-GB"/>
        </w:rPr>
        <w:t xml:space="preserve">Emphasis of Matter </w:t>
      </w:r>
      <w:bookmarkStart w:id="25" w:name="_Hlk39732987"/>
      <w:r w:rsidRPr="00022CBC">
        <w:rPr>
          <w:rFonts w:cs="Arial"/>
          <w:b/>
          <w:bCs/>
          <w:color w:val="7030A0"/>
          <w:sz w:val="18"/>
          <w:szCs w:val="18"/>
          <w:lang w:eastAsia="en-GB"/>
        </w:rPr>
        <w:t>– effects of Covid-19 on the valuation of land and buildings and property investments</w:t>
      </w:r>
      <w:bookmarkEnd w:id="25"/>
    </w:p>
    <w:bookmarkEnd w:id="24"/>
    <w:p w14:paraId="568A6F6E" w14:textId="77777777" w:rsidR="00022CBC" w:rsidRPr="00022CBC" w:rsidRDefault="00022CBC" w:rsidP="00022CBC">
      <w:pPr>
        <w:autoSpaceDE w:val="0"/>
        <w:autoSpaceDN w:val="0"/>
        <w:adjustRightInd w:val="0"/>
        <w:rPr>
          <w:rFonts w:cs="Arial"/>
          <w:sz w:val="18"/>
          <w:szCs w:val="18"/>
        </w:rPr>
      </w:pPr>
      <w:r w:rsidRPr="00022CBC">
        <w:rPr>
          <w:rFonts w:cs="Arial"/>
          <w:color w:val="444444"/>
          <w:sz w:val="18"/>
          <w:szCs w:val="18"/>
          <w:lang w:eastAsia="en-GB"/>
        </w:rPr>
        <w:t xml:space="preserve">We draw attention to </w:t>
      </w:r>
      <w:r w:rsidRPr="00022CBC">
        <w:rPr>
          <w:rFonts w:cs="Arial"/>
          <w:sz w:val="18"/>
          <w:szCs w:val="18"/>
          <w:lang w:eastAsia="en-GB"/>
        </w:rPr>
        <w:t xml:space="preserve">Note 38 of the financial statements, which describes the effects of the Covid-19 pandemic on the valuation of the Authority’s land and buildings and the Authority’s share of the pension fund’s property investments as at 31 March 2020. </w:t>
      </w:r>
      <w:r w:rsidRPr="00022CBC">
        <w:rPr>
          <w:rFonts w:cs="Arial"/>
          <w:sz w:val="18"/>
          <w:szCs w:val="18"/>
        </w:rPr>
        <w:t xml:space="preserve">As, disclosed in note 38 to the financial statements, the outbreak of Covid-19 has impacted global financial markets and market activity has been impacted. A material valuation uncertainty was therefore disclosed in both the Authority’s </w:t>
      </w:r>
      <w:r w:rsidRPr="00022CBC">
        <w:rPr>
          <w:rFonts w:cs="Arial"/>
          <w:color w:val="000000"/>
          <w:sz w:val="18"/>
          <w:szCs w:val="18"/>
        </w:rPr>
        <w:t xml:space="preserve">property valuer’s report and the pension fund’s property valuation reports. </w:t>
      </w:r>
      <w:r w:rsidRPr="00022CBC">
        <w:rPr>
          <w:rFonts w:cs="Arial"/>
          <w:sz w:val="18"/>
          <w:szCs w:val="18"/>
        </w:rPr>
        <w:t>Our opinion is not modified in respect of this matter.</w:t>
      </w:r>
    </w:p>
    <w:p w14:paraId="17E1B504" w14:textId="77777777" w:rsidR="00022CBC" w:rsidRPr="00022CBC" w:rsidRDefault="00022CBC" w:rsidP="00022CBC">
      <w:pPr>
        <w:keepNext/>
        <w:spacing w:before="240" w:after="120" w:line="240" w:lineRule="atLeast"/>
        <w:outlineLvl w:val="2"/>
        <w:rPr>
          <w:rFonts w:cs="Arial"/>
          <w:b/>
          <w:bCs/>
          <w:color w:val="4F2D7F"/>
          <w:kern w:val="32"/>
          <w:sz w:val="18"/>
          <w:szCs w:val="18"/>
        </w:rPr>
      </w:pPr>
      <w:r w:rsidRPr="00022CBC">
        <w:rPr>
          <w:rFonts w:cs="Arial"/>
          <w:b/>
          <w:bCs/>
          <w:color w:val="4F2D7F"/>
          <w:kern w:val="32"/>
          <w:sz w:val="18"/>
          <w:szCs w:val="18"/>
        </w:rPr>
        <w:t>Other information</w:t>
      </w:r>
    </w:p>
    <w:p w14:paraId="48EA1D10" w14:textId="77777777" w:rsidR="00022CBC" w:rsidRPr="00022CBC" w:rsidRDefault="00022CBC" w:rsidP="00022CBC">
      <w:pPr>
        <w:spacing w:after="120" w:line="240" w:lineRule="atLeast"/>
        <w:rPr>
          <w:sz w:val="18"/>
          <w:szCs w:val="18"/>
        </w:rPr>
      </w:pPr>
      <w:bookmarkStart w:id="26" w:name="_Hlk529455664"/>
      <w:r w:rsidRPr="00022CBC">
        <w:rPr>
          <w:sz w:val="18"/>
          <w:szCs w:val="18"/>
        </w:rPr>
        <w:t xml:space="preserve">The </w:t>
      </w:r>
      <w:r w:rsidRPr="00022CBC">
        <w:rPr>
          <w:rFonts w:cs="Arial"/>
          <w:sz w:val="18"/>
          <w:szCs w:val="18"/>
          <w:lang w:eastAsia="en-GB"/>
        </w:rPr>
        <w:t xml:space="preserve">Strategic Director for Resources </w:t>
      </w:r>
      <w:r w:rsidRPr="00022CBC">
        <w:rPr>
          <w:sz w:val="18"/>
          <w:szCs w:val="18"/>
        </w:rPr>
        <w:t>is responsible for the other information. The other information comprises the information included in the Statement of Accounts,</w:t>
      </w:r>
      <w:r w:rsidRPr="00022CBC">
        <w:rPr>
          <w:b/>
          <w:sz w:val="18"/>
          <w:szCs w:val="18"/>
        </w:rPr>
        <w:t xml:space="preserve"> </w:t>
      </w:r>
      <w:r w:rsidRPr="00022CBC">
        <w:rPr>
          <w:sz w:val="18"/>
          <w:szCs w:val="18"/>
        </w:rPr>
        <w:t xml:space="preserve">the Narrative Report and the Annual Governance Statement, other than the financial statements and, our auditor’s report thereon. Our opinion on the financial statements does not cover the other information and, except to the extent otherwise explicitly stated in our report, we do not express any form of assurance conclusion thereon. </w:t>
      </w:r>
    </w:p>
    <w:p w14:paraId="5869DB02" w14:textId="77777777" w:rsidR="00022CBC" w:rsidRPr="00022CBC" w:rsidRDefault="00022CBC" w:rsidP="00022CBC">
      <w:pPr>
        <w:spacing w:after="120" w:line="240" w:lineRule="atLeast"/>
        <w:rPr>
          <w:sz w:val="18"/>
          <w:szCs w:val="18"/>
        </w:rPr>
      </w:pPr>
      <w:r w:rsidRPr="00022CBC">
        <w:rPr>
          <w:sz w:val="18"/>
          <w:szCs w:val="18"/>
        </w:rPr>
        <w:t>In connection with our audit of the financial statements, our responsibility is to read the other information and, in doing so, consider whether the other information is materially inconsistent with the financial statements or our knowledge of the Authority obtained in the audit or otherwise appears to be materially misstated. If we identify such material inconsistencies or apparent material misstatements, we are required to determine whether there is a material misstatement in the financial statements or a material misstatement of the other information. If, based on the work we have performed, we conclude that there is a material misstatement of this other information, we are required to report that fact.</w:t>
      </w:r>
    </w:p>
    <w:p w14:paraId="7003C0A7" w14:textId="77777777" w:rsidR="00022CBC" w:rsidRPr="00022CBC" w:rsidRDefault="00022CBC" w:rsidP="00022CBC">
      <w:pPr>
        <w:spacing w:after="120" w:line="240" w:lineRule="atLeast"/>
        <w:rPr>
          <w:sz w:val="18"/>
          <w:szCs w:val="18"/>
        </w:rPr>
      </w:pPr>
      <w:r w:rsidRPr="00022CBC">
        <w:rPr>
          <w:sz w:val="18"/>
          <w:szCs w:val="18"/>
        </w:rPr>
        <w:t>We have nothing to report in this regard.</w:t>
      </w:r>
    </w:p>
    <w:bookmarkEnd w:id="26"/>
    <w:p w14:paraId="5B02BA35" w14:textId="77777777" w:rsidR="00022CBC" w:rsidRPr="00022CBC" w:rsidRDefault="00022CBC" w:rsidP="00022CBC">
      <w:pPr>
        <w:keepNext/>
        <w:spacing w:before="240" w:after="120" w:line="240" w:lineRule="atLeast"/>
        <w:outlineLvl w:val="2"/>
        <w:rPr>
          <w:rFonts w:cs="Arial"/>
          <w:b/>
          <w:bCs/>
          <w:color w:val="4F2D7F"/>
          <w:kern w:val="32"/>
          <w:sz w:val="18"/>
          <w:szCs w:val="18"/>
        </w:rPr>
      </w:pPr>
      <w:r w:rsidRPr="00022CBC">
        <w:rPr>
          <w:rFonts w:cs="Arial"/>
          <w:b/>
          <w:bCs/>
          <w:color w:val="4F2D7F"/>
          <w:kern w:val="32"/>
          <w:sz w:val="18"/>
          <w:szCs w:val="18"/>
        </w:rPr>
        <w:t>Other information we are required to report on by exception under the Code of Audit Practice</w:t>
      </w:r>
    </w:p>
    <w:p w14:paraId="12AE60B1" w14:textId="77777777" w:rsidR="00022CBC" w:rsidRPr="00022CBC" w:rsidRDefault="00022CBC" w:rsidP="00022CBC">
      <w:pPr>
        <w:spacing w:after="120" w:line="240" w:lineRule="atLeast"/>
        <w:rPr>
          <w:sz w:val="18"/>
          <w:szCs w:val="18"/>
        </w:rPr>
      </w:pPr>
      <w:r w:rsidRPr="00022CBC">
        <w:rPr>
          <w:sz w:val="18"/>
          <w:szCs w:val="18"/>
        </w:rPr>
        <w:t xml:space="preserve">Under the Code of Audit Practice published by the National Audit Office on behalf of the Comptroller and Auditor General (the Code of Audit Practice) we are required to consider whether the Annual Governance Statement does not comply with the ‘delivering good governance in Local Government Framework 2016 Edition’ published by CIPFA and SOLACE or is misleading or inconsistent with the information of which we are aware from our audit. We are not required to consider whether the Annual Governance Statement addresses all risks and controls or that risks are satisfactorily addressed by internal controls. </w:t>
      </w:r>
    </w:p>
    <w:p w14:paraId="46C02D2F" w14:textId="77777777" w:rsidR="00022CBC" w:rsidRPr="00022CBC" w:rsidRDefault="00022CBC" w:rsidP="00022CBC">
      <w:pPr>
        <w:spacing w:after="120" w:line="240" w:lineRule="atLeast"/>
        <w:rPr>
          <w:sz w:val="18"/>
          <w:szCs w:val="18"/>
        </w:rPr>
      </w:pPr>
      <w:r w:rsidRPr="00022CBC">
        <w:rPr>
          <w:sz w:val="18"/>
          <w:szCs w:val="18"/>
        </w:rPr>
        <w:t>We have nothing to report in this regard.</w:t>
      </w:r>
    </w:p>
    <w:p w14:paraId="55923778" w14:textId="77777777" w:rsidR="00022CBC" w:rsidRPr="00022CBC" w:rsidRDefault="00022CBC" w:rsidP="00022CBC">
      <w:pPr>
        <w:keepNext/>
        <w:spacing w:before="240" w:after="120" w:line="240" w:lineRule="atLeast"/>
        <w:outlineLvl w:val="2"/>
        <w:rPr>
          <w:rFonts w:cs="Arial"/>
          <w:b/>
          <w:bCs/>
          <w:color w:val="4F2D7F"/>
          <w:kern w:val="32"/>
          <w:sz w:val="18"/>
          <w:szCs w:val="18"/>
        </w:rPr>
      </w:pPr>
      <w:r w:rsidRPr="00022CBC">
        <w:rPr>
          <w:rFonts w:cs="Arial"/>
          <w:b/>
          <w:bCs/>
          <w:color w:val="4F2D7F"/>
          <w:kern w:val="32"/>
          <w:sz w:val="18"/>
          <w:szCs w:val="18"/>
        </w:rPr>
        <w:t>Opinion on other matter required by the Code of Audit Practice</w:t>
      </w:r>
    </w:p>
    <w:p w14:paraId="6566D6CD" w14:textId="77777777" w:rsidR="00022CBC" w:rsidRPr="00022CBC" w:rsidRDefault="00022CBC" w:rsidP="00022CBC">
      <w:pPr>
        <w:spacing w:after="120" w:line="240" w:lineRule="atLeast"/>
        <w:rPr>
          <w:sz w:val="18"/>
          <w:szCs w:val="18"/>
        </w:rPr>
      </w:pPr>
      <w:r w:rsidRPr="00022CBC">
        <w:rPr>
          <w:sz w:val="18"/>
          <w:szCs w:val="18"/>
        </w:rPr>
        <w:t>In our opinion, based on the work undertaken in the course of the audit of the financial statements and our knowledge of the Authority gained through our work in relation to the Authority’s arrangements for securing economy, efficiency and effectiveness in its use of resources, the other information published together with the financial statements in the Statement of Accounts, the Narrative Report and the Annual Governance Statement for the financial year for which the financial statements are prepared is consistent with the financial statements.</w:t>
      </w:r>
    </w:p>
    <w:p w14:paraId="354B5901" w14:textId="77777777" w:rsidR="00022CBC" w:rsidRPr="00022CBC" w:rsidRDefault="00022CBC" w:rsidP="00022CBC">
      <w:pPr>
        <w:keepNext/>
        <w:spacing w:before="240" w:after="120" w:line="240" w:lineRule="atLeast"/>
        <w:outlineLvl w:val="2"/>
        <w:rPr>
          <w:rFonts w:cs="Arial"/>
          <w:b/>
          <w:bCs/>
          <w:color w:val="4F2D7F"/>
          <w:kern w:val="32"/>
          <w:sz w:val="18"/>
          <w:szCs w:val="18"/>
        </w:rPr>
      </w:pPr>
      <w:r w:rsidRPr="00022CBC">
        <w:rPr>
          <w:rFonts w:cs="Arial"/>
          <w:b/>
          <w:bCs/>
          <w:color w:val="4F2D7F"/>
          <w:kern w:val="32"/>
          <w:sz w:val="18"/>
          <w:szCs w:val="18"/>
        </w:rPr>
        <w:t>Matters on which we are required to report by exception</w:t>
      </w:r>
    </w:p>
    <w:p w14:paraId="26A24FBC" w14:textId="77777777" w:rsidR="00022CBC" w:rsidRPr="00022CBC" w:rsidRDefault="00022CBC" w:rsidP="00022CBC">
      <w:pPr>
        <w:spacing w:after="120" w:line="240" w:lineRule="atLeast"/>
        <w:rPr>
          <w:iCs/>
          <w:sz w:val="18"/>
          <w:szCs w:val="18"/>
        </w:rPr>
      </w:pPr>
      <w:r w:rsidRPr="00022CBC">
        <w:rPr>
          <w:iCs/>
          <w:sz w:val="18"/>
          <w:szCs w:val="18"/>
        </w:rPr>
        <w:t>Under the Code of Audit Practice, we are required to report to you if:</w:t>
      </w:r>
    </w:p>
    <w:p w14:paraId="3BD9A701" w14:textId="77777777" w:rsidR="00022CBC" w:rsidRPr="00022CBC" w:rsidRDefault="00022CBC" w:rsidP="00022CBC">
      <w:pPr>
        <w:pStyle w:val="ListParagraph"/>
        <w:numPr>
          <w:ilvl w:val="0"/>
          <w:numId w:val="41"/>
        </w:numPr>
        <w:tabs>
          <w:tab w:val="num" w:pos="284"/>
        </w:tabs>
        <w:spacing w:after="120" w:line="240" w:lineRule="atLeast"/>
        <w:rPr>
          <w:sz w:val="18"/>
          <w:szCs w:val="18"/>
        </w:rPr>
      </w:pPr>
      <w:r w:rsidRPr="00022CBC">
        <w:rPr>
          <w:sz w:val="18"/>
          <w:szCs w:val="18"/>
        </w:rPr>
        <w:t>we issue a report in the public interest under section 24 of the Local Audit and Accountability Act 2014 in the course of, or at the conclusion of the audit; or</w:t>
      </w:r>
    </w:p>
    <w:p w14:paraId="27E8A4AF" w14:textId="77777777" w:rsidR="00022CBC" w:rsidRPr="00022CBC" w:rsidRDefault="00022CBC" w:rsidP="00022CBC">
      <w:pPr>
        <w:pStyle w:val="ListParagraph"/>
        <w:numPr>
          <w:ilvl w:val="0"/>
          <w:numId w:val="41"/>
        </w:numPr>
        <w:tabs>
          <w:tab w:val="num" w:pos="284"/>
        </w:tabs>
        <w:spacing w:after="120" w:line="240" w:lineRule="atLeast"/>
        <w:rPr>
          <w:sz w:val="18"/>
          <w:szCs w:val="18"/>
        </w:rPr>
      </w:pPr>
      <w:r w:rsidRPr="00022CBC">
        <w:rPr>
          <w:sz w:val="18"/>
          <w:szCs w:val="18"/>
        </w:rPr>
        <w:t>we make a written recommendation to the Authority under section 24 of the Local Audit and Accountability Act 2014 in the course of, or at the conclusion of the audit; or</w:t>
      </w:r>
    </w:p>
    <w:p w14:paraId="2302A6D1" w14:textId="77777777" w:rsidR="00022CBC" w:rsidRPr="00022CBC" w:rsidRDefault="00022CBC" w:rsidP="00022CBC">
      <w:pPr>
        <w:pStyle w:val="ListParagraph"/>
        <w:numPr>
          <w:ilvl w:val="0"/>
          <w:numId w:val="41"/>
        </w:numPr>
        <w:tabs>
          <w:tab w:val="num" w:pos="284"/>
        </w:tabs>
        <w:spacing w:after="120" w:line="240" w:lineRule="atLeast"/>
        <w:rPr>
          <w:sz w:val="18"/>
          <w:szCs w:val="18"/>
        </w:rPr>
      </w:pPr>
      <w:r w:rsidRPr="00022CBC">
        <w:rPr>
          <w:sz w:val="18"/>
          <w:szCs w:val="18"/>
        </w:rPr>
        <w:t xml:space="preserve">we make an application to the court for a declaration that an item of account is contrary to law under Section 28 of the Local Audit and Accountability Act 2014 in the course of, or at the conclusion of the audit; or; </w:t>
      </w:r>
    </w:p>
    <w:p w14:paraId="37C66037" w14:textId="77777777" w:rsidR="00022CBC" w:rsidRPr="00022CBC" w:rsidRDefault="00022CBC" w:rsidP="00022CBC">
      <w:pPr>
        <w:pStyle w:val="ListParagraph"/>
        <w:numPr>
          <w:ilvl w:val="0"/>
          <w:numId w:val="41"/>
        </w:numPr>
        <w:tabs>
          <w:tab w:val="num" w:pos="284"/>
        </w:tabs>
        <w:spacing w:after="120" w:line="240" w:lineRule="atLeast"/>
        <w:rPr>
          <w:sz w:val="18"/>
          <w:szCs w:val="18"/>
        </w:rPr>
      </w:pPr>
      <w:r w:rsidRPr="00022CBC">
        <w:rPr>
          <w:sz w:val="18"/>
          <w:szCs w:val="18"/>
        </w:rPr>
        <w:t xml:space="preserve">we issue an advisory notice under Section 29 of the Local Audit and Accountability Act 2014 in the course of, or at the conclusion of the audit; or </w:t>
      </w:r>
    </w:p>
    <w:p w14:paraId="5065F1F9" w14:textId="77777777" w:rsidR="00022CBC" w:rsidRPr="00022CBC" w:rsidRDefault="00022CBC" w:rsidP="00022CBC">
      <w:pPr>
        <w:pStyle w:val="ListParagraph"/>
        <w:numPr>
          <w:ilvl w:val="0"/>
          <w:numId w:val="41"/>
        </w:numPr>
        <w:tabs>
          <w:tab w:val="num" w:pos="284"/>
        </w:tabs>
        <w:spacing w:after="120" w:line="240" w:lineRule="atLeast"/>
        <w:rPr>
          <w:sz w:val="18"/>
          <w:szCs w:val="18"/>
        </w:rPr>
      </w:pPr>
      <w:r w:rsidRPr="00022CBC">
        <w:rPr>
          <w:sz w:val="18"/>
          <w:szCs w:val="18"/>
        </w:rPr>
        <w:lastRenderedPageBreak/>
        <w:t>we make an application for judicial review under Section 31 of the Local Audit and Accountability Act 2014, in the course of, or at the conclusion of the audit.</w:t>
      </w:r>
    </w:p>
    <w:p w14:paraId="7200CF0C" w14:textId="77777777" w:rsidR="00022CBC" w:rsidRPr="00022CBC" w:rsidRDefault="00022CBC" w:rsidP="00022CBC">
      <w:pPr>
        <w:spacing w:after="120" w:line="240" w:lineRule="atLeast"/>
        <w:rPr>
          <w:b/>
          <w:sz w:val="18"/>
          <w:szCs w:val="18"/>
        </w:rPr>
      </w:pPr>
      <w:r w:rsidRPr="00022CBC">
        <w:rPr>
          <w:sz w:val="18"/>
          <w:szCs w:val="18"/>
        </w:rPr>
        <w:t>We have nothing to report in respect of the above matters</w:t>
      </w:r>
      <w:r w:rsidRPr="00022CBC">
        <w:rPr>
          <w:b/>
          <w:sz w:val="18"/>
          <w:szCs w:val="18"/>
        </w:rPr>
        <w:t>.</w:t>
      </w:r>
    </w:p>
    <w:p w14:paraId="2413E749" w14:textId="77777777" w:rsidR="00022CBC" w:rsidRPr="00022CBC" w:rsidRDefault="00022CBC" w:rsidP="00022CBC">
      <w:pPr>
        <w:keepNext/>
        <w:spacing w:before="240" w:after="120" w:line="240" w:lineRule="atLeast"/>
        <w:outlineLvl w:val="2"/>
        <w:rPr>
          <w:rFonts w:cs="Arial"/>
          <w:b/>
          <w:bCs/>
          <w:color w:val="4F2D7F"/>
          <w:kern w:val="32"/>
          <w:sz w:val="18"/>
          <w:szCs w:val="18"/>
        </w:rPr>
      </w:pPr>
      <w:r w:rsidRPr="00022CBC">
        <w:rPr>
          <w:rFonts w:cs="Arial"/>
          <w:b/>
          <w:bCs/>
          <w:color w:val="4F2D7F"/>
          <w:kern w:val="32"/>
          <w:sz w:val="18"/>
          <w:szCs w:val="18"/>
        </w:rPr>
        <w:t>Responsibilities of the Authority, the Strategic Director for Resources and Those Charged with Governance for the financial statements</w:t>
      </w:r>
    </w:p>
    <w:p w14:paraId="2A9CB2F6" w14:textId="77777777" w:rsidR="00022CBC" w:rsidRPr="00022CBC" w:rsidRDefault="00022CBC" w:rsidP="00022CBC">
      <w:pPr>
        <w:spacing w:after="120" w:line="240" w:lineRule="atLeast"/>
        <w:rPr>
          <w:iCs/>
          <w:sz w:val="18"/>
          <w:szCs w:val="18"/>
        </w:rPr>
      </w:pPr>
      <w:r w:rsidRPr="00022CBC">
        <w:rPr>
          <w:sz w:val="18"/>
          <w:szCs w:val="18"/>
        </w:rPr>
        <w:t xml:space="preserve">As explained more fully in the Statement of Responsibilities set out on page 15, the Authority is required to make arrangements for the proper administration of its financial affairs and to secure that one of its officers has the responsibility for the administration of those affairs.  In this authority, that officer is the </w:t>
      </w:r>
      <w:r w:rsidRPr="00022CBC">
        <w:rPr>
          <w:rFonts w:cs="Arial"/>
          <w:sz w:val="18"/>
          <w:szCs w:val="18"/>
          <w:lang w:eastAsia="en-GB"/>
        </w:rPr>
        <w:t>Strategic Director for Resources</w:t>
      </w:r>
      <w:r w:rsidRPr="00022CBC">
        <w:rPr>
          <w:sz w:val="18"/>
          <w:szCs w:val="18"/>
        </w:rPr>
        <w:t xml:space="preserve">. The </w:t>
      </w:r>
      <w:r w:rsidRPr="00022CBC">
        <w:rPr>
          <w:rFonts w:cs="Arial"/>
          <w:sz w:val="18"/>
          <w:szCs w:val="18"/>
          <w:lang w:eastAsia="en-GB"/>
        </w:rPr>
        <w:t xml:space="preserve">Strategic Director for Resources </w:t>
      </w:r>
      <w:r w:rsidRPr="00022CBC">
        <w:rPr>
          <w:sz w:val="18"/>
          <w:szCs w:val="18"/>
        </w:rPr>
        <w:t xml:space="preserve">is responsible for the preparation of the Statement of Accounts, which includes the financial statements, in accordance with proper practices as set out in the CIPFA/LASAAC </w:t>
      </w:r>
      <w:r w:rsidRPr="00022CBC">
        <w:rPr>
          <w:iCs/>
          <w:sz w:val="18"/>
          <w:szCs w:val="18"/>
        </w:rPr>
        <w:t xml:space="preserve">code of practice on local authority accounting in the United Kingdom 2019/20, for being satisfied that they </w:t>
      </w:r>
      <w:r w:rsidRPr="00022CBC">
        <w:rPr>
          <w:sz w:val="18"/>
          <w:szCs w:val="18"/>
        </w:rPr>
        <w:t xml:space="preserve">give a true and fair view, and for such internal control as the </w:t>
      </w:r>
      <w:r w:rsidRPr="00022CBC">
        <w:rPr>
          <w:rFonts w:cs="Arial"/>
          <w:sz w:val="18"/>
          <w:szCs w:val="18"/>
          <w:lang w:eastAsia="en-GB"/>
        </w:rPr>
        <w:t xml:space="preserve">Strategic Director for Resources </w:t>
      </w:r>
      <w:r w:rsidRPr="00022CBC">
        <w:rPr>
          <w:sz w:val="18"/>
          <w:szCs w:val="18"/>
        </w:rPr>
        <w:t>determines is necessary to enable the preparation of financial statements that are free from material misstatement, whether due to fraud or error</w:t>
      </w:r>
      <w:r w:rsidRPr="00022CBC">
        <w:rPr>
          <w:iCs/>
          <w:sz w:val="18"/>
          <w:szCs w:val="18"/>
        </w:rPr>
        <w:t xml:space="preserve">. </w:t>
      </w:r>
    </w:p>
    <w:p w14:paraId="588A603B" w14:textId="77777777" w:rsidR="00022CBC" w:rsidRPr="00022CBC" w:rsidRDefault="00022CBC" w:rsidP="00022CBC">
      <w:pPr>
        <w:spacing w:after="120" w:line="240" w:lineRule="atLeast"/>
        <w:rPr>
          <w:rFonts w:cs="Arial"/>
          <w:sz w:val="18"/>
          <w:szCs w:val="18"/>
        </w:rPr>
      </w:pPr>
      <w:r w:rsidRPr="00022CBC">
        <w:rPr>
          <w:sz w:val="18"/>
          <w:szCs w:val="18"/>
        </w:rPr>
        <w:t xml:space="preserve">In preparing the financial statements, the </w:t>
      </w:r>
      <w:r w:rsidRPr="00022CBC">
        <w:rPr>
          <w:rFonts w:cs="Arial"/>
          <w:sz w:val="18"/>
          <w:szCs w:val="18"/>
          <w:lang w:eastAsia="en-GB"/>
        </w:rPr>
        <w:t xml:space="preserve">Strategic Director for Resources </w:t>
      </w:r>
      <w:r w:rsidRPr="00022CBC">
        <w:rPr>
          <w:sz w:val="18"/>
          <w:szCs w:val="18"/>
        </w:rPr>
        <w:t xml:space="preserve">is responsible for assessing the Authority’s ability to continue as a going concern, disclosing, as applicable, matters related to going </w:t>
      </w:r>
      <w:r w:rsidRPr="00022CBC">
        <w:rPr>
          <w:rFonts w:cs="Arial"/>
          <w:sz w:val="18"/>
          <w:szCs w:val="18"/>
        </w:rPr>
        <w:t xml:space="preserve">concern and using the going concern basis of accounting unless </w:t>
      </w:r>
      <w:r w:rsidRPr="00022CBC">
        <w:rPr>
          <w:rFonts w:cs="FS Lola"/>
          <w:color w:val="000000"/>
          <w:sz w:val="18"/>
          <w:szCs w:val="18"/>
        </w:rPr>
        <w:t>there is an intention by government that the services provided by the Authority will no longer be provided</w:t>
      </w:r>
      <w:r w:rsidRPr="00022CBC">
        <w:rPr>
          <w:rFonts w:cs="Arial"/>
          <w:sz w:val="18"/>
          <w:szCs w:val="18"/>
        </w:rPr>
        <w:t xml:space="preserve">. </w:t>
      </w:r>
    </w:p>
    <w:p w14:paraId="4F9AA19B" w14:textId="77777777" w:rsidR="00022CBC" w:rsidRPr="00022CBC" w:rsidRDefault="00022CBC" w:rsidP="00022CBC">
      <w:pPr>
        <w:spacing w:after="120" w:line="240" w:lineRule="atLeast"/>
        <w:rPr>
          <w:iCs/>
          <w:sz w:val="18"/>
          <w:szCs w:val="18"/>
        </w:rPr>
      </w:pPr>
      <w:r w:rsidRPr="00022CBC">
        <w:rPr>
          <w:iCs/>
          <w:sz w:val="18"/>
          <w:szCs w:val="18"/>
        </w:rPr>
        <w:t xml:space="preserve">The Audit &amp; Risk Committee is Those Charged with Governance. </w:t>
      </w:r>
      <w:r w:rsidRPr="00022CBC">
        <w:rPr>
          <w:sz w:val="18"/>
          <w:szCs w:val="18"/>
        </w:rPr>
        <w:t>Those charged with governance are responsible for overseeing the Authority’s financial reporting process.</w:t>
      </w:r>
    </w:p>
    <w:p w14:paraId="7A369FE8" w14:textId="77777777" w:rsidR="00022CBC" w:rsidRPr="00022CBC" w:rsidRDefault="00022CBC" w:rsidP="00022CBC">
      <w:pPr>
        <w:keepNext/>
        <w:spacing w:before="240" w:after="120" w:line="240" w:lineRule="atLeast"/>
        <w:outlineLvl w:val="2"/>
        <w:rPr>
          <w:rFonts w:cs="Arial"/>
          <w:b/>
          <w:bCs/>
          <w:iCs/>
          <w:color w:val="4F2D7F"/>
          <w:kern w:val="32"/>
          <w:sz w:val="18"/>
          <w:szCs w:val="18"/>
        </w:rPr>
      </w:pPr>
      <w:r w:rsidRPr="00022CBC">
        <w:rPr>
          <w:rFonts w:cs="Arial"/>
          <w:b/>
          <w:bCs/>
          <w:color w:val="4F2D7F"/>
          <w:kern w:val="32"/>
          <w:sz w:val="18"/>
          <w:szCs w:val="18"/>
        </w:rPr>
        <w:t>Auditor’s responsibilities for the audit of the financial statements</w:t>
      </w:r>
    </w:p>
    <w:p w14:paraId="1CA17700" w14:textId="77777777" w:rsidR="00022CBC" w:rsidRPr="00022CBC" w:rsidRDefault="00022CBC" w:rsidP="00022CBC">
      <w:pPr>
        <w:spacing w:after="120" w:line="240" w:lineRule="atLeast"/>
        <w:rPr>
          <w:iCs/>
          <w:sz w:val="18"/>
          <w:szCs w:val="18"/>
        </w:rPr>
      </w:pPr>
      <w:r w:rsidRPr="00022CBC">
        <w:rPr>
          <w:iCs/>
          <w:sz w:val="18"/>
          <w:szCs w:val="18"/>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795F0E3E" w14:textId="77777777" w:rsidR="00022CBC" w:rsidRPr="00022CBC" w:rsidRDefault="00022CBC" w:rsidP="00022CBC">
      <w:pPr>
        <w:spacing w:after="120" w:line="240" w:lineRule="atLeast"/>
        <w:rPr>
          <w:iCs/>
          <w:sz w:val="18"/>
          <w:szCs w:val="18"/>
        </w:rPr>
      </w:pPr>
      <w:r w:rsidRPr="00022CBC">
        <w:rPr>
          <w:iCs/>
          <w:sz w:val="18"/>
          <w:szCs w:val="18"/>
        </w:rPr>
        <w:t xml:space="preserve">A further description of our responsibilities for the audit of the financial statements is located on the Financial Reporting Council’s website </w:t>
      </w:r>
      <w:r w:rsidRPr="00022CBC">
        <w:rPr>
          <w:sz w:val="18"/>
          <w:szCs w:val="18"/>
        </w:rPr>
        <w:t xml:space="preserve">at: </w:t>
      </w:r>
      <w:hyperlink r:id="rId22" w:history="1">
        <w:r w:rsidRPr="00022CBC">
          <w:rPr>
            <w:color w:val="0000FF"/>
            <w:sz w:val="18"/>
            <w:szCs w:val="18"/>
            <w:u w:val="single"/>
          </w:rPr>
          <w:t>www.frc.org.uk/auditorsresponsibilities</w:t>
        </w:r>
      </w:hyperlink>
      <w:r w:rsidRPr="00022CBC">
        <w:rPr>
          <w:iCs/>
          <w:sz w:val="18"/>
          <w:szCs w:val="18"/>
        </w:rPr>
        <w:t>. This description forms part of our auditor’s report.</w:t>
      </w:r>
    </w:p>
    <w:p w14:paraId="4EB25928" w14:textId="77777777" w:rsidR="00022CBC" w:rsidRPr="00022CBC" w:rsidRDefault="00022CBC" w:rsidP="00022CBC">
      <w:pPr>
        <w:keepNext/>
        <w:spacing w:before="240" w:after="120" w:line="320" w:lineRule="exact"/>
        <w:outlineLvl w:val="1"/>
        <w:rPr>
          <w:rFonts w:cs="Arial"/>
          <w:b/>
          <w:color w:val="4F2D7F"/>
          <w:kern w:val="32"/>
          <w:sz w:val="24"/>
          <w:szCs w:val="24"/>
        </w:rPr>
      </w:pPr>
      <w:r w:rsidRPr="00022CBC">
        <w:rPr>
          <w:rFonts w:cs="Arial"/>
          <w:b/>
          <w:color w:val="4F2D7F"/>
          <w:kern w:val="32"/>
          <w:sz w:val="24"/>
          <w:szCs w:val="24"/>
        </w:rPr>
        <w:t>Report on other legal and regulatory requirements - Conclusion on the Authority’s arrangements for securing economy, efficiency and effectiveness in its use of resources</w:t>
      </w:r>
    </w:p>
    <w:p w14:paraId="2B133E75" w14:textId="77777777" w:rsidR="00022CBC" w:rsidRPr="00022CBC" w:rsidRDefault="00022CBC" w:rsidP="00022CBC">
      <w:pPr>
        <w:keepNext/>
        <w:spacing w:before="240" w:after="120" w:line="240" w:lineRule="atLeast"/>
        <w:outlineLvl w:val="2"/>
        <w:rPr>
          <w:rFonts w:cs="Arial"/>
          <w:b/>
          <w:bCs/>
          <w:color w:val="4F2D7F"/>
          <w:kern w:val="32"/>
          <w:sz w:val="18"/>
          <w:szCs w:val="18"/>
        </w:rPr>
      </w:pPr>
      <w:r w:rsidRPr="00022CBC">
        <w:rPr>
          <w:rFonts w:cs="Arial"/>
          <w:b/>
          <w:bCs/>
          <w:color w:val="4F2D7F"/>
          <w:kern w:val="32"/>
          <w:sz w:val="18"/>
          <w:szCs w:val="18"/>
        </w:rPr>
        <w:t xml:space="preserve">Conclusion </w:t>
      </w:r>
    </w:p>
    <w:p w14:paraId="1C4FC9B3" w14:textId="77777777" w:rsidR="00022CBC" w:rsidRPr="00022CBC" w:rsidRDefault="00022CBC" w:rsidP="00022CBC">
      <w:pPr>
        <w:spacing w:after="120" w:line="240" w:lineRule="atLeast"/>
        <w:rPr>
          <w:b/>
          <w:iCs/>
          <w:sz w:val="18"/>
          <w:szCs w:val="18"/>
        </w:rPr>
      </w:pPr>
      <w:r w:rsidRPr="00022CBC">
        <w:rPr>
          <w:sz w:val="18"/>
          <w:szCs w:val="18"/>
        </w:rPr>
        <w:t>On the basis of our work, having regard to the guidance on the specified criterion issued by the Comptroller and Auditor General in April 2020, we are satisfied that</w:t>
      </w:r>
      <w:r w:rsidRPr="00022CBC">
        <w:rPr>
          <w:iCs/>
          <w:sz w:val="18"/>
          <w:szCs w:val="18"/>
        </w:rPr>
        <w:t xml:space="preserve"> the Authority</w:t>
      </w:r>
      <w:r w:rsidRPr="00022CBC">
        <w:rPr>
          <w:i/>
          <w:sz w:val="18"/>
          <w:szCs w:val="18"/>
        </w:rPr>
        <w:t xml:space="preserve"> </w:t>
      </w:r>
      <w:r w:rsidRPr="00022CBC">
        <w:rPr>
          <w:sz w:val="18"/>
          <w:szCs w:val="18"/>
        </w:rPr>
        <w:t>put in place proper arrangements for securing economy, efficiency and effectiveness in its use of resources for the year ended 31 March 2020.</w:t>
      </w:r>
    </w:p>
    <w:p w14:paraId="3BF99E89" w14:textId="77777777" w:rsidR="00022CBC" w:rsidRPr="00022CBC" w:rsidRDefault="00022CBC" w:rsidP="00022CBC">
      <w:pPr>
        <w:keepNext/>
        <w:spacing w:before="240" w:after="120" w:line="240" w:lineRule="atLeast"/>
        <w:outlineLvl w:val="2"/>
        <w:rPr>
          <w:rFonts w:cs="Arial"/>
          <w:b/>
          <w:bCs/>
          <w:color w:val="4F2D7F"/>
          <w:kern w:val="32"/>
          <w:sz w:val="18"/>
          <w:szCs w:val="18"/>
        </w:rPr>
      </w:pPr>
      <w:r w:rsidRPr="00022CBC">
        <w:rPr>
          <w:rFonts w:cs="Arial"/>
          <w:b/>
          <w:bCs/>
          <w:color w:val="4F2D7F"/>
          <w:kern w:val="32"/>
          <w:sz w:val="18"/>
          <w:szCs w:val="18"/>
        </w:rPr>
        <w:t xml:space="preserve">Responsibilities of the Authority </w:t>
      </w:r>
    </w:p>
    <w:p w14:paraId="7243C4AF" w14:textId="77777777" w:rsidR="00022CBC" w:rsidRPr="00022CBC" w:rsidRDefault="00022CBC" w:rsidP="00022CBC">
      <w:pPr>
        <w:spacing w:after="120" w:line="240" w:lineRule="atLeast"/>
        <w:rPr>
          <w:sz w:val="18"/>
          <w:szCs w:val="18"/>
        </w:rPr>
      </w:pPr>
      <w:r w:rsidRPr="00022CBC">
        <w:rPr>
          <w:sz w:val="18"/>
          <w:szCs w:val="18"/>
        </w:rPr>
        <w:t>The Authority is responsible for putting in place proper arrangements for securing economy, efficiency and effectiveness in its use of resources, to ensure proper stewardship and governance, and to review regularly the adequacy and effectiveness of these arrangements.</w:t>
      </w:r>
    </w:p>
    <w:p w14:paraId="2CDD6264" w14:textId="77777777" w:rsidR="00022CBC" w:rsidRPr="00022CBC" w:rsidRDefault="00022CBC" w:rsidP="00022CBC">
      <w:pPr>
        <w:keepNext/>
        <w:spacing w:before="240" w:after="120" w:line="240" w:lineRule="atLeast"/>
        <w:outlineLvl w:val="2"/>
        <w:rPr>
          <w:rFonts w:cs="Arial"/>
          <w:b/>
          <w:bCs/>
          <w:iCs/>
          <w:color w:val="4F2D7F"/>
          <w:kern w:val="32"/>
          <w:sz w:val="18"/>
          <w:szCs w:val="18"/>
        </w:rPr>
      </w:pPr>
      <w:r w:rsidRPr="00022CBC">
        <w:rPr>
          <w:rFonts w:cs="Arial"/>
          <w:b/>
          <w:bCs/>
          <w:color w:val="4F2D7F"/>
          <w:kern w:val="32"/>
          <w:sz w:val="18"/>
          <w:szCs w:val="18"/>
        </w:rPr>
        <w:t>Auditor’s responsibilities for the review of the Authority’s arrangements for securing economy, efficiency and effectiveness in its use of resources</w:t>
      </w:r>
    </w:p>
    <w:p w14:paraId="441450B3" w14:textId="77777777" w:rsidR="00022CBC" w:rsidRPr="00022CBC" w:rsidRDefault="00022CBC" w:rsidP="00022CBC">
      <w:pPr>
        <w:spacing w:after="120" w:line="240" w:lineRule="atLeast"/>
        <w:rPr>
          <w:iCs/>
          <w:sz w:val="18"/>
          <w:szCs w:val="18"/>
        </w:rPr>
      </w:pPr>
      <w:r w:rsidRPr="00022CBC">
        <w:rPr>
          <w:iCs/>
          <w:sz w:val="18"/>
          <w:szCs w:val="18"/>
        </w:rPr>
        <w:t>We are required under Section 20(1)(c) of the Local Audit and Accountability Act 2014 to be satisfied that the Authority has made proper arrangements for securing economy, efficiency and effectiveness in its use of resources. We are not required to consider, nor have we considered, whether all aspects of the Authority's arrangements for securing economy, efficiency and effectiveness in its use of resources are operating effectively.</w:t>
      </w:r>
    </w:p>
    <w:p w14:paraId="5A68A99C" w14:textId="77777777" w:rsidR="00022CBC" w:rsidRPr="00022CBC" w:rsidRDefault="00022CBC" w:rsidP="00022CBC">
      <w:pPr>
        <w:spacing w:after="120" w:line="240" w:lineRule="atLeast"/>
        <w:rPr>
          <w:sz w:val="18"/>
          <w:szCs w:val="18"/>
        </w:rPr>
      </w:pPr>
      <w:r w:rsidRPr="00022CBC">
        <w:rPr>
          <w:sz w:val="18"/>
          <w:szCs w:val="18"/>
        </w:rPr>
        <w:t xml:space="preserve">We have undertaken our review in accordance with the </w:t>
      </w:r>
      <w:r w:rsidRPr="00022CBC">
        <w:rPr>
          <w:iCs/>
          <w:sz w:val="18"/>
          <w:szCs w:val="18"/>
        </w:rPr>
        <w:t>Code of Audit Practice</w:t>
      </w:r>
      <w:r w:rsidRPr="00022CBC">
        <w:rPr>
          <w:sz w:val="18"/>
          <w:szCs w:val="18"/>
        </w:rPr>
        <w:t>, having regard to the guidance on the specified criterion issued by the Comptroller and Auditor General in April 2020, as to whether in all significant respects the Authority had proper arrangements to ensure it took properly informed decisions and deployed resources to achieve planned and sustainable outcomes for taxpayers and local people. The Comptroller and Auditor General</w:t>
      </w:r>
      <w:r w:rsidRPr="00022CBC" w:rsidDel="00960B67">
        <w:rPr>
          <w:sz w:val="18"/>
          <w:szCs w:val="18"/>
        </w:rPr>
        <w:t xml:space="preserve"> </w:t>
      </w:r>
      <w:r w:rsidRPr="00022CBC">
        <w:rPr>
          <w:sz w:val="18"/>
          <w:szCs w:val="18"/>
        </w:rPr>
        <w:t xml:space="preserve">determined this criterion as that necessary for </w:t>
      </w:r>
      <w:r w:rsidRPr="00022CBC">
        <w:rPr>
          <w:sz w:val="18"/>
          <w:szCs w:val="18"/>
        </w:rPr>
        <w:lastRenderedPageBreak/>
        <w:t>us to consider under the Code of Audit Practice in satisfying ourselves whether the Authority put in place proper arrangements for securing economy, efficiency and effectiveness in its use of resources for the year ended 31 March 2020.</w:t>
      </w:r>
    </w:p>
    <w:p w14:paraId="7C3FA38E" w14:textId="77777777" w:rsidR="00022CBC" w:rsidRPr="00022CBC" w:rsidRDefault="00022CBC" w:rsidP="00022CBC">
      <w:pPr>
        <w:spacing w:after="120" w:line="240" w:lineRule="atLeast"/>
        <w:rPr>
          <w:sz w:val="18"/>
          <w:szCs w:val="18"/>
        </w:rPr>
      </w:pPr>
      <w:r w:rsidRPr="00022CBC">
        <w:rPr>
          <w:sz w:val="18"/>
          <w:szCs w:val="18"/>
        </w:rPr>
        <w:t>We planned our work in accordance with the Code of Audit Practice. Based on our risk assessment, we undertook such work as we considered necessary to be satisfied that the Authority has put in place proper arrangements for securing economy, efficiency and effectiveness in its use of resources.</w:t>
      </w:r>
    </w:p>
    <w:p w14:paraId="30726F48" w14:textId="77777777" w:rsidR="00022CBC" w:rsidRPr="00022CBC" w:rsidRDefault="00022CBC" w:rsidP="00022CBC">
      <w:pPr>
        <w:keepNext/>
        <w:spacing w:before="240" w:after="120" w:line="240" w:lineRule="atLeast"/>
        <w:outlineLvl w:val="2"/>
        <w:rPr>
          <w:rFonts w:cs="Arial"/>
          <w:b/>
          <w:bCs/>
          <w:color w:val="4F2D7F"/>
          <w:kern w:val="32"/>
          <w:sz w:val="24"/>
          <w:szCs w:val="24"/>
        </w:rPr>
      </w:pPr>
      <w:r w:rsidRPr="00022CBC">
        <w:rPr>
          <w:rFonts w:cs="Arial"/>
          <w:b/>
          <w:bCs/>
          <w:color w:val="4F2D7F"/>
          <w:kern w:val="32"/>
          <w:sz w:val="24"/>
          <w:szCs w:val="24"/>
        </w:rPr>
        <w:t>Report on other legal and regulatory requirements - Delay in certification of completion of the audit</w:t>
      </w:r>
    </w:p>
    <w:p w14:paraId="3123D7D4" w14:textId="77777777" w:rsidR="00022CBC" w:rsidRPr="00022CBC" w:rsidRDefault="00022CBC" w:rsidP="00022CBC">
      <w:pPr>
        <w:spacing w:after="120" w:line="240" w:lineRule="atLeast"/>
        <w:rPr>
          <w:sz w:val="18"/>
          <w:szCs w:val="18"/>
        </w:rPr>
      </w:pPr>
      <w:r w:rsidRPr="00022CBC">
        <w:rPr>
          <w:sz w:val="18"/>
          <w:szCs w:val="18"/>
        </w:rPr>
        <w:t>We cannot formally conclude the audit and issue an audit certificate in accordance with the requirements of the Local Audit and Accountability Act 2014 and the Code of Audit Practice until we have completed the work necessary to issue our Whole of Government Accounts (WGA) Component Assurance statement  for the Authority for the year ended 31 March 2020. We are satisfied that this work does not have a material effect on the financial statements or on our conclusion on the Authority's arrangements for securing economy, efficiency and effectiveness in its use of resources for the year ended 31 March 2020.</w:t>
      </w:r>
    </w:p>
    <w:p w14:paraId="471B9C1C" w14:textId="77777777" w:rsidR="00022CBC" w:rsidRPr="00022CBC" w:rsidRDefault="00022CBC" w:rsidP="00022CBC">
      <w:pPr>
        <w:keepNext/>
        <w:spacing w:before="240" w:after="120" w:line="240" w:lineRule="atLeast"/>
        <w:outlineLvl w:val="2"/>
        <w:rPr>
          <w:rFonts w:cs="Arial"/>
          <w:b/>
          <w:bCs/>
          <w:color w:val="4F2D7F"/>
          <w:kern w:val="32"/>
          <w:sz w:val="18"/>
          <w:szCs w:val="18"/>
        </w:rPr>
      </w:pPr>
      <w:r w:rsidRPr="00022CBC">
        <w:rPr>
          <w:rFonts w:cs="Arial"/>
          <w:b/>
          <w:bCs/>
          <w:color w:val="4F2D7F"/>
          <w:kern w:val="32"/>
          <w:sz w:val="18"/>
          <w:szCs w:val="18"/>
        </w:rPr>
        <w:t xml:space="preserve">Use of our report </w:t>
      </w:r>
    </w:p>
    <w:p w14:paraId="0940AB94" w14:textId="77777777" w:rsidR="00022CBC" w:rsidRPr="00022CBC" w:rsidRDefault="00022CBC" w:rsidP="00022CBC">
      <w:pPr>
        <w:spacing w:after="120" w:line="240" w:lineRule="atLeast"/>
        <w:rPr>
          <w:sz w:val="18"/>
          <w:szCs w:val="18"/>
        </w:rPr>
      </w:pPr>
      <w:r w:rsidRPr="00022CBC">
        <w:rPr>
          <w:sz w:val="18"/>
          <w:szCs w:val="18"/>
        </w:rPr>
        <w:t>This report is made solely to the members of the Authority, as a body, in accordance with Part 5 of the Local Audit and Accountability Act 2014 and as set out in paragraph 43 of the Statement of Responsibilities of Auditors and Audited Bodies published by Public Sector Audit Appointments Limited. Our audit work has been undertaken so that we might state to the Authority’s members those matters we are required to state to them in an auditor's report and for no other purpose. To the fullest extent permitted by law, we do not accept or assume responsibility to anyone other than the Authority and the Authority's members as a body, for our audit work, for this report, or for the opinions we have formed.</w:t>
      </w:r>
    </w:p>
    <w:p w14:paraId="1102F23C" w14:textId="77777777" w:rsidR="00022CBC" w:rsidRPr="00022CBC" w:rsidRDefault="00022CBC" w:rsidP="00022CBC">
      <w:pPr>
        <w:spacing w:after="120" w:line="240" w:lineRule="atLeast"/>
        <w:rPr>
          <w:sz w:val="18"/>
          <w:szCs w:val="18"/>
        </w:rPr>
      </w:pPr>
    </w:p>
    <w:p w14:paraId="39139461" w14:textId="77777777" w:rsidR="00022CBC" w:rsidRPr="00022CBC" w:rsidRDefault="00022CBC" w:rsidP="00022CBC">
      <w:pPr>
        <w:spacing w:after="120" w:line="240" w:lineRule="atLeast"/>
        <w:rPr>
          <w:rFonts w:ascii="Bradley Hand ITC" w:hAnsi="Bradley Hand ITC"/>
          <w:sz w:val="32"/>
          <w:szCs w:val="32"/>
        </w:rPr>
      </w:pPr>
      <w:r w:rsidRPr="00022CBC">
        <w:rPr>
          <w:rFonts w:ascii="Bradley Hand ITC" w:hAnsi="Bradley Hand ITC"/>
          <w:sz w:val="32"/>
          <w:szCs w:val="32"/>
        </w:rPr>
        <w:t>J Gregory</w:t>
      </w:r>
    </w:p>
    <w:p w14:paraId="3F302A00" w14:textId="77777777" w:rsidR="00022CBC" w:rsidRPr="00022CBC" w:rsidRDefault="00022CBC" w:rsidP="00022CBC">
      <w:pPr>
        <w:spacing w:after="120" w:line="240" w:lineRule="atLeast"/>
        <w:rPr>
          <w:sz w:val="18"/>
          <w:szCs w:val="18"/>
        </w:rPr>
      </w:pPr>
      <w:r w:rsidRPr="00022CBC">
        <w:rPr>
          <w:rFonts w:cs="Arial"/>
          <w:sz w:val="18"/>
          <w:szCs w:val="18"/>
        </w:rPr>
        <w:t>John Gregory, Key Audit Partner</w:t>
      </w:r>
      <w:r w:rsidRPr="00022CBC">
        <w:rPr>
          <w:sz w:val="18"/>
          <w:szCs w:val="18"/>
        </w:rPr>
        <w:br/>
        <w:t>for and on behalf of Grant Thornton UK LLP, Local Auditor</w:t>
      </w:r>
    </w:p>
    <w:p w14:paraId="35C816E5" w14:textId="77777777" w:rsidR="00022CBC" w:rsidRPr="00022CBC" w:rsidRDefault="00022CBC" w:rsidP="00022CBC">
      <w:pPr>
        <w:spacing w:after="120" w:line="240" w:lineRule="atLeast"/>
        <w:rPr>
          <w:sz w:val="18"/>
          <w:szCs w:val="18"/>
        </w:rPr>
      </w:pPr>
    </w:p>
    <w:p w14:paraId="58232150" w14:textId="77777777" w:rsidR="00022CBC" w:rsidRPr="00022CBC" w:rsidRDefault="00022CBC" w:rsidP="00022CBC">
      <w:pPr>
        <w:spacing w:after="120" w:line="240" w:lineRule="atLeast"/>
        <w:rPr>
          <w:sz w:val="18"/>
          <w:szCs w:val="18"/>
        </w:rPr>
      </w:pPr>
      <w:r w:rsidRPr="00022CBC">
        <w:rPr>
          <w:sz w:val="18"/>
          <w:szCs w:val="18"/>
        </w:rPr>
        <w:t>Birmingham</w:t>
      </w:r>
    </w:p>
    <w:p w14:paraId="56C1D6E6" w14:textId="77777777" w:rsidR="00022CBC" w:rsidRPr="00022CBC" w:rsidRDefault="00022CBC" w:rsidP="00022CBC">
      <w:pPr>
        <w:keepNext/>
        <w:spacing w:before="240" w:after="120" w:line="240" w:lineRule="atLeast"/>
        <w:outlineLvl w:val="2"/>
        <w:rPr>
          <w:rFonts w:cs="Arial"/>
          <w:color w:val="4F2D7F"/>
          <w:kern w:val="32"/>
          <w:sz w:val="18"/>
          <w:szCs w:val="18"/>
        </w:rPr>
      </w:pPr>
      <w:r w:rsidRPr="00022CBC">
        <w:rPr>
          <w:rFonts w:cs="Arial"/>
          <w:color w:val="4F2D7F"/>
          <w:kern w:val="32"/>
          <w:sz w:val="18"/>
          <w:szCs w:val="18"/>
        </w:rPr>
        <w:t>18 December 2020</w:t>
      </w:r>
    </w:p>
    <w:p w14:paraId="655E116A" w14:textId="77777777" w:rsidR="00022CBC" w:rsidRPr="00022CBC" w:rsidRDefault="00022CBC" w:rsidP="00022CBC">
      <w:pPr>
        <w:spacing w:after="120" w:line="240" w:lineRule="atLeast"/>
        <w:rPr>
          <w:sz w:val="18"/>
          <w:szCs w:val="18"/>
        </w:rPr>
      </w:pPr>
    </w:p>
    <w:p w14:paraId="09229E51" w14:textId="77777777" w:rsidR="00022CBC" w:rsidRDefault="00022CBC" w:rsidP="007D0037"/>
    <w:bookmarkEnd w:id="20"/>
    <w:p w14:paraId="52719E74" w14:textId="77777777" w:rsidR="00557F3D" w:rsidRDefault="00557F3D">
      <w:pPr>
        <w:rPr>
          <w:b/>
          <w:sz w:val="36"/>
          <w:szCs w:val="36"/>
        </w:rPr>
        <w:sectPr w:rsidR="00557F3D" w:rsidSect="008C78E8">
          <w:pgSz w:w="11907" w:h="16840" w:code="9"/>
          <w:pgMar w:top="1135" w:right="992" w:bottom="1440" w:left="709" w:header="567" w:footer="851" w:gutter="0"/>
          <w:paperSrc w:first="7" w:other="7"/>
          <w:cols w:space="720"/>
          <w:docGrid w:linePitch="299"/>
        </w:sectPr>
      </w:pPr>
    </w:p>
    <w:p w14:paraId="6C58DE35" w14:textId="225AD98C" w:rsidR="00557F3D" w:rsidRPr="00557F3D" w:rsidRDefault="00557F3D" w:rsidP="00557F3D">
      <w:pPr>
        <w:pStyle w:val="MainSoAHeading"/>
      </w:pPr>
      <w:bookmarkStart w:id="27" w:name="_Toc459114463"/>
      <w:bookmarkStart w:id="28" w:name="_Toc54886663"/>
      <w:r w:rsidRPr="00557F3D">
        <w:lastRenderedPageBreak/>
        <w:t>Annual Governance Statement</w:t>
      </w:r>
      <w:bookmarkEnd w:id="27"/>
      <w:r w:rsidRPr="00557F3D">
        <w:t xml:space="preserve"> </w:t>
      </w:r>
      <w:r>
        <w:t>2</w:t>
      </w:r>
      <w:r w:rsidRPr="00557F3D">
        <w:t>019/20</w:t>
      </w:r>
      <w:bookmarkEnd w:id="28"/>
    </w:p>
    <w:p w14:paraId="28518D7E" w14:textId="77777777" w:rsidR="00557F3D" w:rsidRPr="00E462C4" w:rsidRDefault="00661E70" w:rsidP="00557F3D">
      <w:pPr>
        <w:pStyle w:val="Heading1"/>
        <w:ind w:left="851" w:hanging="851"/>
        <w:rPr>
          <w:rFonts w:cs="Arial"/>
          <w:szCs w:val="24"/>
        </w:rPr>
      </w:pPr>
      <w:r>
        <w:rPr>
          <w:rFonts w:cs="Arial"/>
          <w:szCs w:val="24"/>
        </w:rPr>
        <w:pict w14:anchorId="46169B84">
          <v:rect id="_x0000_i1038" style="width:510.3pt;height:2pt" o:hrstd="t" o:hrnoshade="t" o:hr="t" fillcolor="#a8d08d [1945]" stroked="f"/>
        </w:pict>
      </w:r>
    </w:p>
    <w:p w14:paraId="5BADE686" w14:textId="77777777" w:rsidR="00557F3D" w:rsidRPr="00557F3D" w:rsidRDefault="00557F3D" w:rsidP="00557F3D">
      <w:pPr>
        <w:pStyle w:val="Heading1"/>
        <w:rPr>
          <w:sz w:val="22"/>
          <w:szCs w:val="22"/>
        </w:rPr>
      </w:pPr>
      <w:r w:rsidRPr="00557F3D">
        <w:rPr>
          <w:sz w:val="22"/>
          <w:szCs w:val="22"/>
        </w:rPr>
        <w:t>Scope of Responsibility</w:t>
      </w:r>
    </w:p>
    <w:p w14:paraId="39719505" w14:textId="77777777" w:rsidR="00557F3D" w:rsidRPr="00557F3D" w:rsidRDefault="00557F3D" w:rsidP="00557F3D">
      <w:pPr>
        <w:pStyle w:val="Heading2"/>
        <w:keepNext w:val="0"/>
        <w:widowControl w:val="0"/>
        <w:tabs>
          <w:tab w:val="clear" w:pos="576"/>
        </w:tabs>
        <w:spacing w:after="240"/>
        <w:ind w:left="851" w:hanging="851"/>
        <w:jc w:val="left"/>
        <w:rPr>
          <w:b w:val="0"/>
          <w:sz w:val="22"/>
          <w:szCs w:val="22"/>
        </w:rPr>
      </w:pPr>
      <w:r w:rsidRPr="00557F3D">
        <w:rPr>
          <w:b w:val="0"/>
          <w:sz w:val="22"/>
          <w:szCs w:val="22"/>
        </w:rPr>
        <w:t>Rutland County Council (“the Council”) is responsible for ensuring that its business is conducted in accordance with the law and proper standards, and that public money is safeguarded and properly accounted for, and used economically, efficiently and effectively.  The Council also has a duty under the Local Government Act 1999 to make arrangements to secure continuous improvement in the way its functions are exercised, having regard to a combination of economy, efficiency and effectiveness.</w:t>
      </w:r>
    </w:p>
    <w:p w14:paraId="556EC1B3" w14:textId="77777777" w:rsidR="00557F3D" w:rsidRPr="00557F3D" w:rsidRDefault="00557F3D" w:rsidP="00557F3D">
      <w:pPr>
        <w:pStyle w:val="Heading2"/>
        <w:keepNext w:val="0"/>
        <w:widowControl w:val="0"/>
        <w:tabs>
          <w:tab w:val="clear" w:pos="576"/>
        </w:tabs>
        <w:spacing w:after="240"/>
        <w:ind w:left="851" w:hanging="851"/>
        <w:jc w:val="left"/>
        <w:rPr>
          <w:b w:val="0"/>
          <w:sz w:val="22"/>
          <w:szCs w:val="22"/>
        </w:rPr>
      </w:pPr>
      <w:r w:rsidRPr="00557F3D">
        <w:rPr>
          <w:b w:val="0"/>
          <w:sz w:val="22"/>
          <w:szCs w:val="22"/>
        </w:rPr>
        <w:t>In discharging this overall responsibility, the Council is responsible for putting in place proper arrangements for the governance of its affairs and facilitating the effective exercising of its functions, which includes the arrangements for the management of risk.</w:t>
      </w:r>
    </w:p>
    <w:p w14:paraId="1509C48D" w14:textId="77777777" w:rsidR="00557F3D" w:rsidRPr="00557F3D" w:rsidRDefault="00557F3D" w:rsidP="00557F3D">
      <w:pPr>
        <w:pStyle w:val="Heading2"/>
        <w:keepNext w:val="0"/>
        <w:widowControl w:val="0"/>
        <w:tabs>
          <w:tab w:val="clear" w:pos="576"/>
        </w:tabs>
        <w:spacing w:after="240"/>
        <w:ind w:left="851" w:hanging="851"/>
        <w:jc w:val="left"/>
        <w:rPr>
          <w:b w:val="0"/>
          <w:sz w:val="22"/>
          <w:szCs w:val="22"/>
        </w:rPr>
      </w:pPr>
      <w:r w:rsidRPr="00557F3D">
        <w:rPr>
          <w:b w:val="0"/>
          <w:sz w:val="22"/>
          <w:szCs w:val="22"/>
        </w:rPr>
        <w:t xml:space="preserve">The elements of the CIPFA/SOLACE Framework Delivering Good Governance in Local Government (updated in 2016) are embedded throughout the Council’s Constitution and other strategies. This statement explains how the Council has complied with the framework and also meets the requirements of regulation 4(3) of the Accounts and Audit (England) Regulations 2011 in relation to the publication of an Annual Governance Statement (“AGS”). </w:t>
      </w:r>
    </w:p>
    <w:p w14:paraId="32C60481" w14:textId="77777777" w:rsidR="00557F3D" w:rsidRPr="00557F3D" w:rsidRDefault="00557F3D" w:rsidP="00557F3D">
      <w:pPr>
        <w:pStyle w:val="Heading1"/>
        <w:rPr>
          <w:sz w:val="22"/>
          <w:szCs w:val="22"/>
        </w:rPr>
      </w:pPr>
      <w:r w:rsidRPr="00557F3D">
        <w:rPr>
          <w:sz w:val="22"/>
          <w:szCs w:val="22"/>
        </w:rPr>
        <w:t xml:space="preserve">The Purpose of the Governance Framework </w:t>
      </w:r>
    </w:p>
    <w:p w14:paraId="71A793F0" w14:textId="77777777" w:rsidR="00557F3D" w:rsidRPr="00557F3D" w:rsidRDefault="00557F3D" w:rsidP="00557F3D">
      <w:pPr>
        <w:pStyle w:val="Heading2"/>
        <w:keepNext w:val="0"/>
        <w:widowControl w:val="0"/>
        <w:tabs>
          <w:tab w:val="clear" w:pos="576"/>
        </w:tabs>
        <w:spacing w:after="240"/>
        <w:ind w:left="851" w:hanging="851"/>
        <w:jc w:val="left"/>
        <w:rPr>
          <w:b w:val="0"/>
          <w:sz w:val="22"/>
          <w:szCs w:val="22"/>
        </w:rPr>
      </w:pPr>
      <w:r w:rsidRPr="00557F3D">
        <w:rPr>
          <w:b w:val="0"/>
          <w:sz w:val="22"/>
          <w:szCs w:val="22"/>
        </w:rPr>
        <w:t>The governance framework comprises the systems, processes, culture and values by which the Council is managed and controlled and its activities through which it accounts to, engages with and leads the community.  It enables the Council to monitor the achievement of its strategic objectives and to consider whether those objectives have led to the delivery of appropriate, cost-effective services.</w:t>
      </w:r>
    </w:p>
    <w:p w14:paraId="44E35E8A" w14:textId="77777777" w:rsidR="00557F3D" w:rsidRPr="00557F3D" w:rsidRDefault="00557F3D" w:rsidP="00557F3D">
      <w:pPr>
        <w:pStyle w:val="Heading2"/>
        <w:keepNext w:val="0"/>
        <w:widowControl w:val="0"/>
        <w:tabs>
          <w:tab w:val="clear" w:pos="576"/>
        </w:tabs>
        <w:spacing w:after="240"/>
        <w:ind w:left="851" w:hanging="851"/>
        <w:jc w:val="left"/>
        <w:rPr>
          <w:b w:val="0"/>
          <w:sz w:val="22"/>
          <w:szCs w:val="22"/>
        </w:rPr>
      </w:pPr>
      <w:r w:rsidRPr="00557F3D">
        <w:rPr>
          <w:b w:val="0"/>
          <w:sz w:val="22"/>
          <w:szCs w:val="22"/>
        </w:rPr>
        <w:t>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 is based on an ongoing process designed to identify and prioritise the risks to the achievement of the Council’s policies, aims and objectives, to evaluate the likelihood of those risks being realised and the impact should they be realised, and to manage them efficiently, effectively and economically by identifying and implementing measures to reduce the likelihood of the risks being realised and to negate or mitigate their potential impact.</w:t>
      </w:r>
    </w:p>
    <w:p w14:paraId="61AEB3D1" w14:textId="77777777" w:rsidR="00557F3D" w:rsidRPr="00557F3D" w:rsidRDefault="00557F3D" w:rsidP="00557F3D">
      <w:pPr>
        <w:pStyle w:val="Heading2"/>
        <w:keepNext w:val="0"/>
        <w:widowControl w:val="0"/>
        <w:tabs>
          <w:tab w:val="clear" w:pos="576"/>
        </w:tabs>
        <w:spacing w:after="240"/>
        <w:ind w:left="851" w:hanging="851"/>
        <w:jc w:val="left"/>
        <w:rPr>
          <w:b w:val="0"/>
          <w:sz w:val="22"/>
          <w:szCs w:val="22"/>
        </w:rPr>
      </w:pPr>
      <w:r w:rsidRPr="00557F3D">
        <w:rPr>
          <w:b w:val="0"/>
          <w:sz w:val="22"/>
          <w:szCs w:val="22"/>
        </w:rPr>
        <w:t>The governance framework has been in place at Rutland County Council for the year ended 31 March 2020 and up to the date of approval of the statement of accounts.  Key events and issues falling outside of the 19/20 financial year but relevant to the Governance Framework are included in this AGS.</w:t>
      </w:r>
    </w:p>
    <w:p w14:paraId="0635310C" w14:textId="77777777" w:rsidR="00557F3D" w:rsidRPr="00557F3D" w:rsidRDefault="00557F3D" w:rsidP="00557F3D">
      <w:pPr>
        <w:pStyle w:val="Heading1"/>
        <w:rPr>
          <w:sz w:val="22"/>
          <w:szCs w:val="22"/>
        </w:rPr>
      </w:pPr>
      <w:r w:rsidRPr="00557F3D">
        <w:rPr>
          <w:sz w:val="22"/>
          <w:szCs w:val="22"/>
        </w:rPr>
        <w:t>The Governance Framework</w:t>
      </w:r>
    </w:p>
    <w:p w14:paraId="41A73DDA" w14:textId="77777777" w:rsidR="00557F3D" w:rsidRPr="00557F3D" w:rsidRDefault="00557F3D" w:rsidP="00557F3D">
      <w:pPr>
        <w:pStyle w:val="Heading2"/>
        <w:keepNext w:val="0"/>
        <w:widowControl w:val="0"/>
        <w:tabs>
          <w:tab w:val="clear" w:pos="576"/>
        </w:tabs>
        <w:spacing w:after="240"/>
        <w:ind w:left="851" w:hanging="851"/>
        <w:jc w:val="left"/>
      </w:pPr>
      <w:r w:rsidRPr="00557F3D">
        <w:rPr>
          <w:sz w:val="22"/>
          <w:szCs w:val="22"/>
        </w:rPr>
        <w:t>Overview</w:t>
      </w:r>
    </w:p>
    <w:p w14:paraId="47FC9947" w14:textId="77777777" w:rsidR="00557F3D" w:rsidRPr="00E462C4" w:rsidRDefault="00557F3D" w:rsidP="00557F3D">
      <w:pPr>
        <w:pStyle w:val="Heading3"/>
        <w:keepNext w:val="0"/>
        <w:widowControl w:val="0"/>
        <w:tabs>
          <w:tab w:val="clear" w:pos="720"/>
        </w:tabs>
        <w:spacing w:after="240"/>
        <w:ind w:left="851" w:hanging="851"/>
        <w:jc w:val="left"/>
      </w:pPr>
      <w:r w:rsidRPr="00CE08D0">
        <w:t xml:space="preserve">The Council has a ‘Local Code of Governance’ which states our commitment to complying with the principles of good governance and references relevant documents where stakeholders can find out more. This section of the AGS </w:t>
      </w:r>
      <w:r w:rsidRPr="00CE08D0">
        <w:lastRenderedPageBreak/>
        <w:t xml:space="preserve">describes some of </w:t>
      </w:r>
      <w:r>
        <w:t>our arrangements in more detail.</w:t>
      </w:r>
    </w:p>
    <w:p w14:paraId="409124C4" w14:textId="77777777" w:rsidR="00557F3D" w:rsidRPr="00557F3D" w:rsidRDefault="00557F3D" w:rsidP="00557F3D">
      <w:pPr>
        <w:pStyle w:val="Heading2"/>
        <w:keepNext w:val="0"/>
        <w:widowControl w:val="0"/>
        <w:tabs>
          <w:tab w:val="clear" w:pos="576"/>
        </w:tabs>
        <w:spacing w:after="240"/>
        <w:ind w:left="851" w:hanging="851"/>
        <w:jc w:val="left"/>
        <w:rPr>
          <w:sz w:val="22"/>
          <w:szCs w:val="22"/>
        </w:rPr>
      </w:pPr>
      <w:r w:rsidRPr="00557F3D">
        <w:rPr>
          <w:sz w:val="22"/>
          <w:szCs w:val="22"/>
        </w:rPr>
        <w:t>Coronavirus Pandemic</w:t>
      </w:r>
    </w:p>
    <w:p w14:paraId="1B3C433B" w14:textId="77777777" w:rsidR="00557F3D" w:rsidRPr="00757266" w:rsidRDefault="00557F3D" w:rsidP="00557F3D">
      <w:pPr>
        <w:pStyle w:val="Heading3"/>
        <w:keepNext w:val="0"/>
        <w:widowControl w:val="0"/>
        <w:tabs>
          <w:tab w:val="clear" w:pos="720"/>
        </w:tabs>
        <w:spacing w:after="240"/>
        <w:ind w:left="851" w:hanging="851"/>
        <w:jc w:val="left"/>
      </w:pPr>
      <w:r w:rsidRPr="00CE08D0">
        <w:t>From mid-February, the Council joined the Leicestershire, Leicester and Rutland (LLR) Local Resilience Forum (LRF) in preparing its response to the Coronavirus pandemic.  The Council also invoked the emergency delegation in the Constitution (11.10.5) which allows the Chief Executive “to take any urgent action necessary in the event of a civil emergency and deal with matters relating to civil protection/emergency planning arising from the Council’s powers and duties under the appropriate legislation.” and the provisions in the Financial Procedure Rules (4.6) which allows the Chief Finance Officer to put in place alternative financial systems in the case of a major incident.  As part its response, the Council quickly established a Local Strategic Coordinating Group (LSCG) comprising of senior management and a Local Tactical Coordinating Group (LTCG) involving key officers from across the Council.  </w:t>
      </w:r>
      <w:r>
        <w:t>T</w:t>
      </w:r>
      <w:r w:rsidRPr="00CE08D0">
        <w:t xml:space="preserve">hese Groups </w:t>
      </w:r>
      <w:r>
        <w:t xml:space="preserve">still continue today and </w:t>
      </w:r>
      <w:r w:rsidRPr="00CE08D0">
        <w:t>coordinat</w:t>
      </w:r>
      <w:r>
        <w:t>e</w:t>
      </w:r>
      <w:r w:rsidRPr="00CE08D0">
        <w:t xml:space="preserve"> the Council’s response which </w:t>
      </w:r>
      <w:r>
        <w:t xml:space="preserve">has </w:t>
      </w:r>
      <w:r w:rsidRPr="00CE08D0">
        <w:t>focused on:</w:t>
      </w:r>
    </w:p>
    <w:p w14:paraId="71EBE19B" w14:textId="77777777" w:rsidR="00557F3D" w:rsidRPr="00557F3D" w:rsidRDefault="00557F3D" w:rsidP="00203885">
      <w:pPr>
        <w:pStyle w:val="BulletPoint"/>
        <w:numPr>
          <w:ilvl w:val="0"/>
          <w:numId w:val="36"/>
        </w:numPr>
        <w:rPr>
          <w:sz w:val="22"/>
          <w:szCs w:val="22"/>
        </w:rPr>
      </w:pPr>
      <w:r w:rsidRPr="00557F3D">
        <w:rPr>
          <w:sz w:val="22"/>
          <w:szCs w:val="22"/>
        </w:rPr>
        <w:t>Participating in all of the LRG Groups and Cells covering a range of issues from Personal Protective Equipment to Business issues</w:t>
      </w:r>
    </w:p>
    <w:p w14:paraId="013AF9D6" w14:textId="77777777" w:rsidR="00557F3D" w:rsidRPr="00557F3D" w:rsidRDefault="00557F3D" w:rsidP="00203885">
      <w:pPr>
        <w:pStyle w:val="BulletPoint"/>
        <w:numPr>
          <w:ilvl w:val="0"/>
          <w:numId w:val="36"/>
        </w:numPr>
        <w:rPr>
          <w:sz w:val="22"/>
          <w:szCs w:val="22"/>
        </w:rPr>
      </w:pPr>
      <w:r w:rsidRPr="00557F3D">
        <w:rPr>
          <w:sz w:val="22"/>
          <w:szCs w:val="22"/>
        </w:rPr>
        <w:t>Establishing a revised operational structure so that resources could be focused on delivering ‘business as usual’ activity as far as possible and responding to the needs of vulnerable people through Operation Shield (announced 22</w:t>
      </w:r>
      <w:r w:rsidRPr="00557F3D">
        <w:rPr>
          <w:sz w:val="22"/>
          <w:szCs w:val="22"/>
          <w:vertAlign w:val="superscript"/>
        </w:rPr>
        <w:t>nd</w:t>
      </w:r>
      <w:r w:rsidRPr="00557F3D">
        <w:rPr>
          <w:sz w:val="22"/>
          <w:szCs w:val="22"/>
        </w:rPr>
        <w:t xml:space="preserve"> March)</w:t>
      </w:r>
    </w:p>
    <w:p w14:paraId="4E8F4A67" w14:textId="77777777" w:rsidR="00557F3D" w:rsidRPr="00557F3D" w:rsidRDefault="00557F3D" w:rsidP="00203885">
      <w:pPr>
        <w:pStyle w:val="BulletPoint"/>
        <w:numPr>
          <w:ilvl w:val="0"/>
          <w:numId w:val="36"/>
        </w:numPr>
        <w:rPr>
          <w:sz w:val="22"/>
          <w:szCs w:val="22"/>
        </w:rPr>
      </w:pPr>
      <w:r w:rsidRPr="00557F3D">
        <w:rPr>
          <w:sz w:val="22"/>
          <w:szCs w:val="22"/>
        </w:rPr>
        <w:t xml:space="preserve">Reviewing all key services, in accordance with Government guidance, and determining which services could continue as ‘business as usual’ and which services would be stopped </w:t>
      </w:r>
    </w:p>
    <w:p w14:paraId="6A262C15" w14:textId="77777777" w:rsidR="00557F3D" w:rsidRPr="00557F3D" w:rsidRDefault="00557F3D" w:rsidP="00203885">
      <w:pPr>
        <w:pStyle w:val="BulletPoint"/>
        <w:numPr>
          <w:ilvl w:val="0"/>
          <w:numId w:val="36"/>
        </w:numPr>
        <w:rPr>
          <w:sz w:val="22"/>
          <w:szCs w:val="22"/>
        </w:rPr>
      </w:pPr>
      <w:r w:rsidRPr="00557F3D">
        <w:rPr>
          <w:sz w:val="22"/>
          <w:szCs w:val="22"/>
        </w:rPr>
        <w:t>Developing an approach to the “shielding of vulnerable people” – i.e. supporting those people who are vulnerable, and who have no other means of support – (obtaining required medication; obtaining food; support with social isolation and other welfare support).</w:t>
      </w:r>
    </w:p>
    <w:p w14:paraId="5575FEB0" w14:textId="77777777" w:rsidR="00557F3D" w:rsidRPr="00557F3D" w:rsidRDefault="00557F3D" w:rsidP="00203885">
      <w:pPr>
        <w:pStyle w:val="BulletPoint"/>
        <w:numPr>
          <w:ilvl w:val="0"/>
          <w:numId w:val="36"/>
        </w:numPr>
        <w:rPr>
          <w:sz w:val="22"/>
          <w:szCs w:val="22"/>
        </w:rPr>
      </w:pPr>
      <w:r w:rsidRPr="00557F3D">
        <w:rPr>
          <w:sz w:val="22"/>
          <w:szCs w:val="22"/>
        </w:rPr>
        <w:t>Deploying new technology to enable staff to work at home under ‘lockdown’</w:t>
      </w:r>
    </w:p>
    <w:p w14:paraId="2AB896B5" w14:textId="77777777" w:rsidR="00557F3D" w:rsidRPr="00557F3D" w:rsidRDefault="00557F3D" w:rsidP="00203885">
      <w:pPr>
        <w:pStyle w:val="BulletPoint"/>
        <w:numPr>
          <w:ilvl w:val="0"/>
          <w:numId w:val="36"/>
        </w:numPr>
        <w:rPr>
          <w:sz w:val="22"/>
          <w:szCs w:val="22"/>
        </w:rPr>
      </w:pPr>
      <w:r w:rsidRPr="00557F3D">
        <w:rPr>
          <w:sz w:val="22"/>
          <w:szCs w:val="22"/>
        </w:rPr>
        <w:t>Redeploying staff to areas of greatest need as services were reduced or discontinued</w:t>
      </w:r>
    </w:p>
    <w:p w14:paraId="067A5F65" w14:textId="77777777" w:rsidR="00557F3D" w:rsidRPr="00557F3D" w:rsidRDefault="00557F3D" w:rsidP="00203885">
      <w:pPr>
        <w:pStyle w:val="BulletPoint"/>
        <w:numPr>
          <w:ilvl w:val="0"/>
          <w:numId w:val="36"/>
        </w:numPr>
        <w:rPr>
          <w:sz w:val="22"/>
          <w:szCs w:val="22"/>
        </w:rPr>
      </w:pPr>
      <w:r w:rsidRPr="00557F3D">
        <w:rPr>
          <w:sz w:val="22"/>
          <w:szCs w:val="22"/>
        </w:rPr>
        <w:t>Delivering key Government initiatives such as payment of business rate grants and reliefs, ensuring ongoing payments to key suppliers/contractors and enforcing social distancing measures.</w:t>
      </w:r>
    </w:p>
    <w:p w14:paraId="1FAA5DAA" w14:textId="77777777" w:rsidR="00557F3D" w:rsidRPr="00CE08D0" w:rsidRDefault="00557F3D" w:rsidP="00557F3D">
      <w:pPr>
        <w:pStyle w:val="Heading3"/>
        <w:keepNext w:val="0"/>
        <w:widowControl w:val="0"/>
        <w:tabs>
          <w:tab w:val="clear" w:pos="720"/>
        </w:tabs>
        <w:spacing w:after="240"/>
        <w:ind w:left="851" w:hanging="851"/>
        <w:jc w:val="left"/>
      </w:pPr>
      <w:r w:rsidRPr="00CE08D0">
        <w:t>From a governance perspective, the following key arrangements were put in place underneath the work of the LSCG and LTCG</w:t>
      </w:r>
    </w:p>
    <w:p w14:paraId="65D81088" w14:textId="77777777" w:rsidR="00557F3D" w:rsidRPr="00557F3D" w:rsidRDefault="00557F3D" w:rsidP="00203885">
      <w:pPr>
        <w:pStyle w:val="BulletPoint"/>
        <w:numPr>
          <w:ilvl w:val="0"/>
          <w:numId w:val="36"/>
        </w:numPr>
        <w:rPr>
          <w:sz w:val="22"/>
          <w:szCs w:val="22"/>
        </w:rPr>
      </w:pPr>
      <w:r w:rsidRPr="00557F3D">
        <w:rPr>
          <w:sz w:val="22"/>
          <w:szCs w:val="22"/>
        </w:rPr>
        <w:t>The Council structure was revised with two key cells created (a BAU and Operations cell and a Health, Social Care and isolation cell led by SMT members)</w:t>
      </w:r>
    </w:p>
    <w:p w14:paraId="2CFF2014" w14:textId="77777777" w:rsidR="00557F3D" w:rsidRPr="00557F3D" w:rsidRDefault="00557F3D" w:rsidP="00203885">
      <w:pPr>
        <w:pStyle w:val="BulletPoint"/>
        <w:numPr>
          <w:ilvl w:val="0"/>
          <w:numId w:val="36"/>
        </w:numPr>
        <w:rPr>
          <w:sz w:val="22"/>
          <w:szCs w:val="22"/>
        </w:rPr>
      </w:pPr>
      <w:r w:rsidRPr="00557F3D">
        <w:rPr>
          <w:sz w:val="22"/>
          <w:szCs w:val="22"/>
        </w:rPr>
        <w:t>Decision making at both the RSCG and RTCG levels informed the agenda and direction of travel for both Cells</w:t>
      </w:r>
    </w:p>
    <w:p w14:paraId="527E5D9B" w14:textId="77777777" w:rsidR="00557F3D" w:rsidRPr="00557F3D" w:rsidRDefault="00557F3D" w:rsidP="00203885">
      <w:pPr>
        <w:pStyle w:val="BulletPoint"/>
        <w:numPr>
          <w:ilvl w:val="0"/>
          <w:numId w:val="36"/>
        </w:numPr>
        <w:rPr>
          <w:sz w:val="22"/>
          <w:szCs w:val="22"/>
        </w:rPr>
      </w:pPr>
      <w:r w:rsidRPr="00557F3D">
        <w:rPr>
          <w:sz w:val="22"/>
          <w:szCs w:val="22"/>
        </w:rPr>
        <w:t>The Cells met at least twice weekly, with all meetings minuted with actions</w:t>
      </w:r>
    </w:p>
    <w:p w14:paraId="54D9E1F1" w14:textId="77777777" w:rsidR="00557F3D" w:rsidRPr="00557F3D" w:rsidRDefault="00557F3D" w:rsidP="00203885">
      <w:pPr>
        <w:pStyle w:val="BulletPoint"/>
        <w:numPr>
          <w:ilvl w:val="0"/>
          <w:numId w:val="36"/>
        </w:numPr>
        <w:rPr>
          <w:sz w:val="22"/>
          <w:szCs w:val="22"/>
        </w:rPr>
      </w:pPr>
      <w:r w:rsidRPr="00557F3D">
        <w:rPr>
          <w:sz w:val="22"/>
          <w:szCs w:val="22"/>
        </w:rPr>
        <w:lastRenderedPageBreak/>
        <w:t>Below the two main cells various sub-cells were created to focus on specific issues such as advice and hardship</w:t>
      </w:r>
    </w:p>
    <w:p w14:paraId="45BDC433" w14:textId="77777777" w:rsidR="00557F3D" w:rsidRPr="00557F3D" w:rsidRDefault="00557F3D" w:rsidP="00203885">
      <w:pPr>
        <w:pStyle w:val="BulletPoint"/>
        <w:numPr>
          <w:ilvl w:val="0"/>
          <w:numId w:val="36"/>
        </w:numPr>
        <w:rPr>
          <w:sz w:val="22"/>
          <w:szCs w:val="22"/>
        </w:rPr>
      </w:pPr>
      <w:r w:rsidRPr="00557F3D">
        <w:rPr>
          <w:sz w:val="22"/>
          <w:szCs w:val="22"/>
        </w:rPr>
        <w:t>A Status and Data report was developed to capture key information to inform decision making</w:t>
      </w:r>
    </w:p>
    <w:p w14:paraId="1C1CB6B7" w14:textId="77777777" w:rsidR="00557F3D" w:rsidRPr="00557F3D" w:rsidRDefault="00557F3D" w:rsidP="00203885">
      <w:pPr>
        <w:pStyle w:val="BulletPoint"/>
        <w:numPr>
          <w:ilvl w:val="0"/>
          <w:numId w:val="36"/>
        </w:numPr>
        <w:rPr>
          <w:sz w:val="22"/>
          <w:szCs w:val="22"/>
        </w:rPr>
      </w:pPr>
      <w:r w:rsidRPr="00557F3D">
        <w:rPr>
          <w:sz w:val="22"/>
          <w:szCs w:val="22"/>
        </w:rPr>
        <w:t>Reporting was a two-way flow, where information coming from the Cells was put in to Status and Data Reports and formally submitted to the LSCG three times a week (Monday, Wednesday and Friday) with issues raised for decision making</w:t>
      </w:r>
    </w:p>
    <w:p w14:paraId="149A4A53" w14:textId="77777777" w:rsidR="00557F3D" w:rsidRPr="00557F3D" w:rsidRDefault="00557F3D" w:rsidP="00203885">
      <w:pPr>
        <w:pStyle w:val="BulletPoint"/>
        <w:numPr>
          <w:ilvl w:val="0"/>
          <w:numId w:val="36"/>
        </w:numPr>
        <w:rPr>
          <w:sz w:val="22"/>
          <w:szCs w:val="22"/>
        </w:rPr>
      </w:pPr>
      <w:r w:rsidRPr="00557F3D">
        <w:rPr>
          <w:sz w:val="22"/>
          <w:szCs w:val="22"/>
        </w:rPr>
        <w:t>An Executive Decision log was created to record all Executive decisions</w:t>
      </w:r>
    </w:p>
    <w:p w14:paraId="7E21FC55" w14:textId="77777777" w:rsidR="00557F3D" w:rsidRPr="00557F3D" w:rsidRDefault="00557F3D" w:rsidP="00203885">
      <w:pPr>
        <w:pStyle w:val="BulletPoint"/>
        <w:numPr>
          <w:ilvl w:val="0"/>
          <w:numId w:val="36"/>
        </w:numPr>
        <w:rPr>
          <w:sz w:val="22"/>
          <w:szCs w:val="22"/>
        </w:rPr>
      </w:pPr>
      <w:r w:rsidRPr="00557F3D">
        <w:rPr>
          <w:sz w:val="22"/>
          <w:szCs w:val="22"/>
        </w:rPr>
        <w:t>Separate finance cost centres were created and maintained to record all funding received and costs and changes to finance systems enacted to facilitate decision making</w:t>
      </w:r>
    </w:p>
    <w:p w14:paraId="78DA5332" w14:textId="77777777" w:rsidR="00557F3D" w:rsidRPr="00557F3D" w:rsidRDefault="00557F3D" w:rsidP="00203885">
      <w:pPr>
        <w:pStyle w:val="BulletPoint"/>
        <w:numPr>
          <w:ilvl w:val="0"/>
          <w:numId w:val="36"/>
        </w:numPr>
        <w:rPr>
          <w:sz w:val="22"/>
          <w:szCs w:val="22"/>
        </w:rPr>
      </w:pPr>
      <w:r w:rsidRPr="00557F3D">
        <w:rPr>
          <w:sz w:val="22"/>
          <w:szCs w:val="22"/>
        </w:rPr>
        <w:t>Verbal briefings were provided to Cabinet (daily), all Members (weekly) and Parish Council (weekly) alongside daily written communications</w:t>
      </w:r>
    </w:p>
    <w:p w14:paraId="6AB68AFD" w14:textId="77777777" w:rsidR="00557F3D" w:rsidRPr="00557F3D" w:rsidRDefault="00557F3D" w:rsidP="00557F3D">
      <w:pPr>
        <w:pStyle w:val="Heading3"/>
        <w:keepNext w:val="0"/>
        <w:widowControl w:val="0"/>
        <w:tabs>
          <w:tab w:val="clear" w:pos="720"/>
        </w:tabs>
        <w:spacing w:after="240"/>
        <w:ind w:left="851" w:hanging="851"/>
        <w:jc w:val="left"/>
        <w:rPr>
          <w:szCs w:val="22"/>
        </w:rPr>
      </w:pPr>
      <w:r w:rsidRPr="00557F3D">
        <w:rPr>
          <w:szCs w:val="22"/>
        </w:rPr>
        <w:t>The longer-term impacts and consequences on the Council are still uncertain but can be categorised as follow:</w:t>
      </w:r>
    </w:p>
    <w:p w14:paraId="77FF066A" w14:textId="77777777" w:rsidR="00557F3D" w:rsidRPr="00557F3D" w:rsidRDefault="00557F3D" w:rsidP="00203885">
      <w:pPr>
        <w:pStyle w:val="BulletPoint"/>
        <w:numPr>
          <w:ilvl w:val="0"/>
          <w:numId w:val="36"/>
        </w:numPr>
        <w:rPr>
          <w:sz w:val="22"/>
          <w:szCs w:val="22"/>
        </w:rPr>
      </w:pPr>
      <w:r w:rsidRPr="00557F3D">
        <w:rPr>
          <w:sz w:val="22"/>
          <w:szCs w:val="22"/>
        </w:rPr>
        <w:t>Financial – the Council is monitoring its position.  It has received Government funding to deal specifically with the response but the bigger concerns are the impact on the Medium Term Financial plan of lost income (with key income generating services stopped), a drop in collection rates for council tax and business rates, any additional costs incurred as key services are restored (and backlog issues dealt with) and the fallout on the local economy.</w:t>
      </w:r>
    </w:p>
    <w:p w14:paraId="0DA6100A" w14:textId="77777777" w:rsidR="00557F3D" w:rsidRPr="00557F3D" w:rsidRDefault="00557F3D" w:rsidP="00203885">
      <w:pPr>
        <w:pStyle w:val="BulletPoint"/>
        <w:numPr>
          <w:ilvl w:val="0"/>
          <w:numId w:val="36"/>
        </w:numPr>
        <w:rPr>
          <w:sz w:val="22"/>
          <w:szCs w:val="22"/>
        </w:rPr>
      </w:pPr>
      <w:r w:rsidRPr="00557F3D">
        <w:rPr>
          <w:sz w:val="22"/>
          <w:szCs w:val="22"/>
        </w:rPr>
        <w:t xml:space="preserve">Operational impacts – with key services stopped and resources diverted, officers will have to reinstate key services and catch up on a backlog of issues.  Whilst work is being done to mitigate some of this work, the extent of recovery is likely to be significant. </w:t>
      </w:r>
    </w:p>
    <w:p w14:paraId="36C2091B" w14:textId="77777777" w:rsidR="00557F3D" w:rsidRPr="00557F3D" w:rsidRDefault="00557F3D" w:rsidP="00557F3D">
      <w:pPr>
        <w:pStyle w:val="Heading3"/>
        <w:keepNext w:val="0"/>
        <w:widowControl w:val="0"/>
        <w:tabs>
          <w:tab w:val="clear" w:pos="720"/>
        </w:tabs>
        <w:spacing w:after="240"/>
        <w:ind w:left="851" w:hanging="851"/>
        <w:jc w:val="left"/>
        <w:rPr>
          <w:szCs w:val="22"/>
        </w:rPr>
      </w:pPr>
      <w:r w:rsidRPr="00557F3D">
        <w:rPr>
          <w:szCs w:val="22"/>
        </w:rPr>
        <w:t xml:space="preserve">The Council's senior management have engaged with the Internal Audit service to review their role during the Coronavirus pandemic and seek suitable assurances on financial management and governance during this challenging time.  It has been agreed that Internal Audit will conduct reviews on expenditure, decision making and key financial controls during this period.  The approach has been discussed and agreed with the s151 officer and the Chair of the Audit and Risk Committee, both of whom will receive regular updates on the outcomes, and the assurances secured from the work will be reported to the Audit and Risk Committee in due course.  </w:t>
      </w:r>
    </w:p>
    <w:p w14:paraId="4CE4107F" w14:textId="77777777" w:rsidR="00557F3D" w:rsidRPr="00557F3D" w:rsidRDefault="00557F3D" w:rsidP="00557F3D">
      <w:pPr>
        <w:pStyle w:val="Heading3"/>
        <w:keepNext w:val="0"/>
        <w:widowControl w:val="0"/>
        <w:tabs>
          <w:tab w:val="clear" w:pos="720"/>
        </w:tabs>
        <w:spacing w:after="240"/>
        <w:ind w:left="851" w:hanging="851"/>
        <w:jc w:val="left"/>
        <w:rPr>
          <w:szCs w:val="22"/>
        </w:rPr>
      </w:pPr>
      <w:r w:rsidRPr="00557F3D">
        <w:rPr>
          <w:szCs w:val="22"/>
        </w:rPr>
        <w:t>The remainder of this document includes comments on how the pandemic has impacted governance arrangements where applicable.</w:t>
      </w:r>
    </w:p>
    <w:p w14:paraId="6459C11C" w14:textId="77777777" w:rsidR="00557F3D" w:rsidRPr="00557F3D" w:rsidRDefault="00557F3D" w:rsidP="00557F3D">
      <w:pPr>
        <w:pStyle w:val="Heading2"/>
        <w:keepNext w:val="0"/>
        <w:widowControl w:val="0"/>
        <w:tabs>
          <w:tab w:val="clear" w:pos="576"/>
        </w:tabs>
        <w:spacing w:after="240"/>
        <w:ind w:left="851" w:hanging="851"/>
        <w:jc w:val="left"/>
        <w:rPr>
          <w:sz w:val="22"/>
          <w:szCs w:val="22"/>
        </w:rPr>
      </w:pPr>
      <w:r w:rsidRPr="00557F3D">
        <w:rPr>
          <w:sz w:val="22"/>
          <w:szCs w:val="22"/>
        </w:rPr>
        <w:t xml:space="preserve">Vision, Aims and Objectives </w:t>
      </w:r>
    </w:p>
    <w:p w14:paraId="62523B5E" w14:textId="77777777" w:rsidR="00557F3D" w:rsidRPr="00CE08D0" w:rsidRDefault="00557F3D" w:rsidP="00557F3D">
      <w:pPr>
        <w:pStyle w:val="Heading3"/>
        <w:keepNext w:val="0"/>
        <w:widowControl w:val="0"/>
        <w:tabs>
          <w:tab w:val="clear" w:pos="720"/>
        </w:tabs>
        <w:spacing w:after="240"/>
        <w:ind w:left="851" w:hanging="851"/>
        <w:jc w:val="left"/>
      </w:pPr>
      <w:r w:rsidRPr="00CE08D0">
        <w:rPr>
          <w:lang w:eastAsia="en-GB"/>
        </w:rPr>
        <w:t xml:space="preserve">The Council has a new Corporate Plan covering the period 2019 – 2024. The Corporate Plan serves as a roadmap for what the Council wants to achieve during its current four-year term. </w:t>
      </w:r>
      <w:r w:rsidRPr="00CE08D0">
        <w:t xml:space="preserve">The Plan was developed following the local elections in May 2019.  </w:t>
      </w:r>
    </w:p>
    <w:p w14:paraId="07BC6A15" w14:textId="77777777" w:rsidR="00557F3D" w:rsidRPr="00757266" w:rsidRDefault="00557F3D" w:rsidP="00557F3D">
      <w:pPr>
        <w:pStyle w:val="Heading3"/>
        <w:keepNext w:val="0"/>
        <w:widowControl w:val="0"/>
        <w:tabs>
          <w:tab w:val="clear" w:pos="720"/>
        </w:tabs>
        <w:spacing w:after="240"/>
        <w:ind w:left="851" w:hanging="851"/>
        <w:jc w:val="left"/>
      </w:pPr>
      <w:r w:rsidRPr="00CE08D0">
        <w:t>The Plan was taken through the Scrutiny process</w:t>
      </w:r>
      <w:r w:rsidRPr="00CE08D0">
        <w:rPr>
          <w:lang w:eastAsia="en-GB"/>
        </w:rPr>
        <w:t xml:space="preserve"> and approved in January 2020.</w:t>
      </w:r>
      <w:r w:rsidRPr="00CE08D0">
        <w:t xml:space="preserve"> The Plan can be found here: </w:t>
      </w:r>
    </w:p>
    <w:p w14:paraId="623E4E71" w14:textId="77777777" w:rsidR="00557F3D" w:rsidRPr="00557F3D" w:rsidRDefault="00661E70" w:rsidP="00557F3D">
      <w:pPr>
        <w:shd w:val="clear" w:color="auto" w:fill="FFFFFF"/>
        <w:rPr>
          <w:color w:val="0563C1" w:themeColor="hyperlink"/>
          <w:szCs w:val="22"/>
          <w:u w:val="single"/>
          <w:lang w:eastAsia="en-GB"/>
        </w:rPr>
      </w:pPr>
      <w:hyperlink r:id="rId23" w:history="1">
        <w:r w:rsidR="00557F3D" w:rsidRPr="00557F3D">
          <w:rPr>
            <w:rStyle w:val="Hyperlink"/>
            <w:szCs w:val="22"/>
          </w:rPr>
          <w:t>https://www.rutland.gov.uk/my-council/how-the-council-works/key-plans-policies-and-strategies/corporate-plan/</w:t>
        </w:r>
      </w:hyperlink>
    </w:p>
    <w:p w14:paraId="0B542257" w14:textId="77777777" w:rsidR="00557F3D" w:rsidRPr="00CE08D0" w:rsidRDefault="00557F3D" w:rsidP="00557F3D">
      <w:pPr>
        <w:shd w:val="clear" w:color="auto" w:fill="FFFFFF"/>
        <w:rPr>
          <w:color w:val="0563C1" w:themeColor="hyperlink"/>
          <w:u w:val="single"/>
          <w:lang w:eastAsia="en-GB"/>
        </w:rPr>
      </w:pPr>
    </w:p>
    <w:p w14:paraId="35B61C8D" w14:textId="77777777" w:rsidR="00557F3D" w:rsidRPr="00557F3D" w:rsidRDefault="00557F3D" w:rsidP="00557F3D">
      <w:pPr>
        <w:pStyle w:val="Heading3"/>
        <w:keepNext w:val="0"/>
        <w:widowControl w:val="0"/>
        <w:tabs>
          <w:tab w:val="clear" w:pos="720"/>
        </w:tabs>
        <w:spacing w:after="240"/>
        <w:ind w:left="851" w:hanging="851"/>
        <w:jc w:val="left"/>
      </w:pPr>
      <w:r w:rsidRPr="00557F3D">
        <w:t>Delivering sustainable development</w:t>
      </w:r>
    </w:p>
    <w:p w14:paraId="267228DD" w14:textId="77777777" w:rsidR="00557F3D" w:rsidRPr="00557F3D" w:rsidRDefault="00557F3D" w:rsidP="00203885">
      <w:pPr>
        <w:pStyle w:val="BulletPoint"/>
        <w:numPr>
          <w:ilvl w:val="0"/>
          <w:numId w:val="36"/>
        </w:numPr>
        <w:rPr>
          <w:sz w:val="22"/>
          <w:szCs w:val="22"/>
        </w:rPr>
      </w:pPr>
      <w:r w:rsidRPr="00557F3D">
        <w:rPr>
          <w:sz w:val="22"/>
          <w:szCs w:val="22"/>
        </w:rPr>
        <w:t>Develop a 50-year vision for Rutland by 31st March 2020</w:t>
      </w:r>
    </w:p>
    <w:p w14:paraId="04965F62" w14:textId="77777777" w:rsidR="00557F3D" w:rsidRPr="00557F3D" w:rsidRDefault="00557F3D" w:rsidP="00203885">
      <w:pPr>
        <w:pStyle w:val="BulletPoint"/>
        <w:numPr>
          <w:ilvl w:val="0"/>
          <w:numId w:val="36"/>
        </w:numPr>
        <w:rPr>
          <w:sz w:val="22"/>
          <w:szCs w:val="22"/>
        </w:rPr>
      </w:pPr>
      <w:r w:rsidRPr="00557F3D">
        <w:rPr>
          <w:sz w:val="22"/>
          <w:szCs w:val="22"/>
        </w:rPr>
        <w:t>Support the delivery of high-quality employment opportunities</w:t>
      </w:r>
    </w:p>
    <w:p w14:paraId="17D5F5D1" w14:textId="77777777" w:rsidR="00557F3D" w:rsidRPr="00557F3D" w:rsidRDefault="00557F3D" w:rsidP="00203885">
      <w:pPr>
        <w:pStyle w:val="BulletPoint"/>
        <w:numPr>
          <w:ilvl w:val="0"/>
          <w:numId w:val="36"/>
        </w:numPr>
        <w:rPr>
          <w:sz w:val="22"/>
          <w:szCs w:val="22"/>
        </w:rPr>
      </w:pPr>
      <w:r w:rsidRPr="00557F3D">
        <w:rPr>
          <w:sz w:val="22"/>
          <w:szCs w:val="22"/>
        </w:rPr>
        <w:t>Commit to the development of a strategic plan for Oakham Enterprise Park</w:t>
      </w:r>
    </w:p>
    <w:p w14:paraId="064403C8" w14:textId="77777777" w:rsidR="00557F3D" w:rsidRPr="00557F3D" w:rsidRDefault="00557F3D" w:rsidP="00203885">
      <w:pPr>
        <w:pStyle w:val="BulletPoint"/>
        <w:numPr>
          <w:ilvl w:val="0"/>
          <w:numId w:val="36"/>
        </w:numPr>
        <w:rPr>
          <w:sz w:val="22"/>
          <w:szCs w:val="22"/>
        </w:rPr>
      </w:pPr>
      <w:r w:rsidRPr="00557F3D">
        <w:rPr>
          <w:sz w:val="22"/>
          <w:szCs w:val="22"/>
        </w:rPr>
        <w:t>Provide homes that young families can afford</w:t>
      </w:r>
    </w:p>
    <w:p w14:paraId="7A51D39D" w14:textId="77777777" w:rsidR="00557F3D" w:rsidRPr="00557F3D" w:rsidRDefault="00557F3D" w:rsidP="00203885">
      <w:pPr>
        <w:pStyle w:val="BulletPoint"/>
        <w:numPr>
          <w:ilvl w:val="0"/>
          <w:numId w:val="36"/>
        </w:numPr>
        <w:rPr>
          <w:sz w:val="22"/>
          <w:szCs w:val="22"/>
        </w:rPr>
      </w:pPr>
      <w:r w:rsidRPr="00557F3D">
        <w:rPr>
          <w:sz w:val="22"/>
          <w:szCs w:val="22"/>
        </w:rPr>
        <w:t>Improve broadband and mobile services</w:t>
      </w:r>
    </w:p>
    <w:p w14:paraId="30302493" w14:textId="77777777" w:rsidR="00557F3D" w:rsidRPr="00557F3D" w:rsidRDefault="00557F3D" w:rsidP="00203885">
      <w:pPr>
        <w:pStyle w:val="BulletPoint"/>
        <w:numPr>
          <w:ilvl w:val="0"/>
          <w:numId w:val="36"/>
        </w:numPr>
        <w:rPr>
          <w:sz w:val="22"/>
          <w:szCs w:val="22"/>
        </w:rPr>
      </w:pPr>
      <w:r w:rsidRPr="00557F3D">
        <w:rPr>
          <w:sz w:val="22"/>
          <w:szCs w:val="22"/>
        </w:rPr>
        <w:t>Make sure that development is supported by services, facilities and transport infrastructure</w:t>
      </w:r>
    </w:p>
    <w:p w14:paraId="41F7DCAA" w14:textId="77777777" w:rsidR="00557F3D" w:rsidRPr="00557F3D" w:rsidRDefault="00557F3D" w:rsidP="00203885">
      <w:pPr>
        <w:pStyle w:val="BulletPoint"/>
        <w:numPr>
          <w:ilvl w:val="0"/>
          <w:numId w:val="36"/>
        </w:numPr>
        <w:rPr>
          <w:sz w:val="22"/>
          <w:szCs w:val="22"/>
        </w:rPr>
      </w:pPr>
      <w:r w:rsidRPr="00557F3D">
        <w:rPr>
          <w:sz w:val="22"/>
          <w:szCs w:val="22"/>
        </w:rPr>
        <w:t>Adopt a sound Local Plan to deliver a minimum of 160 homes each year</w:t>
      </w:r>
    </w:p>
    <w:p w14:paraId="5CD9479D" w14:textId="77777777" w:rsidR="00557F3D" w:rsidRPr="00557F3D" w:rsidRDefault="00557F3D" w:rsidP="00203885">
      <w:pPr>
        <w:pStyle w:val="BulletPoint"/>
        <w:numPr>
          <w:ilvl w:val="0"/>
          <w:numId w:val="36"/>
        </w:numPr>
        <w:rPr>
          <w:sz w:val="22"/>
          <w:szCs w:val="22"/>
        </w:rPr>
      </w:pPr>
      <w:r w:rsidRPr="00557F3D">
        <w:rPr>
          <w:sz w:val="22"/>
          <w:szCs w:val="22"/>
        </w:rPr>
        <w:t>Develop an Environmental Policy to meet Rutland’s needs and the challenge of climate change</w:t>
      </w:r>
    </w:p>
    <w:p w14:paraId="169D346B" w14:textId="77777777" w:rsidR="00557F3D" w:rsidRPr="00557F3D" w:rsidRDefault="00557F3D" w:rsidP="00557F3D">
      <w:pPr>
        <w:pStyle w:val="Heading3"/>
        <w:keepNext w:val="0"/>
        <w:widowControl w:val="0"/>
        <w:tabs>
          <w:tab w:val="clear" w:pos="720"/>
        </w:tabs>
        <w:spacing w:after="240"/>
        <w:ind w:left="851" w:hanging="851"/>
        <w:jc w:val="left"/>
      </w:pPr>
      <w:r w:rsidRPr="00557F3D">
        <w:t>Vibrant Communities </w:t>
      </w:r>
    </w:p>
    <w:p w14:paraId="27F0B34E" w14:textId="77777777" w:rsidR="00557F3D" w:rsidRPr="00557F3D" w:rsidRDefault="00557F3D" w:rsidP="00203885">
      <w:pPr>
        <w:pStyle w:val="BulletPoint"/>
        <w:numPr>
          <w:ilvl w:val="0"/>
          <w:numId w:val="36"/>
        </w:numPr>
        <w:rPr>
          <w:sz w:val="22"/>
          <w:szCs w:val="22"/>
        </w:rPr>
      </w:pPr>
      <w:r w:rsidRPr="00557F3D">
        <w:rPr>
          <w:sz w:val="22"/>
          <w:szCs w:val="22"/>
        </w:rPr>
        <w:t>Protect, maintain, enhance and conserve what makes Rutland great</w:t>
      </w:r>
    </w:p>
    <w:p w14:paraId="581B8749" w14:textId="77777777" w:rsidR="00557F3D" w:rsidRPr="00557F3D" w:rsidRDefault="00557F3D" w:rsidP="00203885">
      <w:pPr>
        <w:pStyle w:val="BulletPoint"/>
        <w:numPr>
          <w:ilvl w:val="0"/>
          <w:numId w:val="36"/>
        </w:numPr>
        <w:rPr>
          <w:sz w:val="22"/>
          <w:szCs w:val="22"/>
        </w:rPr>
      </w:pPr>
      <w:r w:rsidRPr="00557F3D">
        <w:rPr>
          <w:sz w:val="22"/>
          <w:szCs w:val="22"/>
        </w:rPr>
        <w:t>Improve access for children and young people to be engaged out of school</w:t>
      </w:r>
    </w:p>
    <w:p w14:paraId="3321CE17" w14:textId="77777777" w:rsidR="00557F3D" w:rsidRPr="00557F3D" w:rsidRDefault="00557F3D" w:rsidP="00203885">
      <w:pPr>
        <w:pStyle w:val="BulletPoint"/>
        <w:numPr>
          <w:ilvl w:val="0"/>
          <w:numId w:val="36"/>
        </w:numPr>
        <w:rPr>
          <w:sz w:val="22"/>
          <w:szCs w:val="22"/>
        </w:rPr>
      </w:pPr>
      <w:r w:rsidRPr="00557F3D">
        <w:rPr>
          <w:sz w:val="22"/>
          <w:szCs w:val="22"/>
        </w:rPr>
        <w:t>Explore new and improved cultural and leisure opportunities for Rutland</w:t>
      </w:r>
    </w:p>
    <w:p w14:paraId="32EC28A4" w14:textId="77777777" w:rsidR="00557F3D" w:rsidRPr="00557F3D" w:rsidRDefault="00557F3D" w:rsidP="00203885">
      <w:pPr>
        <w:pStyle w:val="BulletPoint"/>
        <w:numPr>
          <w:ilvl w:val="0"/>
          <w:numId w:val="36"/>
        </w:numPr>
        <w:rPr>
          <w:sz w:val="22"/>
          <w:szCs w:val="22"/>
        </w:rPr>
      </w:pPr>
      <w:r w:rsidRPr="00557F3D">
        <w:rPr>
          <w:sz w:val="22"/>
          <w:szCs w:val="22"/>
        </w:rPr>
        <w:t>Make our roads safer</w:t>
      </w:r>
    </w:p>
    <w:p w14:paraId="28DFDEB7" w14:textId="77777777" w:rsidR="00557F3D" w:rsidRPr="00557F3D" w:rsidRDefault="00557F3D" w:rsidP="00203885">
      <w:pPr>
        <w:pStyle w:val="BulletPoint"/>
        <w:numPr>
          <w:ilvl w:val="0"/>
          <w:numId w:val="36"/>
        </w:numPr>
        <w:rPr>
          <w:sz w:val="22"/>
          <w:szCs w:val="22"/>
        </w:rPr>
      </w:pPr>
      <w:r w:rsidRPr="00557F3D">
        <w:rPr>
          <w:sz w:val="22"/>
          <w:szCs w:val="22"/>
        </w:rPr>
        <w:t>Work with partners to protect and enhance healthcare within our community</w:t>
      </w:r>
    </w:p>
    <w:p w14:paraId="2F6FE2BB" w14:textId="77777777" w:rsidR="00557F3D" w:rsidRPr="00557F3D" w:rsidRDefault="00557F3D" w:rsidP="00203885">
      <w:pPr>
        <w:pStyle w:val="BulletPoint"/>
        <w:numPr>
          <w:ilvl w:val="0"/>
          <w:numId w:val="36"/>
        </w:numPr>
        <w:rPr>
          <w:sz w:val="22"/>
          <w:szCs w:val="22"/>
        </w:rPr>
      </w:pPr>
      <w:r w:rsidRPr="00557F3D">
        <w:rPr>
          <w:sz w:val="22"/>
          <w:szCs w:val="22"/>
        </w:rPr>
        <w:t>Provide an inclusive and high-quality learning offer, and to support the expansion of our schools and learning to meet need</w:t>
      </w:r>
    </w:p>
    <w:p w14:paraId="7259E803" w14:textId="77777777" w:rsidR="00557F3D" w:rsidRPr="00557F3D" w:rsidRDefault="00557F3D" w:rsidP="00557F3D">
      <w:pPr>
        <w:pStyle w:val="Heading3"/>
        <w:keepNext w:val="0"/>
        <w:widowControl w:val="0"/>
        <w:tabs>
          <w:tab w:val="clear" w:pos="720"/>
        </w:tabs>
        <w:spacing w:after="240"/>
        <w:ind w:left="851" w:hanging="851"/>
        <w:jc w:val="left"/>
      </w:pPr>
      <w:r w:rsidRPr="00557F3D">
        <w:t>Protecting the Vulnerable</w:t>
      </w:r>
    </w:p>
    <w:p w14:paraId="7E26B140" w14:textId="77777777" w:rsidR="00557F3D" w:rsidRPr="00557F3D" w:rsidRDefault="00557F3D" w:rsidP="00203885">
      <w:pPr>
        <w:pStyle w:val="BulletPoint"/>
        <w:numPr>
          <w:ilvl w:val="0"/>
          <w:numId w:val="36"/>
        </w:numPr>
        <w:rPr>
          <w:sz w:val="22"/>
          <w:szCs w:val="22"/>
        </w:rPr>
      </w:pPr>
      <w:r w:rsidRPr="00557F3D">
        <w:rPr>
          <w:sz w:val="22"/>
          <w:szCs w:val="22"/>
        </w:rPr>
        <w:t>Improve services that care for our children and protect them from risk and harm</w:t>
      </w:r>
    </w:p>
    <w:p w14:paraId="2D6ACF53" w14:textId="77777777" w:rsidR="00557F3D" w:rsidRPr="00557F3D" w:rsidRDefault="00557F3D" w:rsidP="00203885">
      <w:pPr>
        <w:pStyle w:val="BulletPoint"/>
        <w:numPr>
          <w:ilvl w:val="0"/>
          <w:numId w:val="36"/>
        </w:numPr>
        <w:rPr>
          <w:sz w:val="22"/>
          <w:szCs w:val="22"/>
        </w:rPr>
      </w:pPr>
      <w:r w:rsidRPr="00557F3D">
        <w:rPr>
          <w:sz w:val="22"/>
          <w:szCs w:val="22"/>
        </w:rPr>
        <w:t>Protect and improve the lives of vulnerable adults</w:t>
      </w:r>
    </w:p>
    <w:p w14:paraId="75A06C5B" w14:textId="77777777" w:rsidR="00557F3D" w:rsidRPr="00557F3D" w:rsidRDefault="00557F3D" w:rsidP="00557F3D">
      <w:pPr>
        <w:pStyle w:val="Heading3"/>
        <w:keepNext w:val="0"/>
        <w:widowControl w:val="0"/>
        <w:tabs>
          <w:tab w:val="clear" w:pos="720"/>
        </w:tabs>
        <w:spacing w:after="240"/>
        <w:ind w:left="851" w:hanging="851"/>
        <w:jc w:val="left"/>
      </w:pPr>
      <w:r w:rsidRPr="00557F3D">
        <w:t>Customer-focussed services</w:t>
      </w:r>
    </w:p>
    <w:p w14:paraId="2669CAA8" w14:textId="77777777" w:rsidR="00557F3D" w:rsidRPr="00557F3D" w:rsidRDefault="00557F3D" w:rsidP="00203885">
      <w:pPr>
        <w:pStyle w:val="BulletPoint"/>
        <w:numPr>
          <w:ilvl w:val="0"/>
          <w:numId w:val="36"/>
        </w:numPr>
        <w:rPr>
          <w:sz w:val="22"/>
          <w:szCs w:val="22"/>
        </w:rPr>
      </w:pPr>
      <w:r w:rsidRPr="00557F3D">
        <w:rPr>
          <w:sz w:val="22"/>
          <w:szCs w:val="22"/>
        </w:rPr>
        <w:t>Develop and implement a new Customer Services Strategy</w:t>
      </w:r>
    </w:p>
    <w:p w14:paraId="43906294" w14:textId="77777777" w:rsidR="00557F3D" w:rsidRPr="00557F3D" w:rsidRDefault="00557F3D" w:rsidP="00203885">
      <w:pPr>
        <w:pStyle w:val="BulletPoint"/>
        <w:numPr>
          <w:ilvl w:val="0"/>
          <w:numId w:val="36"/>
        </w:numPr>
        <w:rPr>
          <w:sz w:val="22"/>
          <w:szCs w:val="22"/>
        </w:rPr>
      </w:pPr>
      <w:r w:rsidRPr="00557F3D">
        <w:rPr>
          <w:sz w:val="22"/>
          <w:szCs w:val="22"/>
        </w:rPr>
        <w:t>Develop customer responsive systems</w:t>
      </w:r>
    </w:p>
    <w:p w14:paraId="15228F8D" w14:textId="77777777" w:rsidR="00557F3D" w:rsidRPr="00557F3D" w:rsidRDefault="00557F3D" w:rsidP="00203885">
      <w:pPr>
        <w:pStyle w:val="BulletPoint"/>
        <w:numPr>
          <w:ilvl w:val="0"/>
          <w:numId w:val="36"/>
        </w:numPr>
        <w:rPr>
          <w:sz w:val="22"/>
          <w:szCs w:val="22"/>
        </w:rPr>
      </w:pPr>
      <w:r w:rsidRPr="00557F3D">
        <w:rPr>
          <w:sz w:val="22"/>
          <w:szCs w:val="22"/>
        </w:rPr>
        <w:t>Develop a sustainable Medium-Term Financial Plan to support service delivery</w:t>
      </w:r>
    </w:p>
    <w:p w14:paraId="69E9C825" w14:textId="77777777" w:rsidR="00557F3D" w:rsidRPr="00557F3D" w:rsidRDefault="00557F3D" w:rsidP="00203885">
      <w:pPr>
        <w:pStyle w:val="BulletPoint"/>
        <w:numPr>
          <w:ilvl w:val="0"/>
          <w:numId w:val="36"/>
        </w:numPr>
        <w:rPr>
          <w:sz w:val="22"/>
          <w:szCs w:val="22"/>
        </w:rPr>
      </w:pPr>
      <w:r w:rsidRPr="00557F3D">
        <w:rPr>
          <w:sz w:val="22"/>
          <w:szCs w:val="22"/>
        </w:rPr>
        <w:t>Enhance digital access to services - Launch ‘MyAccount’ </w:t>
      </w:r>
    </w:p>
    <w:p w14:paraId="48B02EEC" w14:textId="77777777" w:rsidR="00557F3D" w:rsidRPr="00CE08D0" w:rsidRDefault="00557F3D" w:rsidP="00557F3D">
      <w:pPr>
        <w:shd w:val="clear" w:color="auto" w:fill="FFFFFF"/>
        <w:spacing w:line="276" w:lineRule="auto"/>
      </w:pPr>
    </w:p>
    <w:p w14:paraId="2A04FAC3" w14:textId="77777777" w:rsidR="00557F3D" w:rsidRPr="00CE08D0" w:rsidRDefault="00557F3D" w:rsidP="00557F3D">
      <w:pPr>
        <w:pStyle w:val="Heading3"/>
        <w:keepNext w:val="0"/>
        <w:widowControl w:val="0"/>
        <w:tabs>
          <w:tab w:val="clear" w:pos="720"/>
        </w:tabs>
        <w:spacing w:after="240"/>
        <w:ind w:left="851" w:hanging="851"/>
        <w:jc w:val="left"/>
      </w:pPr>
      <w:r w:rsidRPr="00CE08D0">
        <w:t>The aims and priorities are underpinned by actions and targets which will be reported on quarterly through the corporate performance report.  These targets form the basis for planning for the Budget, Local Plan, and other Strategic Plans as well as service and team plans.  The annual report for 19/20</w:t>
      </w:r>
      <w:r>
        <w:t xml:space="preserve"> has been postponed due to resources being re-diverted to support the pandemic response.  An update on actions will be given as part of a refresh of the corporate plan, which pandemic permitting, is expected to take place in early 2021.</w:t>
      </w:r>
    </w:p>
    <w:p w14:paraId="1C14DB51" w14:textId="77777777" w:rsidR="00557F3D" w:rsidRPr="003205FC" w:rsidRDefault="00557F3D" w:rsidP="00557F3D">
      <w:pPr>
        <w:pStyle w:val="Heading3"/>
        <w:keepNext w:val="0"/>
        <w:widowControl w:val="0"/>
        <w:tabs>
          <w:tab w:val="clear" w:pos="720"/>
        </w:tabs>
        <w:spacing w:after="240"/>
        <w:ind w:left="851" w:hanging="851"/>
        <w:jc w:val="left"/>
      </w:pPr>
      <w:r w:rsidRPr="00CE08D0">
        <w:t>The financial implications of implementing agreed priorities (as far as they are known) are incorporated into the Budget and the M</w:t>
      </w:r>
      <w:r>
        <w:t>edium-</w:t>
      </w:r>
      <w:r w:rsidRPr="00CE08D0">
        <w:t>T</w:t>
      </w:r>
      <w:r>
        <w:t xml:space="preserve">erm </w:t>
      </w:r>
      <w:r w:rsidRPr="00CE08D0">
        <w:t>F</w:t>
      </w:r>
      <w:r>
        <w:t xml:space="preserve">inancial </w:t>
      </w:r>
      <w:r w:rsidRPr="00CE08D0">
        <w:t>P</w:t>
      </w:r>
      <w:r>
        <w:t>lan</w:t>
      </w:r>
      <w:r w:rsidRPr="00CE08D0">
        <w:t xml:space="preserve"> for 20/21 and beyond. </w:t>
      </w:r>
    </w:p>
    <w:p w14:paraId="672E690C" w14:textId="77777777" w:rsidR="00557F3D" w:rsidRPr="00557F3D" w:rsidRDefault="00557F3D" w:rsidP="00557F3D">
      <w:pPr>
        <w:pStyle w:val="Heading2"/>
        <w:keepNext w:val="0"/>
        <w:widowControl w:val="0"/>
        <w:tabs>
          <w:tab w:val="clear" w:pos="576"/>
        </w:tabs>
        <w:spacing w:after="240"/>
        <w:ind w:left="851" w:hanging="851"/>
        <w:jc w:val="left"/>
        <w:rPr>
          <w:sz w:val="22"/>
          <w:szCs w:val="22"/>
        </w:rPr>
      </w:pPr>
      <w:r w:rsidRPr="00557F3D">
        <w:rPr>
          <w:sz w:val="22"/>
          <w:szCs w:val="22"/>
        </w:rPr>
        <w:t>Political and Constitutional Arrangements</w:t>
      </w:r>
    </w:p>
    <w:p w14:paraId="7A80DB28" w14:textId="77777777" w:rsidR="00557F3D" w:rsidRPr="00CE08D0" w:rsidRDefault="00557F3D" w:rsidP="00557F3D">
      <w:pPr>
        <w:pStyle w:val="Heading3"/>
        <w:keepNext w:val="0"/>
        <w:widowControl w:val="0"/>
        <w:tabs>
          <w:tab w:val="clear" w:pos="720"/>
        </w:tabs>
        <w:spacing w:after="240"/>
        <w:ind w:left="851" w:hanging="851"/>
        <w:jc w:val="left"/>
      </w:pPr>
      <w:r w:rsidRPr="00CE08D0">
        <w:t>2019 marked the start of a new four</w:t>
      </w:r>
      <w:r>
        <w:t>-</w:t>
      </w:r>
      <w:r w:rsidRPr="00CE08D0">
        <w:t>year term of office for all Councillors. Following the May election</w:t>
      </w:r>
      <w:r>
        <w:t>,</w:t>
      </w:r>
      <w:r w:rsidRPr="00CE08D0">
        <w:t xml:space="preserve"> the political make-up of the Council changed to the following: 15 Conservative, 7 independent, 1 non-aligned and 3 Liberal Democrats.</w:t>
      </w:r>
    </w:p>
    <w:p w14:paraId="3C6479A7" w14:textId="77777777" w:rsidR="00557F3D" w:rsidRPr="00CE08D0" w:rsidRDefault="00557F3D" w:rsidP="00557F3D">
      <w:pPr>
        <w:pStyle w:val="Heading3"/>
        <w:keepNext w:val="0"/>
        <w:widowControl w:val="0"/>
        <w:tabs>
          <w:tab w:val="clear" w:pos="720"/>
        </w:tabs>
        <w:spacing w:after="240"/>
        <w:ind w:left="851" w:hanging="851"/>
        <w:jc w:val="left"/>
      </w:pPr>
      <w:r w:rsidRPr="00CE08D0">
        <w:t>Councillor Parsons, non-aligned, was re-elected in May but failed to take up office. A by-election was subsequently held and in September the seat was won by Councillor Coleman, Conservative.</w:t>
      </w:r>
    </w:p>
    <w:p w14:paraId="759BD9B3" w14:textId="77777777" w:rsidR="00557F3D" w:rsidRPr="00CE08D0" w:rsidRDefault="00557F3D" w:rsidP="00557F3D">
      <w:pPr>
        <w:pStyle w:val="Heading3"/>
        <w:keepNext w:val="0"/>
        <w:widowControl w:val="0"/>
        <w:tabs>
          <w:tab w:val="clear" w:pos="720"/>
        </w:tabs>
        <w:spacing w:after="240"/>
        <w:ind w:left="851" w:hanging="851"/>
        <w:jc w:val="left"/>
      </w:pPr>
      <w:r w:rsidRPr="00CE08D0">
        <w:t>By March 2020 the changes to the political make-up of the Council and its 27 Members was made up of groups as follows: 17 Conservative, 6 Independent, 3 Liberal Democrats and 1 non-aligned.</w:t>
      </w:r>
    </w:p>
    <w:p w14:paraId="76FBA6A7"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At Annual Council on 13 May 2019, the Leader, Councillor Hemsley confirmed the appointment of 5 Cabinet Members and Portfolios. Previously there had been 6 Cabinet Members but the Portfolio for Lifelong Learning, Early Years and Special Educational Needs and Disabilities, and the Portfolio for Safeguarding – Children and Young People, had been amalgamated into one.  </w:t>
      </w:r>
    </w:p>
    <w:p w14:paraId="2F3553F9" w14:textId="77777777" w:rsidR="00557F3D" w:rsidRPr="00557F3D" w:rsidRDefault="00557F3D" w:rsidP="00557F3D">
      <w:pPr>
        <w:pStyle w:val="Heading2"/>
        <w:keepNext w:val="0"/>
        <w:widowControl w:val="0"/>
        <w:tabs>
          <w:tab w:val="clear" w:pos="576"/>
        </w:tabs>
        <w:spacing w:after="240"/>
        <w:ind w:left="851" w:hanging="851"/>
        <w:jc w:val="left"/>
        <w:rPr>
          <w:sz w:val="22"/>
          <w:szCs w:val="22"/>
        </w:rPr>
      </w:pPr>
      <w:r w:rsidRPr="00557F3D">
        <w:rPr>
          <w:sz w:val="22"/>
          <w:szCs w:val="22"/>
        </w:rPr>
        <w:t>Elections</w:t>
      </w:r>
    </w:p>
    <w:p w14:paraId="2BE34250" w14:textId="77777777" w:rsidR="00557F3D" w:rsidRPr="00CE08D0" w:rsidRDefault="00557F3D" w:rsidP="00557F3D">
      <w:pPr>
        <w:pStyle w:val="Heading3"/>
        <w:keepNext w:val="0"/>
        <w:widowControl w:val="0"/>
        <w:tabs>
          <w:tab w:val="clear" w:pos="720"/>
        </w:tabs>
        <w:spacing w:after="240"/>
        <w:ind w:left="851" w:hanging="851"/>
        <w:jc w:val="left"/>
      </w:pPr>
      <w:r w:rsidRPr="00CE08D0">
        <w:t>Rutland’s ordinary Local Government Elections were held in May 2019, resulting in 10 out of 15 County Wards being contested and 3 of the 33 Parish Council elections being contested.</w:t>
      </w:r>
    </w:p>
    <w:p w14:paraId="4873BC25" w14:textId="77777777" w:rsidR="00557F3D" w:rsidRPr="00CE08D0" w:rsidRDefault="00557F3D" w:rsidP="00557F3D">
      <w:pPr>
        <w:pStyle w:val="Heading3"/>
        <w:keepNext w:val="0"/>
        <w:widowControl w:val="0"/>
        <w:tabs>
          <w:tab w:val="clear" w:pos="720"/>
        </w:tabs>
        <w:spacing w:after="240"/>
        <w:ind w:left="851" w:hanging="851"/>
        <w:jc w:val="left"/>
      </w:pPr>
      <w:r w:rsidRPr="00CE08D0">
        <w:t>Shortly after this, due to Brexit not taking place as originally planned, the European Parliamentary Election took place on 23 May with our results feeding into the overall result for the East Midlands Region.</w:t>
      </w:r>
    </w:p>
    <w:p w14:paraId="1B05C36A"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Following the Ordinary elections, a County Ward By-Election was held for the Ryhall and Casterton Ward in September due to an elected councillor failing to take up office, resulting in the election of Councillor Richard Coleman (Conservative). </w:t>
      </w:r>
    </w:p>
    <w:p w14:paraId="47268988" w14:textId="77777777" w:rsidR="00557F3D" w:rsidRPr="00CE08D0" w:rsidRDefault="00557F3D" w:rsidP="00557F3D">
      <w:pPr>
        <w:pStyle w:val="Heading3"/>
        <w:keepNext w:val="0"/>
        <w:widowControl w:val="0"/>
        <w:tabs>
          <w:tab w:val="clear" w:pos="720"/>
        </w:tabs>
        <w:spacing w:after="240"/>
        <w:ind w:left="851" w:hanging="851"/>
        <w:jc w:val="left"/>
      </w:pPr>
      <w:r w:rsidRPr="00CE08D0">
        <w:t>In addition to the above elections, during the period of this report, there were a further 12 Parish notice of vacancies posted which have resulted in no election being called and the parishes concerned being given the opportunity to co-opt new councillors to these posts.</w:t>
      </w:r>
    </w:p>
    <w:p w14:paraId="2C76FFF2" w14:textId="77777777" w:rsidR="00557F3D" w:rsidRPr="003205FC" w:rsidRDefault="00557F3D" w:rsidP="00557F3D">
      <w:pPr>
        <w:pStyle w:val="Heading3"/>
        <w:keepNext w:val="0"/>
        <w:widowControl w:val="0"/>
        <w:tabs>
          <w:tab w:val="clear" w:pos="720"/>
        </w:tabs>
        <w:spacing w:after="240"/>
        <w:ind w:left="851" w:hanging="851"/>
        <w:jc w:val="left"/>
        <w:rPr>
          <w:i/>
        </w:rPr>
      </w:pPr>
      <w:r w:rsidRPr="00CE08D0">
        <w:t xml:space="preserve">Finally, in December there was the unscheduled UK Parliamentary General Election, which saw our polling stations in use for a third time in 2019. Following the count at Melton Mowbray a new member of parliament was elected for the constituency, Alicia Kearns (Conservative).  </w:t>
      </w:r>
    </w:p>
    <w:p w14:paraId="6C45C313" w14:textId="77777777" w:rsidR="00557F3D" w:rsidRPr="00557F3D" w:rsidRDefault="00557F3D" w:rsidP="00557F3D">
      <w:pPr>
        <w:pStyle w:val="Heading2"/>
        <w:keepNext w:val="0"/>
        <w:widowControl w:val="0"/>
        <w:tabs>
          <w:tab w:val="clear" w:pos="576"/>
        </w:tabs>
        <w:spacing w:after="240"/>
        <w:ind w:left="851" w:hanging="851"/>
        <w:jc w:val="left"/>
        <w:rPr>
          <w:sz w:val="22"/>
          <w:szCs w:val="22"/>
        </w:rPr>
      </w:pPr>
      <w:r w:rsidRPr="00557F3D">
        <w:rPr>
          <w:sz w:val="22"/>
          <w:szCs w:val="22"/>
        </w:rPr>
        <w:lastRenderedPageBreak/>
        <w:t>Constitution</w:t>
      </w:r>
    </w:p>
    <w:p w14:paraId="4B5999C7"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Council’s Constitution defines the roles and responsibilities of the Council, Cabinet, Committees and Scrutiny Committees and provides for extensive delegation to officers.  Policy and decision making are facilitated by a clear framework of delegation set out in the Council’s Constitution.  The exercising of delegated powers is regulated by Financial Procedure Rules, Contract Procedure Rules and other policies and procedures. </w:t>
      </w:r>
    </w:p>
    <w:p w14:paraId="476D3418"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Constitution includes a list of roles of officers including officers responsible for undertaking statutory roles.  The Chief Executive is the Head of Paid Service.  The </w:t>
      </w:r>
      <w:r w:rsidRPr="00CE08D0">
        <w:rPr>
          <w:lang w:val="en-US" w:eastAsia="en-GB"/>
        </w:rPr>
        <w:t>Deputy Director Corporate Governance</w:t>
      </w:r>
      <w:r w:rsidRPr="00CE08D0">
        <w:t xml:space="preserve"> is designated as the Council’s Monitoring Officer under the Local Government and Housing Act 1989 and the Strategic Director for Resources is designated as the responsible officer for the administration of the Council’s financial affairs under section 151 of the Local Government Act 1972.  </w:t>
      </w:r>
    </w:p>
    <w:p w14:paraId="43745D87"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Audit and Risk Committee undertakes the core functions of an audit committee, in accordance with CIPFA’s Audit Committees – Practical Guidance for Local Authorities and this is set out in the Committee’s terms of reference, which include the Council to act as those charged with governance on behalf of the Council. </w:t>
      </w:r>
    </w:p>
    <w:p w14:paraId="6234D198"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Constitution is kept under review by a working group of members appointed by the Council.  </w:t>
      </w:r>
    </w:p>
    <w:p w14:paraId="1F598DFC" w14:textId="77777777" w:rsidR="00557F3D" w:rsidRPr="00CE08D0" w:rsidRDefault="00557F3D" w:rsidP="00557F3D">
      <w:pPr>
        <w:pStyle w:val="Heading3"/>
        <w:keepNext w:val="0"/>
        <w:widowControl w:val="0"/>
        <w:tabs>
          <w:tab w:val="clear" w:pos="720"/>
        </w:tabs>
        <w:spacing w:after="240"/>
        <w:ind w:left="851" w:hanging="851"/>
        <w:jc w:val="left"/>
      </w:pPr>
      <w:r w:rsidRPr="00CE08D0">
        <w:t>In the previous municipal year</w:t>
      </w:r>
      <w:r>
        <w:t>,</w:t>
      </w:r>
      <w:r w:rsidRPr="00CE08D0">
        <w:t xml:space="preserve"> the Council’s Constitution Review Working Group had undertaken a full review of the Council’s Constitution with the resulting changes approved by Council on 11 March 2019.  Details of these changes can be found on the following link:</w:t>
      </w:r>
    </w:p>
    <w:p w14:paraId="49A8C740" w14:textId="77777777" w:rsidR="00557F3D" w:rsidRPr="00557F3D" w:rsidRDefault="00661E70" w:rsidP="00557F3D">
      <w:pPr>
        <w:pStyle w:val="BodyText"/>
        <w:rPr>
          <w:rStyle w:val="Hyperlink"/>
          <w:rFonts w:cs="Arial"/>
          <w:b/>
          <w:sz w:val="22"/>
          <w:szCs w:val="22"/>
        </w:rPr>
      </w:pPr>
      <w:hyperlink r:id="rId24" w:history="1">
        <w:r w:rsidR="00557F3D" w:rsidRPr="00557F3D">
          <w:rPr>
            <w:rStyle w:val="Hyperlink"/>
            <w:rFonts w:cs="Arial"/>
            <w:sz w:val="22"/>
            <w:szCs w:val="22"/>
          </w:rPr>
          <w:t>https://rutlandcounty.moderngov.co.uk/documents/g1867/Public%20reports%20pack%2011th-Mar-2019%2019.00%20Council.pdf?T=10</w:t>
        </w:r>
      </w:hyperlink>
    </w:p>
    <w:p w14:paraId="6AF0BFC2" w14:textId="77777777" w:rsidR="00557F3D" w:rsidRDefault="00557F3D" w:rsidP="00557F3D">
      <w:pPr>
        <w:pStyle w:val="BodyText"/>
        <w:rPr>
          <w:rStyle w:val="Hyperlink"/>
          <w:rFonts w:cs="Arial"/>
          <w:b/>
          <w:sz w:val="36"/>
          <w:szCs w:val="36"/>
        </w:rPr>
      </w:pPr>
    </w:p>
    <w:p w14:paraId="6B587AA6" w14:textId="77777777" w:rsidR="00557F3D" w:rsidRPr="00557F3D" w:rsidRDefault="00557F3D" w:rsidP="00557F3D">
      <w:pPr>
        <w:pStyle w:val="Heading3"/>
        <w:keepNext w:val="0"/>
        <w:widowControl w:val="0"/>
        <w:tabs>
          <w:tab w:val="clear" w:pos="720"/>
        </w:tabs>
        <w:spacing w:after="240"/>
        <w:ind w:left="851" w:hanging="851"/>
        <w:jc w:val="left"/>
      </w:pPr>
      <w:r w:rsidRPr="00557F3D">
        <w:t>Since the review only minor administrative changes have been made to the Constitution which are not considered to be material and which have been carried out under the powers delegated to the Monitoring Officer.</w:t>
      </w:r>
    </w:p>
    <w:p w14:paraId="3C6619DB" w14:textId="77777777" w:rsidR="00557F3D" w:rsidRPr="00F9482B" w:rsidRDefault="00557F3D" w:rsidP="00557F3D">
      <w:pPr>
        <w:pStyle w:val="Heading3"/>
        <w:keepNext w:val="0"/>
        <w:widowControl w:val="0"/>
        <w:tabs>
          <w:tab w:val="clear" w:pos="720"/>
        </w:tabs>
        <w:spacing w:after="240"/>
        <w:ind w:left="851" w:hanging="851"/>
        <w:jc w:val="left"/>
      </w:pPr>
      <w:r w:rsidRPr="00613096">
        <w:t>At the Cabinet meeting held on the 21st April 2020, the Council declared an emergency because of the pandemic and the use of Emergency Powers was triggered.  During the lockdown period, Council meetings were suspended but Cabinet meetings continued virtually and a virtual meeting programme was put in place following Annual Council in June.</w:t>
      </w:r>
    </w:p>
    <w:p w14:paraId="33FAC199"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 xml:space="preserve">Decision Making Arrangements </w:t>
      </w:r>
    </w:p>
    <w:p w14:paraId="35E1D8A9" w14:textId="77777777" w:rsidR="00557F3D" w:rsidRDefault="00557F3D" w:rsidP="00557F3D">
      <w:pPr>
        <w:pStyle w:val="Heading3"/>
        <w:keepNext w:val="0"/>
        <w:widowControl w:val="0"/>
        <w:tabs>
          <w:tab w:val="clear" w:pos="720"/>
        </w:tabs>
        <w:spacing w:after="240"/>
        <w:ind w:left="851" w:hanging="851"/>
        <w:jc w:val="left"/>
      </w:pPr>
      <w:r w:rsidRPr="003205FC">
        <w:t>The officer structure of the Council operates with a Chief Executive and three Directorates, entitled People, Places and Resources.</w:t>
      </w:r>
    </w:p>
    <w:p w14:paraId="34418936" w14:textId="77777777" w:rsidR="00557F3D" w:rsidRPr="003205FC" w:rsidRDefault="00557F3D" w:rsidP="00557F3D">
      <w:pPr>
        <w:pStyle w:val="Heading3"/>
        <w:keepNext w:val="0"/>
        <w:widowControl w:val="0"/>
        <w:tabs>
          <w:tab w:val="clear" w:pos="720"/>
        </w:tabs>
        <w:spacing w:after="240"/>
        <w:ind w:left="851" w:hanging="851"/>
        <w:jc w:val="left"/>
      </w:pPr>
      <w:r>
        <w:t>The Council’s Chief Executive, Helen Briggs, retired in August 2020 having originally deferred her retirement following the outbreak of Covid-19.  The Council appointed Mark Andrews as Interim Chief Executive from August 2020 and also appointed Dawn Godfrey and John Morley as Interim Director of Children’s Services and Adult Services respectively.  These officers alongside Interim Director for Places (Penny Sharp), Director for Resources (Saverio Della Rocca) and Phil Horsfield (Deputy Director/Monitoring Officer) make up Senior Management Team (SMT).</w:t>
      </w:r>
    </w:p>
    <w:p w14:paraId="5139B0D6" w14:textId="77777777" w:rsidR="00557F3D" w:rsidRPr="003205FC" w:rsidRDefault="00557F3D" w:rsidP="00557F3D">
      <w:pPr>
        <w:pStyle w:val="Heading3"/>
        <w:keepNext w:val="0"/>
        <w:widowControl w:val="0"/>
        <w:tabs>
          <w:tab w:val="clear" w:pos="720"/>
        </w:tabs>
        <w:spacing w:after="240"/>
        <w:ind w:left="851" w:hanging="851"/>
        <w:jc w:val="left"/>
      </w:pPr>
      <w:r w:rsidRPr="003205FC">
        <w:lastRenderedPageBreak/>
        <w:t>Matters which require a decision to be made by members are considered by the relevant Directorate Management Team (DMT), who will make a recommendation to the Strategic Management Team (SMT</w:t>
      </w:r>
      <w:r>
        <w:t xml:space="preserve">). </w:t>
      </w:r>
      <w:r w:rsidRPr="003205FC">
        <w:t>If approved, the matter is reported, with a recommendation to the Cabinet or other appropriate body.</w:t>
      </w:r>
    </w:p>
    <w:p w14:paraId="2D41E1E0" w14:textId="77777777" w:rsidR="00557F3D" w:rsidRPr="003205FC" w:rsidRDefault="00557F3D" w:rsidP="00557F3D">
      <w:pPr>
        <w:pStyle w:val="Heading3"/>
        <w:keepNext w:val="0"/>
        <w:widowControl w:val="0"/>
        <w:tabs>
          <w:tab w:val="clear" w:pos="720"/>
        </w:tabs>
        <w:spacing w:after="240"/>
        <w:ind w:left="851" w:hanging="851"/>
        <w:jc w:val="left"/>
      </w:pPr>
      <w:r w:rsidRPr="003205FC">
        <w:t>The Deputy Director for Corporate Governance is designated as the Council’s Monitoring Officer under the Local Government and Housing Act 1989.  All reports to a decision</w:t>
      </w:r>
      <w:r>
        <w:t>-</w:t>
      </w:r>
      <w:r w:rsidRPr="003205FC">
        <w:t xml:space="preserve">making body must be considered by the Deputy Director for Corporate Governance before they are submitted.  This is to ensure compliance with relevant laws and regulations, internal policies and procedures and that expenditure is lawful. </w:t>
      </w:r>
    </w:p>
    <w:p w14:paraId="538329F0" w14:textId="77777777" w:rsidR="00557F3D" w:rsidRPr="003205FC" w:rsidRDefault="00557F3D" w:rsidP="00557F3D">
      <w:pPr>
        <w:pStyle w:val="Heading3"/>
        <w:keepNext w:val="0"/>
        <w:widowControl w:val="0"/>
        <w:tabs>
          <w:tab w:val="clear" w:pos="720"/>
        </w:tabs>
        <w:spacing w:after="240"/>
        <w:ind w:left="851" w:hanging="851"/>
        <w:jc w:val="left"/>
      </w:pPr>
      <w:r w:rsidRPr="003205FC">
        <w:t xml:space="preserve">In accordance with the Local Authorities (Executive Arrangements) (Meetings and Access to Information) (England) Regulations 2012, decisions made by officers following express delegation by the Cabinet are recorded in writing. </w:t>
      </w:r>
    </w:p>
    <w:p w14:paraId="69ECB4AD" w14:textId="77777777" w:rsidR="00557F3D" w:rsidRDefault="00557F3D" w:rsidP="00557F3D">
      <w:pPr>
        <w:pStyle w:val="Heading3"/>
        <w:keepNext w:val="0"/>
        <w:widowControl w:val="0"/>
        <w:tabs>
          <w:tab w:val="clear" w:pos="720"/>
        </w:tabs>
        <w:spacing w:after="240"/>
        <w:ind w:left="851" w:hanging="851"/>
        <w:jc w:val="left"/>
      </w:pPr>
      <w:r w:rsidRPr="003205FC">
        <w:t>During the pandemic, all material decisions pertaining to the Council’s response have been recorded in an Executive Decision Log.</w:t>
      </w:r>
    </w:p>
    <w:p w14:paraId="74583156"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 xml:space="preserve">Performance Management </w:t>
      </w:r>
    </w:p>
    <w:p w14:paraId="76699E16"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Council has a performance management framework through which quality of service and use of resources is measured.  Financial and non-financial performance is monitored by DMT’s and SMT on a regular basis and is formally reported to Scrutiny Panels and Cabinet on a quarterly basis.  </w:t>
      </w:r>
    </w:p>
    <w:p w14:paraId="4CE296EC" w14:textId="77777777" w:rsidR="00557F3D" w:rsidRPr="00CE08D0" w:rsidRDefault="00557F3D" w:rsidP="00557F3D">
      <w:pPr>
        <w:pStyle w:val="Heading3"/>
        <w:keepNext w:val="0"/>
        <w:widowControl w:val="0"/>
        <w:tabs>
          <w:tab w:val="clear" w:pos="720"/>
        </w:tabs>
        <w:spacing w:after="240"/>
        <w:ind w:left="851" w:hanging="851"/>
        <w:jc w:val="left"/>
        <w:rPr>
          <w:color w:val="444444"/>
          <w:lang w:eastAsia="en-GB"/>
        </w:rPr>
      </w:pPr>
      <w:r w:rsidRPr="00CE08D0">
        <w:rPr>
          <w:lang w:eastAsia="en-GB"/>
        </w:rPr>
        <w:t>The Council published its annual report in September 2019 alongside the usual performance reports to Cabinet and Scrutiny.</w:t>
      </w:r>
    </w:p>
    <w:p w14:paraId="2BC4A8FD"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performance management framework flows through the Council, down to an individual employee level.  All officers have a Performance Development Review (PDR) with their manager during each year.  This process includes reviewing progress against objectives and targets and setting new objectives and targets for the forthcoming year. Training and development needs are also identified during this process. </w:t>
      </w:r>
    </w:p>
    <w:p w14:paraId="3293AFCD" w14:textId="77777777" w:rsidR="00557F3D" w:rsidRPr="003205FC" w:rsidRDefault="00557F3D" w:rsidP="00557F3D">
      <w:pPr>
        <w:pStyle w:val="Heading3"/>
        <w:keepNext w:val="0"/>
        <w:widowControl w:val="0"/>
        <w:tabs>
          <w:tab w:val="clear" w:pos="720"/>
        </w:tabs>
        <w:spacing w:after="240"/>
        <w:ind w:left="851" w:hanging="851"/>
        <w:jc w:val="left"/>
      </w:pPr>
      <w:r w:rsidRPr="00CE08D0">
        <w:t xml:space="preserve">The Council also has a Compliments, Comments and Complaints Policy. Compliance with the Policy is reported via the performance management </w:t>
      </w:r>
      <w:r w:rsidRPr="003205FC">
        <w:t>framework and an annual report is taken to Audit and Risk Committee for Member consideration.</w:t>
      </w:r>
    </w:p>
    <w:p w14:paraId="66CC26A9"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 xml:space="preserve">Financial Management </w:t>
      </w:r>
    </w:p>
    <w:p w14:paraId="40F3FD68"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Strategic Director for Resources is designated as the responsible officer for the administration of the Council’s financial affairs under section 151 of the Local Government Act 1972.  </w:t>
      </w:r>
    </w:p>
    <w:p w14:paraId="6B4D5AB7" w14:textId="77777777" w:rsidR="00557F3D" w:rsidRPr="00CE08D0" w:rsidRDefault="00557F3D" w:rsidP="00557F3D">
      <w:pPr>
        <w:pStyle w:val="Heading3"/>
        <w:keepNext w:val="0"/>
        <w:widowControl w:val="0"/>
        <w:tabs>
          <w:tab w:val="clear" w:pos="720"/>
        </w:tabs>
        <w:spacing w:after="240"/>
        <w:ind w:left="851" w:hanging="851"/>
        <w:jc w:val="left"/>
      </w:pPr>
      <w:r w:rsidRPr="00CE08D0">
        <w:t>The CIPFA Statement on the Role of The Chief Financial Officer in Local Government sets out the five principles that need to be met to ensure that the Chief Financial Officer can carry out the role effectively.  The principles are that the Chief Financial Officer:</w:t>
      </w:r>
    </w:p>
    <w:p w14:paraId="119E19D1" w14:textId="77777777" w:rsidR="00557F3D" w:rsidRPr="00EA7422" w:rsidRDefault="00557F3D" w:rsidP="00203885">
      <w:pPr>
        <w:pStyle w:val="BulletPoint"/>
        <w:numPr>
          <w:ilvl w:val="0"/>
          <w:numId w:val="36"/>
        </w:numPr>
        <w:rPr>
          <w:sz w:val="22"/>
          <w:szCs w:val="22"/>
        </w:rPr>
      </w:pPr>
      <w:r w:rsidRPr="00EA7422">
        <w:rPr>
          <w:sz w:val="22"/>
          <w:szCs w:val="22"/>
        </w:rPr>
        <w:t>Is a key member of the leadership-team;</w:t>
      </w:r>
    </w:p>
    <w:p w14:paraId="795119CD" w14:textId="77777777" w:rsidR="00557F3D" w:rsidRPr="00EA7422" w:rsidRDefault="00557F3D" w:rsidP="00203885">
      <w:pPr>
        <w:pStyle w:val="BulletPoint"/>
        <w:numPr>
          <w:ilvl w:val="0"/>
          <w:numId w:val="36"/>
        </w:numPr>
        <w:rPr>
          <w:sz w:val="22"/>
          <w:szCs w:val="22"/>
        </w:rPr>
      </w:pPr>
      <w:r w:rsidRPr="00EA7422">
        <w:rPr>
          <w:sz w:val="22"/>
          <w:szCs w:val="22"/>
        </w:rPr>
        <w:t>Must be actively involved in all material business decisions;</w:t>
      </w:r>
    </w:p>
    <w:p w14:paraId="3757B420" w14:textId="77777777" w:rsidR="00557F3D" w:rsidRPr="00EA7422" w:rsidRDefault="00557F3D" w:rsidP="00203885">
      <w:pPr>
        <w:pStyle w:val="BulletPoint"/>
        <w:numPr>
          <w:ilvl w:val="0"/>
          <w:numId w:val="36"/>
        </w:numPr>
        <w:rPr>
          <w:sz w:val="22"/>
          <w:szCs w:val="22"/>
        </w:rPr>
      </w:pPr>
      <w:r w:rsidRPr="00EA7422">
        <w:rPr>
          <w:sz w:val="22"/>
          <w:szCs w:val="22"/>
        </w:rPr>
        <w:t>Must lead the promotion and delivery of good financial management;</w:t>
      </w:r>
    </w:p>
    <w:p w14:paraId="3AA603C5" w14:textId="77777777" w:rsidR="00557F3D" w:rsidRPr="00EA7422" w:rsidRDefault="00557F3D" w:rsidP="00203885">
      <w:pPr>
        <w:pStyle w:val="BulletPoint"/>
        <w:numPr>
          <w:ilvl w:val="0"/>
          <w:numId w:val="36"/>
        </w:numPr>
        <w:rPr>
          <w:sz w:val="22"/>
          <w:szCs w:val="22"/>
        </w:rPr>
      </w:pPr>
      <w:r w:rsidRPr="00EA7422">
        <w:rPr>
          <w:sz w:val="22"/>
          <w:szCs w:val="22"/>
        </w:rPr>
        <w:lastRenderedPageBreak/>
        <w:t xml:space="preserve">Must lead and direct a finance function that is resourced to be fit for purpose; </w:t>
      </w:r>
    </w:p>
    <w:p w14:paraId="0DEB75BC" w14:textId="77777777" w:rsidR="00557F3D" w:rsidRPr="00EA7422" w:rsidRDefault="00557F3D" w:rsidP="00203885">
      <w:pPr>
        <w:pStyle w:val="BulletPoint"/>
        <w:numPr>
          <w:ilvl w:val="0"/>
          <w:numId w:val="36"/>
        </w:numPr>
        <w:rPr>
          <w:sz w:val="22"/>
          <w:szCs w:val="22"/>
        </w:rPr>
      </w:pPr>
      <w:r w:rsidRPr="00EA7422">
        <w:rPr>
          <w:sz w:val="22"/>
          <w:szCs w:val="22"/>
        </w:rPr>
        <w:t>Must be professionally qualified and suitably experienced.</w:t>
      </w:r>
    </w:p>
    <w:p w14:paraId="1D10669F"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Strategic Director for Resources is a member of the Council’s SMT and is actively involved in the key business decisions of the Council.  The post holder oversees the development and work of the financial management function at the Council and is the Council's proper officer for matters of financial administration. The post holder is professionally qualified as a CIPFA Accountant with suitable experience. It is therefore confirmed that the Council is fully compliant with the requirements set out in the CIPFA statement. </w:t>
      </w:r>
    </w:p>
    <w:p w14:paraId="193D9384" w14:textId="77777777" w:rsidR="00557F3D" w:rsidRPr="00CE08D0" w:rsidRDefault="00557F3D" w:rsidP="00557F3D">
      <w:pPr>
        <w:pStyle w:val="Heading3"/>
        <w:keepNext w:val="0"/>
        <w:widowControl w:val="0"/>
        <w:tabs>
          <w:tab w:val="clear" w:pos="720"/>
        </w:tabs>
        <w:spacing w:after="240"/>
        <w:ind w:left="851" w:hanging="851"/>
        <w:jc w:val="left"/>
      </w:pPr>
      <w:r w:rsidRPr="00CE08D0">
        <w:t>The Council’s Medium</w:t>
      </w:r>
      <w:r>
        <w:t>-</w:t>
      </w:r>
      <w:r w:rsidRPr="00CE08D0">
        <w:t>Term Financial Plan (MTFP) covers a five</w:t>
      </w:r>
      <w:r>
        <w:t>-</w:t>
      </w:r>
      <w:r w:rsidRPr="00CE08D0">
        <w:t>year period.  Such an approach to financial planning provides the platform on which the Council can look to deliver public services in accordance with local priorities. Moreover, through horizon-scanning and anticipating necessary change at the earliest opportunity, the Council can plan and react accordingly to not only secure its financial position but to protect services.</w:t>
      </w:r>
    </w:p>
    <w:p w14:paraId="6A50F9CE" w14:textId="77777777" w:rsidR="00557F3D" w:rsidRPr="00CE08D0" w:rsidRDefault="00557F3D" w:rsidP="00557F3D">
      <w:pPr>
        <w:pStyle w:val="Heading3"/>
        <w:keepNext w:val="0"/>
        <w:widowControl w:val="0"/>
        <w:tabs>
          <w:tab w:val="clear" w:pos="720"/>
        </w:tabs>
        <w:spacing w:after="240"/>
        <w:ind w:left="851" w:hanging="851"/>
        <w:jc w:val="left"/>
      </w:pPr>
      <w:r w:rsidRPr="00CE08D0">
        <w:t>The MTFP was updated throughout 2019/20 and periodically reported to Cabinet.  The updated MTFP, following the Local Government Settlement, was presented to each Scrutiny Panel by the Leader and to Council as part of the budget setting process.  Members have up-to-date financial information about not only the current but also the medium</w:t>
      </w:r>
      <w:r>
        <w:t>-</w:t>
      </w:r>
      <w:r w:rsidRPr="00CE08D0">
        <w:t>term outlook for decision making purposes.</w:t>
      </w:r>
    </w:p>
    <w:p w14:paraId="3F8C3F49"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In their External Auditor report issued in July 2019, the external auditors issued an unqualified audit opinion on the Authority’s financial statements.  </w:t>
      </w:r>
    </w:p>
    <w:p w14:paraId="02649922"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Council has a set of Financial Procedure Rules (FPRs) and Contract Procedure Rules (CPRs) within its Constitution which govern the way in which financial matters are conducted.  </w:t>
      </w:r>
    </w:p>
    <w:p w14:paraId="68535702"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 xml:space="preserve">Risk Management </w:t>
      </w:r>
    </w:p>
    <w:p w14:paraId="603DE7A1"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Risk Management is embedded in the Council through the Risk Management Strategy.  Risk management is an integral part of the Council’s decision-making processes.  All Council papers include reference to risk to ensure that members and officers understand the impact of decision-making.  </w:t>
      </w:r>
    </w:p>
    <w:p w14:paraId="41EBFEA7" w14:textId="77777777" w:rsidR="00557F3D" w:rsidRPr="00CE08D0" w:rsidRDefault="00557F3D" w:rsidP="00557F3D">
      <w:pPr>
        <w:pStyle w:val="Heading3"/>
        <w:keepNext w:val="0"/>
        <w:widowControl w:val="0"/>
        <w:tabs>
          <w:tab w:val="clear" w:pos="720"/>
        </w:tabs>
        <w:spacing w:after="240"/>
        <w:ind w:left="851" w:hanging="851"/>
        <w:jc w:val="left"/>
      </w:pPr>
      <w:r w:rsidRPr="00CE08D0">
        <w:t>The Leader is the lead member for risk management.  Each risk is assigned a member of SMT as risk owner. SMT is responsible for maintaining the register and monitoring the actions taken to mitigate the strategic risks. The Audit and Risk Committee receives regular reports on risk management, with the ability to refer particular risks to Scrutiny Panels if there is a need to look at them in more detail. </w:t>
      </w:r>
    </w:p>
    <w:p w14:paraId="15952D7A" w14:textId="77777777" w:rsidR="00557F3D" w:rsidRPr="00CE08D0" w:rsidRDefault="00557F3D" w:rsidP="00557F3D">
      <w:pPr>
        <w:pStyle w:val="Heading3"/>
        <w:keepNext w:val="0"/>
        <w:widowControl w:val="0"/>
        <w:tabs>
          <w:tab w:val="clear" w:pos="720"/>
        </w:tabs>
        <w:spacing w:after="240"/>
        <w:ind w:left="851" w:hanging="851"/>
        <w:jc w:val="left"/>
      </w:pPr>
      <w:r w:rsidRPr="00CE08D0">
        <w:t>The register was reviewed in July 2019 by Audit and Risk Committee and further to that meeting the format of the risk register was changed to provide further information and a dashboard.  The new register was reviewed again in November 2019 and February 2020.</w:t>
      </w:r>
    </w:p>
    <w:p w14:paraId="16FE6EE0"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A Risk Management training session was also undertaken in February 2020 by Zurich Municipal. </w:t>
      </w:r>
    </w:p>
    <w:p w14:paraId="39F03AC7" w14:textId="77777777" w:rsidR="00557F3D" w:rsidRPr="003205FC" w:rsidRDefault="00557F3D" w:rsidP="00557F3D">
      <w:pPr>
        <w:pStyle w:val="Heading3"/>
        <w:keepNext w:val="0"/>
        <w:widowControl w:val="0"/>
        <w:tabs>
          <w:tab w:val="clear" w:pos="720"/>
        </w:tabs>
        <w:spacing w:after="240"/>
        <w:ind w:left="851" w:hanging="851"/>
        <w:jc w:val="left"/>
      </w:pPr>
      <w:r w:rsidRPr="00CE08D0">
        <w:t>Beyond the corporate risk register, the Council also has an Elections Risk Register and Fraud Risk register. Directorates also have their own risk registers albeit in different formats.  The move to standardise risk registers is ongoing.</w:t>
      </w:r>
      <w:r>
        <w:t xml:space="preserve"> </w:t>
      </w:r>
    </w:p>
    <w:p w14:paraId="500BAEFF" w14:textId="77777777" w:rsidR="00557F3D" w:rsidRPr="00A56397" w:rsidRDefault="00557F3D" w:rsidP="00557F3D">
      <w:pPr>
        <w:pStyle w:val="Heading2"/>
        <w:keepNext w:val="0"/>
        <w:widowControl w:val="0"/>
        <w:tabs>
          <w:tab w:val="clear" w:pos="576"/>
        </w:tabs>
        <w:spacing w:after="240"/>
        <w:ind w:left="851" w:hanging="851"/>
        <w:jc w:val="left"/>
        <w:rPr>
          <w:b w:val="0"/>
        </w:rPr>
      </w:pPr>
      <w:r w:rsidRPr="00EA7422">
        <w:rPr>
          <w:sz w:val="22"/>
          <w:szCs w:val="22"/>
        </w:rPr>
        <w:lastRenderedPageBreak/>
        <w:t xml:space="preserve">Standards of Conduct </w:t>
      </w:r>
    </w:p>
    <w:p w14:paraId="6B454A25" w14:textId="77777777" w:rsidR="00557F3D" w:rsidRPr="00CE08D0" w:rsidRDefault="00557F3D" w:rsidP="00557F3D">
      <w:pPr>
        <w:pStyle w:val="Heading3"/>
        <w:keepNext w:val="0"/>
        <w:widowControl w:val="0"/>
        <w:tabs>
          <w:tab w:val="clear" w:pos="720"/>
        </w:tabs>
        <w:spacing w:after="240"/>
        <w:ind w:left="851" w:hanging="851"/>
        <w:jc w:val="left"/>
      </w:pPr>
      <w:r w:rsidRPr="00CE08D0">
        <w:t>During 2019/20 th</w:t>
      </w:r>
      <w:r>
        <w:t>e Monitoring Officer received 13</w:t>
      </w:r>
      <w:r w:rsidRPr="00CE08D0">
        <w:t xml:space="preserve"> complaints of alleged councillor misconduct within the County compared to 28 that were received for 2018/19. </w:t>
      </w:r>
      <w:r>
        <w:t xml:space="preserve">7 </w:t>
      </w:r>
      <w:r w:rsidRPr="00CE08D0">
        <w:t>Complaints ha</w:t>
      </w:r>
      <w:r>
        <w:t>ve</w:t>
      </w:r>
      <w:r w:rsidRPr="00CE08D0">
        <w:t xml:space="preserve"> been raised against Rutland County Council</w:t>
      </w:r>
      <w:r>
        <w:t xml:space="preserve"> councillors</w:t>
      </w:r>
      <w:r w:rsidRPr="00CE08D0">
        <w:t xml:space="preserve">, the rest </w:t>
      </w:r>
      <w:r>
        <w:t xml:space="preserve">(6) </w:t>
      </w:r>
      <w:r w:rsidRPr="00CE08D0">
        <w:t xml:space="preserve">were raised against Town and Parish Councillors.  A large number of the complaints related to a Councillor who was acting in their capacity as a landowner and therefore was not a Code of Conduct matter. Independent investigations are ongoing. A number of complaints have been discussed with the Independent Person and it has been recognised that there have been some significant and contentious issues discussed at various meetings which have led to further conduct complaints. There are ongoing issues with Oakham Town Council and there have been recent resignations. Clerks of the Town and Parish Councils have been urged to seek advice on issues concerning procedure and process from the Leicestershire Rutland Association of Local Councils. It is hoped that disputes about process can then be definitively settled to avoid attempts to use the Code of Conduct as a pseudo complaints process. </w:t>
      </w:r>
    </w:p>
    <w:p w14:paraId="5C3A61A7"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Council has also (through the Monitoring Officer) actively engaged with the LGA and other bodies to feed views into the review of the Model Code of Conduct. It is hoped that this, together with Government action to support the findings of the Committee for Standards in Public Life will mean that there will be a stronger framework in place in the near future. </w:t>
      </w:r>
    </w:p>
    <w:p w14:paraId="46C13961" w14:textId="77777777" w:rsidR="00557F3D" w:rsidRPr="00A56397" w:rsidRDefault="00557F3D" w:rsidP="00557F3D">
      <w:pPr>
        <w:pStyle w:val="Heading2"/>
        <w:keepNext w:val="0"/>
        <w:widowControl w:val="0"/>
        <w:tabs>
          <w:tab w:val="clear" w:pos="576"/>
        </w:tabs>
        <w:spacing w:after="240"/>
        <w:ind w:left="851" w:hanging="851"/>
        <w:jc w:val="left"/>
        <w:rPr>
          <w:b w:val="0"/>
        </w:rPr>
      </w:pPr>
      <w:r w:rsidRPr="00EA7422">
        <w:rPr>
          <w:sz w:val="22"/>
          <w:szCs w:val="22"/>
        </w:rPr>
        <w:t xml:space="preserve">Information Governance </w:t>
      </w:r>
    </w:p>
    <w:p w14:paraId="7DC325C9" w14:textId="77777777" w:rsidR="00557F3D" w:rsidRPr="00CE08D0" w:rsidRDefault="00557F3D" w:rsidP="00557F3D">
      <w:pPr>
        <w:pStyle w:val="Heading3"/>
        <w:keepNext w:val="0"/>
        <w:widowControl w:val="0"/>
        <w:tabs>
          <w:tab w:val="clear" w:pos="720"/>
        </w:tabs>
        <w:spacing w:after="240"/>
        <w:ind w:left="851" w:hanging="851"/>
        <w:jc w:val="left"/>
      </w:pPr>
      <w:r w:rsidRPr="00CE08D0">
        <w:t>The Council has a range of arrangements in place to comply with Data Protection Act 1998, General Data Protection Regulations and UK Data Protection Act 2018.  These arrangements include:</w:t>
      </w:r>
    </w:p>
    <w:p w14:paraId="428D9145" w14:textId="77777777" w:rsidR="00557F3D" w:rsidRPr="00EA7422" w:rsidRDefault="00557F3D" w:rsidP="00203885">
      <w:pPr>
        <w:pStyle w:val="BulletPoint"/>
        <w:numPr>
          <w:ilvl w:val="0"/>
          <w:numId w:val="36"/>
        </w:numPr>
        <w:rPr>
          <w:sz w:val="22"/>
          <w:szCs w:val="22"/>
        </w:rPr>
      </w:pPr>
      <w:r w:rsidRPr="00EA7422">
        <w:rPr>
          <w:sz w:val="22"/>
          <w:szCs w:val="22"/>
        </w:rPr>
        <w:t>Annual refresher data protection training for all staff;</w:t>
      </w:r>
    </w:p>
    <w:p w14:paraId="4C0AEAA5" w14:textId="77777777" w:rsidR="00557F3D" w:rsidRPr="00EA7422" w:rsidRDefault="00557F3D" w:rsidP="00203885">
      <w:pPr>
        <w:pStyle w:val="BulletPoint"/>
        <w:numPr>
          <w:ilvl w:val="0"/>
          <w:numId w:val="36"/>
        </w:numPr>
        <w:rPr>
          <w:sz w:val="22"/>
          <w:szCs w:val="22"/>
        </w:rPr>
      </w:pPr>
      <w:r w:rsidRPr="00EA7422">
        <w:rPr>
          <w:sz w:val="22"/>
          <w:szCs w:val="22"/>
        </w:rPr>
        <w:t>Introduction of a Subject Access Request process to help manage the increased number of requests;</w:t>
      </w:r>
    </w:p>
    <w:p w14:paraId="59D888F7" w14:textId="77777777" w:rsidR="00557F3D" w:rsidRPr="00EA7422" w:rsidRDefault="00557F3D" w:rsidP="00203885">
      <w:pPr>
        <w:pStyle w:val="BulletPoint"/>
        <w:numPr>
          <w:ilvl w:val="0"/>
          <w:numId w:val="36"/>
        </w:numPr>
        <w:rPr>
          <w:sz w:val="22"/>
          <w:szCs w:val="22"/>
        </w:rPr>
      </w:pPr>
      <w:r w:rsidRPr="00EA7422">
        <w:rPr>
          <w:sz w:val="22"/>
          <w:szCs w:val="22"/>
        </w:rPr>
        <w:t>Regular redaction training for staff;</w:t>
      </w:r>
    </w:p>
    <w:p w14:paraId="630B6171" w14:textId="77777777" w:rsidR="00557F3D" w:rsidRPr="00EA7422" w:rsidRDefault="00557F3D" w:rsidP="00203885">
      <w:pPr>
        <w:pStyle w:val="BulletPoint"/>
        <w:numPr>
          <w:ilvl w:val="0"/>
          <w:numId w:val="36"/>
        </w:numPr>
        <w:rPr>
          <w:sz w:val="22"/>
          <w:szCs w:val="22"/>
        </w:rPr>
      </w:pPr>
      <w:r w:rsidRPr="00EA7422">
        <w:rPr>
          <w:sz w:val="22"/>
          <w:szCs w:val="22"/>
        </w:rPr>
        <w:t>Briefings to relevant service areas as required.</w:t>
      </w:r>
    </w:p>
    <w:p w14:paraId="46A6139A"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 xml:space="preserve">Counter-fraud and Whistleblowing </w:t>
      </w:r>
    </w:p>
    <w:p w14:paraId="6C4AD5D5" w14:textId="77777777" w:rsidR="00557F3D" w:rsidRPr="003205FC" w:rsidRDefault="00557F3D" w:rsidP="00557F3D">
      <w:pPr>
        <w:pStyle w:val="Heading3"/>
        <w:keepNext w:val="0"/>
        <w:widowControl w:val="0"/>
        <w:tabs>
          <w:tab w:val="clear" w:pos="720"/>
        </w:tabs>
        <w:spacing w:after="240"/>
        <w:ind w:left="851" w:hanging="851"/>
        <w:jc w:val="left"/>
      </w:pPr>
      <w:r w:rsidRPr="003205FC">
        <w:t>The Council has arrangements in place for receiving allegations of fraud or misconduct through its whistleblowing policy</w:t>
      </w:r>
    </w:p>
    <w:p w14:paraId="0DFA32E2" w14:textId="77777777" w:rsidR="00557F3D" w:rsidRPr="003205FC" w:rsidRDefault="00557F3D" w:rsidP="00557F3D">
      <w:pPr>
        <w:pStyle w:val="Heading3"/>
        <w:keepNext w:val="0"/>
        <w:widowControl w:val="0"/>
        <w:tabs>
          <w:tab w:val="clear" w:pos="720"/>
        </w:tabs>
        <w:spacing w:after="240"/>
        <w:ind w:left="851" w:hanging="851"/>
        <w:jc w:val="left"/>
      </w:pPr>
      <w:r w:rsidRPr="003205FC">
        <w:t>A full review of the Council’s Whistleblowing Policy has been completed and subsequently endorsed by Cabinet in April 2020.</w:t>
      </w:r>
    </w:p>
    <w:p w14:paraId="527ECE29" w14:textId="77777777" w:rsidR="00557F3D" w:rsidRPr="00277E97" w:rsidRDefault="00557F3D" w:rsidP="00557F3D">
      <w:pPr>
        <w:pStyle w:val="Heading3"/>
        <w:keepNext w:val="0"/>
        <w:widowControl w:val="0"/>
        <w:tabs>
          <w:tab w:val="clear" w:pos="720"/>
        </w:tabs>
        <w:spacing w:after="240"/>
        <w:ind w:left="851" w:hanging="851"/>
        <w:jc w:val="left"/>
      </w:pPr>
      <w:r w:rsidRPr="003205FC">
        <w:t xml:space="preserve">Members of staff are made aware of the changes through internal communication updates. Members of the public are also advised of the changes. </w:t>
      </w:r>
    </w:p>
    <w:p w14:paraId="65B7CE5D"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 xml:space="preserve">Developing Effectiveness </w:t>
      </w:r>
    </w:p>
    <w:p w14:paraId="5774ACF6"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Our ability to effectively recruit and retain quality staff is crucial to delivering Council services. Our Recruitment </w:t>
      </w:r>
      <w:r>
        <w:t>P</w:t>
      </w:r>
      <w:r w:rsidRPr="00CE08D0">
        <w:t xml:space="preserve">olicy provides the framework to recruit the right staff at the right time.  We have continued to develop innovative and creative recruitment strategies which have enabled us to fill difficult to recruit posts and reduce the use of agency and interim staff.  </w:t>
      </w:r>
    </w:p>
    <w:p w14:paraId="321C37C7" w14:textId="77777777" w:rsidR="00557F3D" w:rsidRPr="00CE08D0" w:rsidRDefault="00557F3D" w:rsidP="00557F3D">
      <w:pPr>
        <w:pStyle w:val="Heading3"/>
        <w:keepNext w:val="0"/>
        <w:widowControl w:val="0"/>
        <w:tabs>
          <w:tab w:val="clear" w:pos="720"/>
        </w:tabs>
        <w:spacing w:after="240"/>
        <w:ind w:left="851" w:hanging="851"/>
        <w:jc w:val="left"/>
      </w:pPr>
      <w:r w:rsidRPr="00CE08D0">
        <w:lastRenderedPageBreak/>
        <w:t>The ongoing development of our Applicant Tracking System has streamlined our recruitment processes and is enabling us to target and reduce our Time to Recruit.  In 2019 the HR team developed its capacity to support the delivery of the organisation’s Recruitment Strategy through the appointment of an HR Manager (Resourcing) and Resourcing Officer</w:t>
      </w:r>
      <w:r>
        <w:t>.</w:t>
      </w:r>
      <w:r w:rsidRPr="00CE08D0">
        <w:t xml:space="preserve">  This has greatly enhanced the support provided to managers in recruiting to their teams.  </w:t>
      </w:r>
    </w:p>
    <w:p w14:paraId="7F94A209"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Our HR and Communications team have developed a Rutland Recruitment Microsite which went live in February 2020 – this showcases and presents the Council as a great place to work.   Importantly candidates will get a true sense of what it is like working for Rutland.   </w:t>
      </w:r>
    </w:p>
    <w:p w14:paraId="04191DD2"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Staff confirmed that they receive the training and development they need in order to do their job.   Our priority within our training framework is to support mandatory and essential training.   Our senior management team has now agreed a new approach to leadership development </w:t>
      </w:r>
      <w:r>
        <w:t xml:space="preserve">focusing a move towards a tailored programme for individual needs </w:t>
      </w:r>
      <w:r w:rsidRPr="00CE08D0">
        <w:t>– this is crucial to enabling us provide the vision, direction and leadership to deliver our Corporate Plan.</w:t>
      </w:r>
      <w:r>
        <w:t xml:space="preserve">  </w:t>
      </w:r>
    </w:p>
    <w:p w14:paraId="5299C027"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During 2019 the Council was successful in securing some resource from the LGA to support development of an Apprenticeship strategy.  This has also enabled workforce development workshops with services and development of a tool that can be use across the organisation during 2020.  </w:t>
      </w:r>
    </w:p>
    <w:p w14:paraId="6F6D8137" w14:textId="77777777" w:rsidR="00557F3D" w:rsidRPr="00CE08D0" w:rsidRDefault="00557F3D" w:rsidP="00557F3D">
      <w:pPr>
        <w:pStyle w:val="Heading3"/>
        <w:keepNext w:val="0"/>
        <w:widowControl w:val="0"/>
        <w:tabs>
          <w:tab w:val="clear" w:pos="720"/>
        </w:tabs>
        <w:spacing w:after="240"/>
        <w:ind w:left="851" w:hanging="851"/>
        <w:jc w:val="left"/>
      </w:pPr>
      <w:r w:rsidRPr="00CE08D0">
        <w:t>The effectiveness of our Performance Development Review (PDR) scheme has been reviewed and will be replacing with a new model which is based on the value of ‘conversations’ between managers and staff.</w:t>
      </w:r>
      <w:r>
        <w:t xml:space="preserve"> A roll out of the new approach was completed in June and July 2020.</w:t>
      </w:r>
    </w:p>
    <w:p w14:paraId="57030E25"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Health and Wellbeing of the workforce is also a priority for the organisation – an engaged workforce that is supported and valued, thrive, achieve and deliver.   A Health and Wellbeing Strategy </w:t>
      </w:r>
      <w:r>
        <w:t>was</w:t>
      </w:r>
      <w:r w:rsidRPr="00CE08D0">
        <w:t xml:space="preserve"> developed by </w:t>
      </w:r>
      <w:r>
        <w:t>the Health and Wellbeing group</w:t>
      </w:r>
      <w:r w:rsidRPr="00CE08D0">
        <w:t xml:space="preserve"> and w</w:t>
      </w:r>
      <w:r>
        <w:t xml:space="preserve">as due to be </w:t>
      </w:r>
      <w:r w:rsidRPr="00CE08D0">
        <w:t xml:space="preserve">rolled out during 2020.  </w:t>
      </w:r>
      <w:r>
        <w:t>This work was replaced by various initiatives designed to support homeworking during the pandemic including changes to the way the flexible working policy was applied, home display screen equipment assessment and deployment of new technologies.  A staff wellbeing survey was also completed.</w:t>
      </w:r>
    </w:p>
    <w:p w14:paraId="2B428253"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Members are provided with development opportunities through in-house and external training and briefings. Budget provision is made for training and development of members and officers.  Councillors underwent an extensive induction programme in May to equip them with the skills that they needed following the election. There was mandatory training on the Code of Conduct, Planning, Licensing and Appeals, and Adult and Children Safeguarding.  Members are encouraged to express an interest in receiving training on specific topics. </w:t>
      </w:r>
    </w:p>
    <w:p w14:paraId="318E7EAC" w14:textId="77777777" w:rsidR="00557F3D" w:rsidRPr="00CE08D0" w:rsidRDefault="00557F3D" w:rsidP="00557F3D">
      <w:pPr>
        <w:pStyle w:val="Heading3"/>
        <w:keepNext w:val="0"/>
        <w:widowControl w:val="0"/>
        <w:tabs>
          <w:tab w:val="clear" w:pos="720"/>
        </w:tabs>
        <w:spacing w:after="240"/>
        <w:ind w:left="851" w:hanging="851"/>
        <w:jc w:val="left"/>
        <w:rPr>
          <w:iCs/>
        </w:rPr>
      </w:pPr>
      <w:r w:rsidRPr="00CE08D0">
        <w:rPr>
          <w:iCs/>
        </w:rPr>
        <w:t xml:space="preserve">In addition to mandatory training, in 2019/20 Members attended training on the following subjects:  </w:t>
      </w:r>
    </w:p>
    <w:p w14:paraId="429E6221" w14:textId="77777777" w:rsidR="00557F3D" w:rsidRPr="00EA7422" w:rsidRDefault="00557F3D" w:rsidP="00203885">
      <w:pPr>
        <w:pStyle w:val="BulletPoint"/>
        <w:numPr>
          <w:ilvl w:val="0"/>
          <w:numId w:val="36"/>
        </w:numPr>
        <w:rPr>
          <w:sz w:val="22"/>
          <w:szCs w:val="22"/>
        </w:rPr>
      </w:pPr>
      <w:r w:rsidRPr="00EA7422">
        <w:rPr>
          <w:sz w:val="22"/>
          <w:szCs w:val="22"/>
        </w:rPr>
        <w:t>Induction to the Council (for new Councillors elected in 2019)</w:t>
      </w:r>
    </w:p>
    <w:p w14:paraId="51275711" w14:textId="77777777" w:rsidR="00557F3D" w:rsidRPr="00EA7422" w:rsidRDefault="00557F3D" w:rsidP="00203885">
      <w:pPr>
        <w:pStyle w:val="BulletPoint"/>
        <w:numPr>
          <w:ilvl w:val="0"/>
          <w:numId w:val="36"/>
        </w:numPr>
        <w:rPr>
          <w:sz w:val="22"/>
          <w:szCs w:val="22"/>
        </w:rPr>
      </w:pPr>
      <w:r w:rsidRPr="00EA7422">
        <w:rPr>
          <w:sz w:val="22"/>
          <w:szCs w:val="22"/>
        </w:rPr>
        <w:t>Introduction to Decision Making</w:t>
      </w:r>
    </w:p>
    <w:p w14:paraId="6D44012A" w14:textId="77777777" w:rsidR="00557F3D" w:rsidRPr="00EA7422" w:rsidRDefault="00557F3D" w:rsidP="00203885">
      <w:pPr>
        <w:pStyle w:val="BulletPoint"/>
        <w:numPr>
          <w:ilvl w:val="0"/>
          <w:numId w:val="36"/>
        </w:numPr>
        <w:rPr>
          <w:sz w:val="22"/>
          <w:szCs w:val="22"/>
        </w:rPr>
      </w:pPr>
      <w:r w:rsidRPr="00EA7422">
        <w:rPr>
          <w:sz w:val="22"/>
          <w:szCs w:val="22"/>
        </w:rPr>
        <w:t>Introduction to Scrutiny</w:t>
      </w:r>
    </w:p>
    <w:p w14:paraId="64ED87DD" w14:textId="77777777" w:rsidR="00557F3D" w:rsidRPr="00EA7422" w:rsidRDefault="00557F3D" w:rsidP="00203885">
      <w:pPr>
        <w:pStyle w:val="BulletPoint"/>
        <w:numPr>
          <w:ilvl w:val="0"/>
          <w:numId w:val="36"/>
        </w:numPr>
        <w:rPr>
          <w:sz w:val="22"/>
          <w:szCs w:val="22"/>
        </w:rPr>
      </w:pPr>
      <w:r w:rsidRPr="00EA7422">
        <w:rPr>
          <w:sz w:val="22"/>
          <w:szCs w:val="22"/>
        </w:rPr>
        <w:t>Introduction to Local Government Finance</w:t>
      </w:r>
    </w:p>
    <w:p w14:paraId="078220CD" w14:textId="77777777" w:rsidR="00557F3D" w:rsidRPr="00EA7422" w:rsidRDefault="00557F3D" w:rsidP="00203885">
      <w:pPr>
        <w:pStyle w:val="BulletPoint"/>
        <w:numPr>
          <w:ilvl w:val="0"/>
          <w:numId w:val="36"/>
        </w:numPr>
        <w:rPr>
          <w:sz w:val="22"/>
          <w:szCs w:val="22"/>
        </w:rPr>
      </w:pPr>
      <w:r w:rsidRPr="00EA7422">
        <w:rPr>
          <w:sz w:val="22"/>
          <w:szCs w:val="22"/>
        </w:rPr>
        <w:lastRenderedPageBreak/>
        <w:t>Audit and Risk Training</w:t>
      </w:r>
    </w:p>
    <w:p w14:paraId="26310116" w14:textId="77777777" w:rsidR="00557F3D" w:rsidRPr="00EA7422" w:rsidRDefault="00557F3D" w:rsidP="00203885">
      <w:pPr>
        <w:pStyle w:val="BulletPoint"/>
        <w:numPr>
          <w:ilvl w:val="0"/>
          <w:numId w:val="36"/>
        </w:numPr>
        <w:rPr>
          <w:sz w:val="22"/>
          <w:szCs w:val="22"/>
        </w:rPr>
      </w:pPr>
      <w:r w:rsidRPr="00EA7422">
        <w:rPr>
          <w:sz w:val="22"/>
          <w:szCs w:val="22"/>
        </w:rPr>
        <w:t>Parish Council Essentials</w:t>
      </w:r>
    </w:p>
    <w:p w14:paraId="41036DB4" w14:textId="77777777" w:rsidR="00557F3D" w:rsidRPr="00EA7422" w:rsidRDefault="00557F3D" w:rsidP="00203885">
      <w:pPr>
        <w:pStyle w:val="BulletPoint"/>
        <w:numPr>
          <w:ilvl w:val="0"/>
          <w:numId w:val="36"/>
        </w:numPr>
        <w:rPr>
          <w:sz w:val="22"/>
          <w:szCs w:val="22"/>
        </w:rPr>
      </w:pPr>
      <w:r w:rsidRPr="00EA7422">
        <w:rPr>
          <w:sz w:val="22"/>
          <w:szCs w:val="22"/>
        </w:rPr>
        <w:t>Being an Effective Chairman</w:t>
      </w:r>
    </w:p>
    <w:p w14:paraId="3B945B85" w14:textId="77777777" w:rsidR="00557F3D" w:rsidRPr="00EA7422" w:rsidRDefault="00557F3D" w:rsidP="00203885">
      <w:pPr>
        <w:pStyle w:val="BulletPoint"/>
        <w:numPr>
          <w:ilvl w:val="0"/>
          <w:numId w:val="36"/>
        </w:numPr>
        <w:rPr>
          <w:sz w:val="22"/>
          <w:szCs w:val="22"/>
        </w:rPr>
      </w:pPr>
      <w:r w:rsidRPr="00EA7422">
        <w:rPr>
          <w:sz w:val="22"/>
          <w:szCs w:val="22"/>
        </w:rPr>
        <w:t>GDPR</w:t>
      </w:r>
    </w:p>
    <w:p w14:paraId="4587E1F2" w14:textId="77777777" w:rsidR="00557F3D" w:rsidRPr="00EA7422" w:rsidRDefault="00557F3D" w:rsidP="00203885">
      <w:pPr>
        <w:pStyle w:val="BulletPoint"/>
        <w:numPr>
          <w:ilvl w:val="0"/>
          <w:numId w:val="36"/>
        </w:numPr>
        <w:rPr>
          <w:sz w:val="22"/>
          <w:szCs w:val="22"/>
        </w:rPr>
      </w:pPr>
      <w:r w:rsidRPr="00EA7422">
        <w:rPr>
          <w:sz w:val="22"/>
          <w:szCs w:val="22"/>
        </w:rPr>
        <w:t>Planning Policy</w:t>
      </w:r>
    </w:p>
    <w:p w14:paraId="08F3D895" w14:textId="77777777" w:rsidR="00557F3D" w:rsidRPr="00EA7422" w:rsidRDefault="00557F3D" w:rsidP="00203885">
      <w:pPr>
        <w:pStyle w:val="BulletPoint"/>
        <w:numPr>
          <w:ilvl w:val="0"/>
          <w:numId w:val="36"/>
        </w:numPr>
        <w:rPr>
          <w:sz w:val="22"/>
          <w:szCs w:val="22"/>
        </w:rPr>
      </w:pPr>
      <w:r w:rsidRPr="00EA7422">
        <w:rPr>
          <w:sz w:val="22"/>
          <w:szCs w:val="22"/>
        </w:rPr>
        <w:t>Internal Audit and Related Topics</w:t>
      </w:r>
    </w:p>
    <w:p w14:paraId="0DC8938A" w14:textId="77777777" w:rsidR="00557F3D" w:rsidRPr="00EA7422" w:rsidRDefault="00557F3D" w:rsidP="00203885">
      <w:pPr>
        <w:pStyle w:val="BulletPoint"/>
        <w:numPr>
          <w:ilvl w:val="0"/>
          <w:numId w:val="36"/>
        </w:numPr>
        <w:rPr>
          <w:sz w:val="22"/>
          <w:szCs w:val="22"/>
        </w:rPr>
      </w:pPr>
      <w:r w:rsidRPr="00EA7422">
        <w:rPr>
          <w:sz w:val="22"/>
          <w:szCs w:val="22"/>
        </w:rPr>
        <w:t>Resilience Training</w:t>
      </w:r>
    </w:p>
    <w:p w14:paraId="62D0CC94" w14:textId="77777777" w:rsidR="00557F3D" w:rsidRPr="00EA7422" w:rsidRDefault="00557F3D" w:rsidP="00203885">
      <w:pPr>
        <w:pStyle w:val="BulletPoint"/>
        <w:numPr>
          <w:ilvl w:val="0"/>
          <w:numId w:val="36"/>
        </w:numPr>
        <w:rPr>
          <w:sz w:val="22"/>
          <w:szCs w:val="22"/>
        </w:rPr>
      </w:pPr>
      <w:r w:rsidRPr="00EA7422">
        <w:rPr>
          <w:sz w:val="22"/>
          <w:szCs w:val="22"/>
        </w:rPr>
        <w:t>Employment and Appeals Training</w:t>
      </w:r>
    </w:p>
    <w:p w14:paraId="7F45337C" w14:textId="77777777" w:rsidR="00557F3D" w:rsidRPr="00277E97" w:rsidRDefault="00557F3D" w:rsidP="00557F3D">
      <w:pPr>
        <w:pStyle w:val="Heading3"/>
        <w:keepNext w:val="0"/>
        <w:widowControl w:val="0"/>
        <w:tabs>
          <w:tab w:val="clear" w:pos="720"/>
        </w:tabs>
        <w:spacing w:after="240"/>
        <w:ind w:left="851" w:hanging="851"/>
        <w:jc w:val="left"/>
      </w:pPr>
      <w:r w:rsidRPr="00CE08D0">
        <w:t>Members have also attended various individual training sessions on a variety of subjects offered through organisations such as East Midlands Councils, Local Government Association and the Centre for Public Scrutiny.</w:t>
      </w:r>
    </w:p>
    <w:p w14:paraId="1CD52791"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 xml:space="preserve">Service Delivery </w:t>
      </w:r>
    </w:p>
    <w:p w14:paraId="385BA18B" w14:textId="77777777" w:rsidR="00557F3D" w:rsidRPr="00CE08D0" w:rsidRDefault="00557F3D" w:rsidP="00557F3D">
      <w:pPr>
        <w:pStyle w:val="Heading3"/>
        <w:keepNext w:val="0"/>
        <w:widowControl w:val="0"/>
        <w:tabs>
          <w:tab w:val="clear" w:pos="720"/>
        </w:tabs>
        <w:spacing w:after="240"/>
        <w:ind w:left="851" w:hanging="851"/>
        <w:jc w:val="left"/>
      </w:pPr>
      <w:r w:rsidRPr="00CE08D0">
        <w:t>The Council is focused on delivering high quality outcomes at low cost and has always worked in partnership with an eclectic mix of Local Government and Public Sector partners.  The Council has a wide range of partners covering a wide range of service areas.  Some examples are given below.</w:t>
      </w:r>
    </w:p>
    <w:tbl>
      <w:tblPr>
        <w:tblStyle w:val="TableGrid"/>
        <w:tblW w:w="0" w:type="auto"/>
        <w:jc w:val="center"/>
        <w:tblLayout w:type="fixed"/>
        <w:tblLook w:val="04A0" w:firstRow="1" w:lastRow="0" w:firstColumn="1" w:lastColumn="0" w:noHBand="0" w:noVBand="1"/>
      </w:tblPr>
      <w:tblGrid>
        <w:gridCol w:w="3792"/>
        <w:gridCol w:w="4872"/>
      </w:tblGrid>
      <w:tr w:rsidR="00557F3D" w:rsidRPr="00EA7422" w14:paraId="0025C813" w14:textId="77777777" w:rsidTr="00557F3D">
        <w:trPr>
          <w:tblHeader/>
          <w:jc w:val="center"/>
        </w:trPr>
        <w:tc>
          <w:tcPr>
            <w:tcW w:w="3792" w:type="dxa"/>
            <w:shd w:val="clear" w:color="auto" w:fill="auto"/>
            <w:hideMark/>
          </w:tcPr>
          <w:p w14:paraId="2E51305B" w14:textId="77777777" w:rsidR="00557F3D" w:rsidRPr="00EA7422" w:rsidRDefault="00557F3D" w:rsidP="00557F3D">
            <w:pPr>
              <w:spacing w:after="60"/>
              <w:rPr>
                <w:rFonts w:eastAsiaTheme="minorHAnsi"/>
                <w:b/>
                <w:szCs w:val="22"/>
                <w:u w:val="single"/>
              </w:rPr>
            </w:pPr>
            <w:r w:rsidRPr="00EA7422">
              <w:rPr>
                <w:rFonts w:eastAsiaTheme="minorHAnsi"/>
                <w:b/>
                <w:szCs w:val="22"/>
                <w:u w:val="single"/>
              </w:rPr>
              <w:t>Service area</w:t>
            </w:r>
          </w:p>
        </w:tc>
        <w:tc>
          <w:tcPr>
            <w:tcW w:w="4872" w:type="dxa"/>
            <w:shd w:val="clear" w:color="auto" w:fill="auto"/>
            <w:hideMark/>
          </w:tcPr>
          <w:p w14:paraId="7BB8EB3F" w14:textId="77777777" w:rsidR="00557F3D" w:rsidRPr="00EA7422" w:rsidRDefault="00557F3D" w:rsidP="00557F3D">
            <w:pPr>
              <w:spacing w:after="60"/>
              <w:rPr>
                <w:rFonts w:eastAsiaTheme="minorHAnsi"/>
                <w:b/>
                <w:szCs w:val="22"/>
                <w:u w:val="single"/>
              </w:rPr>
            </w:pPr>
            <w:r w:rsidRPr="00EA7422">
              <w:rPr>
                <w:rFonts w:eastAsiaTheme="minorHAnsi"/>
                <w:b/>
                <w:szCs w:val="22"/>
                <w:u w:val="single"/>
              </w:rPr>
              <w:t>Lead Authority Name</w:t>
            </w:r>
          </w:p>
        </w:tc>
      </w:tr>
      <w:tr w:rsidR="00557F3D" w:rsidRPr="00EA7422" w14:paraId="178BCCBE" w14:textId="77777777" w:rsidTr="00557F3D">
        <w:trPr>
          <w:jc w:val="center"/>
        </w:trPr>
        <w:tc>
          <w:tcPr>
            <w:tcW w:w="3792" w:type="dxa"/>
            <w:shd w:val="clear" w:color="auto" w:fill="auto"/>
            <w:noWrap/>
          </w:tcPr>
          <w:p w14:paraId="447941DD" w14:textId="77777777" w:rsidR="00557F3D" w:rsidRPr="00EA7422" w:rsidRDefault="00557F3D" w:rsidP="00557F3D">
            <w:pPr>
              <w:spacing w:after="60"/>
              <w:rPr>
                <w:rFonts w:eastAsiaTheme="minorHAnsi"/>
                <w:szCs w:val="22"/>
              </w:rPr>
            </w:pPr>
            <w:r w:rsidRPr="00EA7422">
              <w:rPr>
                <w:rFonts w:eastAsiaTheme="minorHAnsi"/>
                <w:szCs w:val="22"/>
              </w:rPr>
              <w:t>Internal Audit</w:t>
            </w:r>
          </w:p>
        </w:tc>
        <w:tc>
          <w:tcPr>
            <w:tcW w:w="4872" w:type="dxa"/>
            <w:shd w:val="clear" w:color="auto" w:fill="auto"/>
            <w:noWrap/>
          </w:tcPr>
          <w:p w14:paraId="7AE0A7A1" w14:textId="77777777" w:rsidR="00557F3D" w:rsidRPr="00EA7422" w:rsidRDefault="00557F3D" w:rsidP="00557F3D">
            <w:pPr>
              <w:spacing w:after="60"/>
              <w:rPr>
                <w:rFonts w:eastAsiaTheme="minorHAnsi"/>
                <w:szCs w:val="22"/>
              </w:rPr>
            </w:pPr>
            <w:r w:rsidRPr="00EA7422">
              <w:rPr>
                <w:rFonts w:eastAsiaTheme="minorHAnsi"/>
                <w:szCs w:val="22"/>
              </w:rPr>
              <w:t>Local Government Shared Service</w:t>
            </w:r>
          </w:p>
        </w:tc>
      </w:tr>
      <w:tr w:rsidR="00557F3D" w:rsidRPr="00EA7422" w14:paraId="4E604AC9" w14:textId="77777777" w:rsidTr="00557F3D">
        <w:trPr>
          <w:jc w:val="center"/>
        </w:trPr>
        <w:tc>
          <w:tcPr>
            <w:tcW w:w="3792" w:type="dxa"/>
            <w:shd w:val="clear" w:color="auto" w:fill="auto"/>
            <w:noWrap/>
          </w:tcPr>
          <w:p w14:paraId="693A553C" w14:textId="77777777" w:rsidR="00557F3D" w:rsidRPr="00EA7422" w:rsidRDefault="00557F3D" w:rsidP="00557F3D">
            <w:pPr>
              <w:spacing w:after="60"/>
              <w:rPr>
                <w:rFonts w:eastAsiaTheme="minorHAnsi"/>
                <w:szCs w:val="22"/>
              </w:rPr>
            </w:pPr>
            <w:r w:rsidRPr="00EA7422">
              <w:rPr>
                <w:rFonts w:eastAsiaTheme="minorHAnsi"/>
                <w:szCs w:val="22"/>
              </w:rPr>
              <w:t>Welland Procurement</w:t>
            </w:r>
          </w:p>
        </w:tc>
        <w:tc>
          <w:tcPr>
            <w:tcW w:w="4872" w:type="dxa"/>
            <w:shd w:val="clear" w:color="auto" w:fill="auto"/>
            <w:noWrap/>
          </w:tcPr>
          <w:p w14:paraId="7DE4D22F" w14:textId="77777777" w:rsidR="00557F3D" w:rsidRPr="00EA7422" w:rsidRDefault="00557F3D" w:rsidP="00557F3D">
            <w:pPr>
              <w:spacing w:after="60"/>
              <w:rPr>
                <w:rFonts w:eastAsiaTheme="minorHAnsi"/>
                <w:szCs w:val="22"/>
              </w:rPr>
            </w:pPr>
            <w:r w:rsidRPr="00EA7422">
              <w:rPr>
                <w:rFonts w:eastAsiaTheme="minorHAnsi"/>
                <w:szCs w:val="22"/>
              </w:rPr>
              <w:t>Melton Borough Council</w:t>
            </w:r>
          </w:p>
        </w:tc>
      </w:tr>
      <w:tr w:rsidR="00557F3D" w:rsidRPr="00EA7422" w14:paraId="5EBDEB7D" w14:textId="77777777" w:rsidTr="00557F3D">
        <w:trPr>
          <w:jc w:val="center"/>
        </w:trPr>
        <w:tc>
          <w:tcPr>
            <w:tcW w:w="3792" w:type="dxa"/>
            <w:shd w:val="clear" w:color="auto" w:fill="auto"/>
            <w:noWrap/>
            <w:hideMark/>
          </w:tcPr>
          <w:p w14:paraId="5F21E8A5" w14:textId="77777777" w:rsidR="00557F3D" w:rsidRPr="00EA7422" w:rsidRDefault="00557F3D" w:rsidP="00557F3D">
            <w:pPr>
              <w:spacing w:after="60"/>
              <w:rPr>
                <w:rFonts w:eastAsiaTheme="minorHAnsi"/>
                <w:szCs w:val="22"/>
              </w:rPr>
            </w:pPr>
            <w:r w:rsidRPr="00EA7422">
              <w:rPr>
                <w:rFonts w:eastAsiaTheme="minorHAnsi"/>
                <w:szCs w:val="22"/>
              </w:rPr>
              <w:t>Out of Hours Emergencies</w:t>
            </w:r>
          </w:p>
        </w:tc>
        <w:tc>
          <w:tcPr>
            <w:tcW w:w="4872" w:type="dxa"/>
            <w:shd w:val="clear" w:color="auto" w:fill="auto"/>
            <w:noWrap/>
            <w:hideMark/>
          </w:tcPr>
          <w:p w14:paraId="32E6E3CD" w14:textId="77777777" w:rsidR="00557F3D" w:rsidRPr="00EA7422" w:rsidRDefault="00557F3D" w:rsidP="00557F3D">
            <w:pPr>
              <w:spacing w:after="60"/>
              <w:rPr>
                <w:rFonts w:eastAsiaTheme="minorHAnsi"/>
                <w:szCs w:val="22"/>
              </w:rPr>
            </w:pPr>
            <w:r w:rsidRPr="00EA7422">
              <w:rPr>
                <w:rFonts w:eastAsiaTheme="minorHAnsi"/>
                <w:szCs w:val="22"/>
              </w:rPr>
              <w:t>Harborough District Council</w:t>
            </w:r>
          </w:p>
        </w:tc>
      </w:tr>
      <w:tr w:rsidR="00557F3D" w:rsidRPr="00EA7422" w14:paraId="73753975" w14:textId="77777777" w:rsidTr="00557F3D">
        <w:trPr>
          <w:jc w:val="center"/>
        </w:trPr>
        <w:tc>
          <w:tcPr>
            <w:tcW w:w="3792" w:type="dxa"/>
            <w:shd w:val="clear" w:color="auto" w:fill="auto"/>
            <w:noWrap/>
            <w:hideMark/>
          </w:tcPr>
          <w:p w14:paraId="37000735" w14:textId="77777777" w:rsidR="00557F3D" w:rsidRPr="00EA7422" w:rsidRDefault="00557F3D" w:rsidP="00557F3D">
            <w:pPr>
              <w:spacing w:after="60"/>
              <w:rPr>
                <w:rFonts w:eastAsiaTheme="minorHAnsi"/>
                <w:szCs w:val="22"/>
              </w:rPr>
            </w:pPr>
            <w:r w:rsidRPr="00EA7422">
              <w:rPr>
                <w:rFonts w:eastAsiaTheme="minorHAnsi"/>
                <w:szCs w:val="22"/>
              </w:rPr>
              <w:t>Public Protection</w:t>
            </w:r>
          </w:p>
        </w:tc>
        <w:tc>
          <w:tcPr>
            <w:tcW w:w="4872" w:type="dxa"/>
            <w:shd w:val="clear" w:color="auto" w:fill="auto"/>
            <w:noWrap/>
            <w:hideMark/>
          </w:tcPr>
          <w:p w14:paraId="17214C35" w14:textId="77777777" w:rsidR="00557F3D" w:rsidRPr="00EA7422" w:rsidRDefault="00557F3D" w:rsidP="00557F3D">
            <w:pPr>
              <w:spacing w:after="60"/>
              <w:rPr>
                <w:rFonts w:eastAsiaTheme="minorHAnsi"/>
                <w:szCs w:val="22"/>
              </w:rPr>
            </w:pPr>
            <w:r w:rsidRPr="00EA7422">
              <w:rPr>
                <w:rFonts w:eastAsiaTheme="minorHAnsi"/>
                <w:szCs w:val="22"/>
              </w:rPr>
              <w:t>Peterborough City Council</w:t>
            </w:r>
          </w:p>
        </w:tc>
      </w:tr>
      <w:tr w:rsidR="00557F3D" w:rsidRPr="00EA7422" w14:paraId="10431388" w14:textId="77777777" w:rsidTr="00557F3D">
        <w:trPr>
          <w:jc w:val="center"/>
        </w:trPr>
        <w:tc>
          <w:tcPr>
            <w:tcW w:w="3792" w:type="dxa"/>
            <w:shd w:val="clear" w:color="auto" w:fill="auto"/>
            <w:noWrap/>
            <w:hideMark/>
          </w:tcPr>
          <w:p w14:paraId="732A4426" w14:textId="77777777" w:rsidR="00557F3D" w:rsidRPr="00EA7422" w:rsidRDefault="00557F3D" w:rsidP="00557F3D">
            <w:pPr>
              <w:spacing w:after="60"/>
              <w:rPr>
                <w:rFonts w:eastAsiaTheme="minorHAnsi"/>
                <w:szCs w:val="22"/>
              </w:rPr>
            </w:pPr>
            <w:r w:rsidRPr="00EA7422">
              <w:rPr>
                <w:rFonts w:eastAsiaTheme="minorHAnsi"/>
                <w:szCs w:val="22"/>
              </w:rPr>
              <w:t>Emergency Planning</w:t>
            </w:r>
          </w:p>
        </w:tc>
        <w:tc>
          <w:tcPr>
            <w:tcW w:w="4872" w:type="dxa"/>
            <w:shd w:val="clear" w:color="auto" w:fill="auto"/>
            <w:noWrap/>
            <w:hideMark/>
          </w:tcPr>
          <w:p w14:paraId="37854F61" w14:textId="77777777" w:rsidR="00557F3D" w:rsidRPr="00EA7422" w:rsidRDefault="00557F3D" w:rsidP="00557F3D">
            <w:pPr>
              <w:spacing w:after="60"/>
              <w:rPr>
                <w:rFonts w:eastAsiaTheme="minorHAnsi"/>
                <w:szCs w:val="22"/>
              </w:rPr>
            </w:pPr>
            <w:r w:rsidRPr="00EA7422">
              <w:rPr>
                <w:rFonts w:eastAsiaTheme="minorHAnsi"/>
                <w:szCs w:val="22"/>
              </w:rPr>
              <w:t>Leicestershire County Council</w:t>
            </w:r>
          </w:p>
        </w:tc>
      </w:tr>
      <w:tr w:rsidR="00557F3D" w:rsidRPr="00EA7422" w14:paraId="4315A32C" w14:textId="77777777" w:rsidTr="00557F3D">
        <w:trPr>
          <w:jc w:val="center"/>
        </w:trPr>
        <w:tc>
          <w:tcPr>
            <w:tcW w:w="3792" w:type="dxa"/>
            <w:shd w:val="clear" w:color="auto" w:fill="auto"/>
            <w:noWrap/>
            <w:hideMark/>
          </w:tcPr>
          <w:p w14:paraId="78511355" w14:textId="77777777" w:rsidR="00557F3D" w:rsidRPr="00EA7422" w:rsidRDefault="00557F3D" w:rsidP="00557F3D">
            <w:pPr>
              <w:spacing w:after="60"/>
              <w:rPr>
                <w:rFonts w:eastAsiaTheme="minorHAnsi"/>
                <w:szCs w:val="22"/>
              </w:rPr>
            </w:pPr>
            <w:r w:rsidRPr="00EA7422">
              <w:rPr>
                <w:rFonts w:eastAsiaTheme="minorHAnsi"/>
                <w:szCs w:val="22"/>
              </w:rPr>
              <w:t>Local Safeguarding Children Board</w:t>
            </w:r>
          </w:p>
        </w:tc>
        <w:tc>
          <w:tcPr>
            <w:tcW w:w="4872" w:type="dxa"/>
            <w:shd w:val="clear" w:color="auto" w:fill="auto"/>
            <w:noWrap/>
            <w:hideMark/>
          </w:tcPr>
          <w:p w14:paraId="595F964B" w14:textId="77777777" w:rsidR="00557F3D" w:rsidRPr="00EA7422" w:rsidRDefault="00557F3D" w:rsidP="00557F3D">
            <w:pPr>
              <w:spacing w:after="60"/>
              <w:rPr>
                <w:rFonts w:eastAsiaTheme="minorHAnsi"/>
                <w:szCs w:val="22"/>
              </w:rPr>
            </w:pPr>
            <w:r w:rsidRPr="00EA7422">
              <w:rPr>
                <w:rFonts w:eastAsiaTheme="minorHAnsi"/>
                <w:szCs w:val="22"/>
              </w:rPr>
              <w:t>Leicestershire County Council</w:t>
            </w:r>
          </w:p>
        </w:tc>
      </w:tr>
      <w:tr w:rsidR="00557F3D" w:rsidRPr="00EA7422" w14:paraId="573F3B26" w14:textId="77777777" w:rsidTr="00557F3D">
        <w:trPr>
          <w:jc w:val="center"/>
        </w:trPr>
        <w:tc>
          <w:tcPr>
            <w:tcW w:w="3792" w:type="dxa"/>
            <w:shd w:val="clear" w:color="auto" w:fill="auto"/>
            <w:noWrap/>
          </w:tcPr>
          <w:p w14:paraId="3021A65A" w14:textId="77777777" w:rsidR="00557F3D" w:rsidRPr="00EA7422" w:rsidRDefault="00557F3D" w:rsidP="00557F3D">
            <w:pPr>
              <w:spacing w:after="60"/>
              <w:rPr>
                <w:rFonts w:eastAsiaTheme="minorHAnsi"/>
                <w:szCs w:val="22"/>
              </w:rPr>
            </w:pPr>
            <w:r w:rsidRPr="00EA7422">
              <w:rPr>
                <w:rFonts w:eastAsiaTheme="minorHAnsi"/>
                <w:szCs w:val="22"/>
              </w:rPr>
              <w:t>Health and Safety</w:t>
            </w:r>
          </w:p>
        </w:tc>
        <w:tc>
          <w:tcPr>
            <w:tcW w:w="4872" w:type="dxa"/>
            <w:shd w:val="clear" w:color="auto" w:fill="auto"/>
            <w:noWrap/>
          </w:tcPr>
          <w:p w14:paraId="15F79C98" w14:textId="77777777" w:rsidR="00557F3D" w:rsidRPr="00EA7422" w:rsidRDefault="00557F3D" w:rsidP="00557F3D">
            <w:pPr>
              <w:spacing w:after="60"/>
              <w:rPr>
                <w:rFonts w:eastAsiaTheme="minorHAnsi"/>
                <w:szCs w:val="22"/>
              </w:rPr>
            </w:pPr>
            <w:r w:rsidRPr="00EA7422">
              <w:rPr>
                <w:rFonts w:eastAsiaTheme="minorHAnsi"/>
                <w:szCs w:val="22"/>
              </w:rPr>
              <w:t>Peterborough City Council</w:t>
            </w:r>
          </w:p>
        </w:tc>
      </w:tr>
      <w:tr w:rsidR="00557F3D" w:rsidRPr="00EA7422" w14:paraId="21BB946F" w14:textId="77777777" w:rsidTr="00557F3D">
        <w:trPr>
          <w:jc w:val="center"/>
        </w:trPr>
        <w:tc>
          <w:tcPr>
            <w:tcW w:w="3792" w:type="dxa"/>
            <w:shd w:val="clear" w:color="auto" w:fill="auto"/>
            <w:noWrap/>
          </w:tcPr>
          <w:p w14:paraId="2FCD0908" w14:textId="77777777" w:rsidR="00557F3D" w:rsidRPr="00EA7422" w:rsidRDefault="00557F3D" w:rsidP="00557F3D">
            <w:pPr>
              <w:spacing w:after="60"/>
              <w:rPr>
                <w:rFonts w:eastAsiaTheme="minorHAnsi"/>
                <w:szCs w:val="22"/>
              </w:rPr>
            </w:pPr>
            <w:r w:rsidRPr="00EA7422">
              <w:rPr>
                <w:rFonts w:eastAsiaTheme="minorHAnsi"/>
                <w:szCs w:val="22"/>
              </w:rPr>
              <w:t>Planning system</w:t>
            </w:r>
          </w:p>
        </w:tc>
        <w:tc>
          <w:tcPr>
            <w:tcW w:w="4872" w:type="dxa"/>
            <w:shd w:val="clear" w:color="auto" w:fill="auto"/>
            <w:noWrap/>
          </w:tcPr>
          <w:p w14:paraId="67E044C8" w14:textId="77777777" w:rsidR="00557F3D" w:rsidRPr="00EA7422" w:rsidRDefault="00557F3D" w:rsidP="00557F3D">
            <w:pPr>
              <w:spacing w:after="60"/>
              <w:rPr>
                <w:rFonts w:eastAsiaTheme="minorHAnsi"/>
                <w:szCs w:val="22"/>
              </w:rPr>
            </w:pPr>
            <w:r w:rsidRPr="00EA7422">
              <w:rPr>
                <w:rFonts w:eastAsiaTheme="minorHAnsi"/>
                <w:szCs w:val="22"/>
              </w:rPr>
              <w:t>South Kesteven District Council</w:t>
            </w:r>
          </w:p>
        </w:tc>
      </w:tr>
      <w:tr w:rsidR="00557F3D" w:rsidRPr="00EA7422" w14:paraId="340959CC" w14:textId="77777777" w:rsidTr="00557F3D">
        <w:trPr>
          <w:jc w:val="center"/>
        </w:trPr>
        <w:tc>
          <w:tcPr>
            <w:tcW w:w="3792" w:type="dxa"/>
            <w:shd w:val="clear" w:color="auto" w:fill="auto"/>
            <w:noWrap/>
            <w:hideMark/>
          </w:tcPr>
          <w:p w14:paraId="343A2FC1" w14:textId="77777777" w:rsidR="00557F3D" w:rsidRPr="00EA7422" w:rsidRDefault="00557F3D" w:rsidP="00557F3D">
            <w:pPr>
              <w:spacing w:after="60"/>
              <w:rPr>
                <w:rFonts w:eastAsiaTheme="minorHAnsi"/>
                <w:szCs w:val="22"/>
              </w:rPr>
            </w:pPr>
            <w:r w:rsidRPr="00EA7422">
              <w:rPr>
                <w:rFonts w:eastAsiaTheme="minorHAnsi"/>
                <w:szCs w:val="22"/>
              </w:rPr>
              <w:t>Adoption Services</w:t>
            </w:r>
          </w:p>
        </w:tc>
        <w:tc>
          <w:tcPr>
            <w:tcW w:w="4872" w:type="dxa"/>
            <w:shd w:val="clear" w:color="auto" w:fill="auto"/>
            <w:noWrap/>
            <w:hideMark/>
          </w:tcPr>
          <w:p w14:paraId="3746D941" w14:textId="77777777" w:rsidR="00557F3D" w:rsidRPr="00EA7422" w:rsidRDefault="00557F3D" w:rsidP="00557F3D">
            <w:pPr>
              <w:spacing w:after="60"/>
              <w:rPr>
                <w:rFonts w:eastAsiaTheme="minorHAnsi"/>
                <w:szCs w:val="22"/>
              </w:rPr>
            </w:pPr>
            <w:r w:rsidRPr="00EA7422">
              <w:rPr>
                <w:rFonts w:eastAsiaTheme="minorHAnsi"/>
                <w:szCs w:val="22"/>
              </w:rPr>
              <w:t>Leicestershire County Council</w:t>
            </w:r>
          </w:p>
        </w:tc>
      </w:tr>
      <w:tr w:rsidR="00557F3D" w:rsidRPr="00EA7422" w14:paraId="5578F760" w14:textId="77777777" w:rsidTr="00557F3D">
        <w:trPr>
          <w:jc w:val="center"/>
        </w:trPr>
        <w:tc>
          <w:tcPr>
            <w:tcW w:w="3792" w:type="dxa"/>
            <w:shd w:val="clear" w:color="auto" w:fill="auto"/>
            <w:noWrap/>
            <w:hideMark/>
          </w:tcPr>
          <w:p w14:paraId="65C6B003" w14:textId="77777777" w:rsidR="00557F3D" w:rsidRPr="00EA7422" w:rsidRDefault="00557F3D" w:rsidP="00557F3D">
            <w:pPr>
              <w:spacing w:after="60"/>
              <w:rPr>
                <w:rFonts w:eastAsiaTheme="minorHAnsi"/>
                <w:szCs w:val="22"/>
              </w:rPr>
            </w:pPr>
            <w:r w:rsidRPr="00EA7422">
              <w:rPr>
                <w:rFonts w:eastAsiaTheme="minorHAnsi"/>
                <w:szCs w:val="22"/>
              </w:rPr>
              <w:t>Public Health</w:t>
            </w:r>
          </w:p>
        </w:tc>
        <w:tc>
          <w:tcPr>
            <w:tcW w:w="4872" w:type="dxa"/>
            <w:shd w:val="clear" w:color="auto" w:fill="auto"/>
            <w:hideMark/>
          </w:tcPr>
          <w:p w14:paraId="125B592E" w14:textId="77777777" w:rsidR="00557F3D" w:rsidRPr="00EA7422" w:rsidRDefault="00557F3D" w:rsidP="00557F3D">
            <w:pPr>
              <w:spacing w:after="60"/>
              <w:rPr>
                <w:rFonts w:eastAsiaTheme="minorHAnsi"/>
                <w:szCs w:val="22"/>
              </w:rPr>
            </w:pPr>
            <w:r w:rsidRPr="00EA7422">
              <w:rPr>
                <w:rFonts w:eastAsiaTheme="minorHAnsi"/>
                <w:szCs w:val="22"/>
              </w:rPr>
              <w:t>Leicestershire County Council (with shared Director)</w:t>
            </w:r>
          </w:p>
        </w:tc>
      </w:tr>
      <w:tr w:rsidR="00557F3D" w:rsidRPr="00EA7422" w14:paraId="79F1F91C" w14:textId="77777777" w:rsidTr="00557F3D">
        <w:trPr>
          <w:jc w:val="center"/>
        </w:trPr>
        <w:tc>
          <w:tcPr>
            <w:tcW w:w="3792" w:type="dxa"/>
            <w:shd w:val="clear" w:color="auto" w:fill="auto"/>
            <w:noWrap/>
          </w:tcPr>
          <w:p w14:paraId="1CB70A86" w14:textId="77777777" w:rsidR="00557F3D" w:rsidRPr="00EA7422" w:rsidRDefault="00557F3D" w:rsidP="00557F3D">
            <w:pPr>
              <w:spacing w:after="60"/>
              <w:rPr>
                <w:rFonts w:eastAsiaTheme="minorHAnsi"/>
                <w:szCs w:val="22"/>
              </w:rPr>
            </w:pPr>
            <w:r w:rsidRPr="00EA7422">
              <w:rPr>
                <w:rFonts w:eastAsiaTheme="minorHAnsi"/>
                <w:szCs w:val="22"/>
              </w:rPr>
              <w:t>Finance IT systems provision and administration</w:t>
            </w:r>
          </w:p>
        </w:tc>
        <w:tc>
          <w:tcPr>
            <w:tcW w:w="4872" w:type="dxa"/>
            <w:shd w:val="clear" w:color="auto" w:fill="auto"/>
          </w:tcPr>
          <w:p w14:paraId="351B78B1" w14:textId="77777777" w:rsidR="00557F3D" w:rsidRPr="00EA7422" w:rsidRDefault="00557F3D" w:rsidP="00557F3D">
            <w:pPr>
              <w:spacing w:after="60"/>
              <w:rPr>
                <w:rFonts w:eastAsiaTheme="minorHAnsi"/>
                <w:szCs w:val="22"/>
              </w:rPr>
            </w:pPr>
            <w:r w:rsidRPr="00EA7422">
              <w:rPr>
                <w:rFonts w:eastAsiaTheme="minorHAnsi"/>
                <w:szCs w:val="22"/>
              </w:rPr>
              <w:t>Herefordshire Council (local authority company, Hoople)</w:t>
            </w:r>
          </w:p>
        </w:tc>
      </w:tr>
    </w:tbl>
    <w:p w14:paraId="52EEAD11" w14:textId="77777777" w:rsidR="00557F3D" w:rsidRPr="00CE08D0" w:rsidRDefault="00557F3D" w:rsidP="00557F3D"/>
    <w:p w14:paraId="297255CB"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The Council continues to review how best to deliver services with examples below of work done.</w:t>
      </w:r>
    </w:p>
    <w:p w14:paraId="225226D0"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The Council had an agreement with Peterborough City Council (PCC) to cover legal services.  A review of performance across the range of advice offered highlighted arrangements where a) the Council could in</w:t>
      </w:r>
      <w:r>
        <w:rPr>
          <w:lang w:eastAsia="en-GB"/>
        </w:rPr>
        <w:t>-</w:t>
      </w:r>
      <w:r w:rsidRPr="00CE08D0">
        <w:rPr>
          <w:lang w:eastAsia="en-GB"/>
        </w:rPr>
        <w:t xml:space="preserve">source some activity and deliver it at lower cost e.g. adult social care advice, and b) areas where capacity and performance was limited and alternative arrangements should be sought.  </w:t>
      </w:r>
    </w:p>
    <w:p w14:paraId="44A7B9C7"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In response, the Council has now moved away from an exclusive relationship with PCC, has recruited in</w:t>
      </w:r>
      <w:r>
        <w:rPr>
          <w:lang w:eastAsia="en-GB"/>
        </w:rPr>
        <w:t>-</w:t>
      </w:r>
      <w:r w:rsidRPr="00CE08D0">
        <w:rPr>
          <w:lang w:eastAsia="en-GB"/>
        </w:rPr>
        <w:t xml:space="preserve">house resource and has commissioned LGSS to deliver work </w:t>
      </w:r>
      <w:r w:rsidRPr="00CE08D0">
        <w:rPr>
          <w:lang w:eastAsia="en-GB"/>
        </w:rPr>
        <w:lastRenderedPageBreak/>
        <w:t xml:space="preserve">for children’s services.  </w:t>
      </w:r>
    </w:p>
    <w:p w14:paraId="718ED451"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In 2016, the Council delegated provision of its finance system to Herefordshire Council to make savings and increase resilience.  This has worked well with savings continuing to be delivered with very good performance. Cabinet have agreed to extend the delegation.</w:t>
      </w:r>
    </w:p>
    <w:p w14:paraId="0F741D24"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Council’s governance approach to partnerships </w:t>
      </w:r>
      <w:r>
        <w:t>(</w:t>
      </w:r>
      <w:r w:rsidRPr="00CE08D0">
        <w:t>working with others</w:t>
      </w:r>
      <w:r>
        <w:t>)</w:t>
      </w:r>
      <w:r w:rsidRPr="00CE08D0">
        <w:t xml:space="preserve"> varies according to the legal basis of arrangements. All delegated services are covered by formal delegation agreements.  Partnerships/shared services are covered by Service Level agreements. All arrangements have a Rutland Lead Officer and all documents cover scope of services, performance expected, reporting and termination clauses.</w:t>
      </w:r>
    </w:p>
    <w:p w14:paraId="748EAF56"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Community Engagement, Partnership working and reporting</w:t>
      </w:r>
    </w:p>
    <w:p w14:paraId="20E97E77" w14:textId="77777777" w:rsidR="00557F3D" w:rsidRPr="00CE08D0" w:rsidRDefault="00557F3D" w:rsidP="00557F3D">
      <w:pPr>
        <w:pStyle w:val="Heading3"/>
        <w:keepNext w:val="0"/>
        <w:widowControl w:val="0"/>
        <w:tabs>
          <w:tab w:val="clear" w:pos="720"/>
        </w:tabs>
        <w:spacing w:after="240"/>
        <w:ind w:left="851" w:hanging="851"/>
        <w:jc w:val="left"/>
        <w:rPr>
          <w:lang w:val="en-US"/>
        </w:rPr>
      </w:pPr>
      <w:r w:rsidRPr="00CE08D0">
        <w:rPr>
          <w:lang w:val="en-US"/>
        </w:rPr>
        <w:t>The Council has two projects that are part of the ‘One Public Estate’ programme which is supported by Central Government and aims to bring together Central and Local Government together with like-minded private sector partners to deliver services more effectively to the public. These projects relate to St Georges Barracks and the Rutland Hub.  This section also includes details of our working on the Local Plan.</w:t>
      </w:r>
    </w:p>
    <w:p w14:paraId="38A55766" w14:textId="77777777" w:rsidR="00557F3D" w:rsidRPr="00EA7422" w:rsidRDefault="00557F3D" w:rsidP="00557F3D">
      <w:pPr>
        <w:shd w:val="clear" w:color="auto" w:fill="FFFFFF"/>
        <w:spacing w:after="240"/>
        <w:ind w:left="131" w:firstLine="720"/>
        <w:rPr>
          <w:i/>
          <w:szCs w:val="22"/>
        </w:rPr>
      </w:pPr>
      <w:r w:rsidRPr="00EA7422">
        <w:rPr>
          <w:i/>
          <w:szCs w:val="22"/>
        </w:rPr>
        <w:t xml:space="preserve">St Georges Barracks </w:t>
      </w:r>
    </w:p>
    <w:p w14:paraId="3A16B86D"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 xml:space="preserve">In November 2016, the Ministry of Defence (MOD) announced it was to dispose of St. George’s Barracks. The MOD and Rutland County Council agreed in September 2017 to work together to explore possible options for the future use of St George’s Barracks in North Luffenham. Since then, High Level and Evolving Masterplans have been developed, with input from residents for the site. </w:t>
      </w:r>
    </w:p>
    <w:p w14:paraId="14ADF54F"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The Evolving Masterplan sets</w:t>
      </w:r>
      <w:r w:rsidRPr="00CE08D0">
        <w:t xml:space="preserve"> out the policy context, a vision for the site and outlining the consultation process. It provides a potential future framework for redeveloping the site to </w:t>
      </w:r>
      <w:r w:rsidRPr="00CE08D0">
        <w:rPr>
          <w:lang w:eastAsia="en-GB"/>
        </w:rPr>
        <w:t>create around 2,315 new homes for Rutland and more than 2,000 new jobs.  </w:t>
      </w:r>
    </w:p>
    <w:p w14:paraId="70A884A7"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 xml:space="preserve">In November 2018, a bid was submitted by Rutland County Council to the Ministry for Housing, Communities &amp; Local Government (MHCLG) for the project to be included in the national Garden Communities Programme.  </w:t>
      </w:r>
    </w:p>
    <w:p w14:paraId="0BF5FA46"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The bid was successful, and in June 2019 it was announced that the Council would receive a proportion of the £3</w:t>
      </w:r>
      <w:r>
        <w:rPr>
          <w:lang w:eastAsia="en-GB"/>
        </w:rPr>
        <w:t xml:space="preserve"> </w:t>
      </w:r>
      <w:r w:rsidRPr="00CE08D0">
        <w:rPr>
          <w:lang w:eastAsia="en-GB"/>
        </w:rPr>
        <w:t xml:space="preserve">million grant funding to help develop </w:t>
      </w:r>
      <w:r>
        <w:rPr>
          <w:lang w:eastAsia="en-GB"/>
        </w:rPr>
        <w:t xml:space="preserve">a </w:t>
      </w:r>
      <w:r w:rsidRPr="00CE08D0">
        <w:rPr>
          <w:lang w:eastAsia="en-GB"/>
        </w:rPr>
        <w:t>design and layout proposal that include</w:t>
      </w:r>
      <w:r>
        <w:rPr>
          <w:lang w:eastAsia="en-GB"/>
        </w:rPr>
        <w:t>s</w:t>
      </w:r>
      <w:r w:rsidRPr="00CE08D0">
        <w:rPr>
          <w:lang w:eastAsia="en-GB"/>
        </w:rPr>
        <w:t xml:space="preserve"> the creation of innovative new dementia-friendly neighbourhoods within St. Georges. </w:t>
      </w:r>
    </w:p>
    <w:p w14:paraId="768F0FCA" w14:textId="77777777" w:rsidR="00557F3D" w:rsidRPr="00CE08D0" w:rsidRDefault="00557F3D" w:rsidP="00557F3D">
      <w:pPr>
        <w:pStyle w:val="Heading3"/>
        <w:keepNext w:val="0"/>
        <w:widowControl w:val="0"/>
        <w:tabs>
          <w:tab w:val="clear" w:pos="720"/>
        </w:tabs>
        <w:spacing w:after="240"/>
        <w:ind w:left="851" w:hanging="851"/>
        <w:jc w:val="left"/>
      </w:pPr>
      <w:r w:rsidRPr="00CE08D0">
        <w:rPr>
          <w:lang w:eastAsia="en-GB"/>
        </w:rPr>
        <w:t xml:space="preserve">In January 2019, Rutland County Council’s Full Council approved a bid for £29.4m to be submitted to MHCLG to </w:t>
      </w:r>
      <w:r w:rsidRPr="00CE08D0">
        <w:t xml:space="preserve">enable essential infrastructure </w:t>
      </w:r>
      <w:r>
        <w:t xml:space="preserve">and other </w:t>
      </w:r>
      <w:r w:rsidRPr="00CE08D0">
        <w:t xml:space="preserve">works to be brought about in advance of the redevelopment of the St George’s site. </w:t>
      </w:r>
    </w:p>
    <w:p w14:paraId="695DB9B5" w14:textId="77777777" w:rsidR="00557F3D" w:rsidRPr="00CE08D0" w:rsidRDefault="00557F3D" w:rsidP="00557F3D">
      <w:pPr>
        <w:pStyle w:val="Heading3"/>
        <w:keepNext w:val="0"/>
        <w:widowControl w:val="0"/>
        <w:tabs>
          <w:tab w:val="clear" w:pos="720"/>
        </w:tabs>
        <w:spacing w:after="240"/>
        <w:ind w:left="851" w:hanging="851"/>
        <w:jc w:val="left"/>
      </w:pPr>
      <w:r w:rsidRPr="00CE08D0">
        <w:t>This will underpin the viability of the project to ensure appropriate and timely investment in infrastructure is put in place. The investment would not only benefit the St George’s site, but benefits will be seen across the county as roads and junctions are upgraded along with health facilities and public transport supporting the local community at and around St George’s.</w:t>
      </w:r>
    </w:p>
    <w:p w14:paraId="4BAA4260" w14:textId="77777777" w:rsidR="00557F3D" w:rsidRDefault="00557F3D" w:rsidP="00557F3D">
      <w:pPr>
        <w:pStyle w:val="Heading3"/>
        <w:keepNext w:val="0"/>
        <w:widowControl w:val="0"/>
        <w:tabs>
          <w:tab w:val="clear" w:pos="720"/>
        </w:tabs>
        <w:spacing w:after="240"/>
        <w:ind w:left="851" w:hanging="851"/>
        <w:jc w:val="left"/>
      </w:pPr>
      <w:r w:rsidRPr="00CE08D0">
        <w:t xml:space="preserve">In November 2019 MHCLG announced that Rutland has been successful in its application. The decision whether to accept the funding was put to Full Council in </w:t>
      </w:r>
      <w:r w:rsidRPr="00CE08D0">
        <w:lastRenderedPageBreak/>
        <w:t xml:space="preserve">January 2020 and Councillors voted to defer the decision until further information about the terms of the grant were provided by MHCLG.   </w:t>
      </w:r>
    </w:p>
    <w:p w14:paraId="5DC12CBF" w14:textId="77777777" w:rsidR="00557F3D" w:rsidRPr="00CE08D0" w:rsidRDefault="00557F3D" w:rsidP="00557F3D">
      <w:pPr>
        <w:pStyle w:val="Heading3"/>
        <w:keepNext w:val="0"/>
        <w:widowControl w:val="0"/>
        <w:tabs>
          <w:tab w:val="clear" w:pos="720"/>
        </w:tabs>
        <w:spacing w:after="240"/>
        <w:ind w:left="851" w:hanging="851"/>
        <w:jc w:val="left"/>
      </w:pPr>
      <w:r>
        <w:t>The Council is in dialogue with Homes England and the MOD about the terms and is not yet in a position to bring forward a report to Council.</w:t>
      </w:r>
    </w:p>
    <w:p w14:paraId="56DE8D5A" w14:textId="77777777" w:rsidR="00557F3D" w:rsidRPr="00EA7422" w:rsidRDefault="00557F3D" w:rsidP="00557F3D">
      <w:pPr>
        <w:shd w:val="clear" w:color="auto" w:fill="FFFFFF" w:themeFill="background1"/>
        <w:spacing w:after="240"/>
        <w:ind w:left="131" w:firstLine="720"/>
        <w:rPr>
          <w:i/>
          <w:szCs w:val="22"/>
          <w:lang w:eastAsia="en-GB"/>
        </w:rPr>
      </w:pPr>
      <w:r w:rsidRPr="00EA7422">
        <w:rPr>
          <w:i/>
          <w:szCs w:val="22"/>
          <w:lang w:eastAsia="en-GB"/>
        </w:rPr>
        <w:t>The Officers' Mess Site</w:t>
      </w:r>
    </w:p>
    <w:p w14:paraId="32E19A1A"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In March 2018, Cabinet endorsed some proactive work be undertaken that would help us understand whether the early acquisition of the Officers’ Mess for the purpose of providing new housing was feasible. However, earlier in the year, a decision was taken by the Rutland One Public Estate team to disband the project as the financial risks were far too great for RCC to take forward.</w:t>
      </w:r>
    </w:p>
    <w:p w14:paraId="13E19A36"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Subsequently, the DIO made the decision to move the project into the wider St George’s project and will now form part of the holistic masterplan developed for the site.</w:t>
      </w:r>
    </w:p>
    <w:p w14:paraId="50E5B706" w14:textId="77777777" w:rsidR="00557F3D" w:rsidRPr="00EA7422" w:rsidRDefault="00557F3D" w:rsidP="00557F3D">
      <w:pPr>
        <w:shd w:val="clear" w:color="auto" w:fill="FFFFFF" w:themeFill="background1"/>
        <w:spacing w:after="240"/>
        <w:ind w:left="131" w:firstLine="720"/>
        <w:rPr>
          <w:i/>
          <w:szCs w:val="22"/>
        </w:rPr>
      </w:pPr>
      <w:r w:rsidRPr="00EA7422">
        <w:rPr>
          <w:i/>
          <w:szCs w:val="22"/>
        </w:rPr>
        <w:t>Rutland Hub</w:t>
      </w:r>
    </w:p>
    <w:p w14:paraId="17AB3DDE" w14:textId="77777777" w:rsidR="00557F3D" w:rsidRPr="00277E97" w:rsidRDefault="00557F3D" w:rsidP="00557F3D">
      <w:pPr>
        <w:pStyle w:val="Heading3"/>
        <w:keepNext w:val="0"/>
        <w:widowControl w:val="0"/>
        <w:tabs>
          <w:tab w:val="clear" w:pos="720"/>
        </w:tabs>
        <w:spacing w:after="240"/>
        <w:ind w:left="851" w:hanging="851"/>
        <w:jc w:val="left"/>
        <w:rPr>
          <w:lang w:val="en-US"/>
        </w:rPr>
      </w:pPr>
      <w:r w:rsidRPr="00CE08D0">
        <w:rPr>
          <w:lang w:val="en-US"/>
        </w:rPr>
        <w:t>As part of the OPE programme, the council led a project to look at the viability of creating a single service hub that would include the council, health, voluntary sectors and blue light services.  As well as rationalising public estate in Oakham and seeking to improve access to public services, the project explored how a single hub may deliver revenue savings for organisations, meet an increased demand on primary care and support the future sustainability of wider health services delivered through the Rutland memorial hospital.  However, our viability testing identified that the initial scope for the project was too broad and would not provide the intended benefits for all partners.</w:t>
      </w:r>
    </w:p>
    <w:p w14:paraId="1F713B94" w14:textId="77777777" w:rsidR="00557F3D" w:rsidRPr="00277E97" w:rsidRDefault="00557F3D" w:rsidP="00557F3D">
      <w:pPr>
        <w:pStyle w:val="Heading3"/>
        <w:keepNext w:val="0"/>
        <w:widowControl w:val="0"/>
        <w:tabs>
          <w:tab w:val="clear" w:pos="720"/>
        </w:tabs>
        <w:spacing w:after="240"/>
        <w:ind w:left="851" w:hanging="851"/>
        <w:jc w:val="left"/>
        <w:rPr>
          <w:lang w:val="en-US"/>
        </w:rPr>
      </w:pPr>
      <w:r w:rsidRPr="00CE08D0">
        <w:rPr>
          <w:lang w:val="en-US"/>
        </w:rPr>
        <w:t>That said, with capacity of the GP surgeries being stretched together with an aging health estate in Rutland, there is still a mandate to pursue changes. The project scope has therefore narrowed on health and social care and but looking at the whole Rutland health estate.</w:t>
      </w:r>
    </w:p>
    <w:p w14:paraId="56074CA5" w14:textId="77777777" w:rsidR="00557F3D" w:rsidRPr="00277E97" w:rsidRDefault="00557F3D" w:rsidP="00557F3D">
      <w:pPr>
        <w:pStyle w:val="Heading3"/>
        <w:keepNext w:val="0"/>
        <w:widowControl w:val="0"/>
        <w:tabs>
          <w:tab w:val="clear" w:pos="720"/>
        </w:tabs>
        <w:spacing w:after="240"/>
        <w:ind w:left="851" w:hanging="851"/>
        <w:jc w:val="left"/>
        <w:rPr>
          <w:lang w:val="en-US"/>
        </w:rPr>
      </w:pPr>
      <w:r w:rsidRPr="00CE08D0">
        <w:rPr>
          <w:lang w:val="en-US"/>
        </w:rPr>
        <w:t xml:space="preserve">The aim of the project is to review the delivery of overall primary health care across the county in addition to the Rutland Memorial Hospital.  </w:t>
      </w:r>
    </w:p>
    <w:p w14:paraId="71143266" w14:textId="77777777" w:rsidR="00557F3D" w:rsidRPr="00EA7422" w:rsidRDefault="00557F3D" w:rsidP="00557F3D">
      <w:pPr>
        <w:spacing w:after="240"/>
        <w:ind w:left="131" w:firstLine="720"/>
        <w:rPr>
          <w:i/>
          <w:szCs w:val="22"/>
        </w:rPr>
      </w:pPr>
      <w:r w:rsidRPr="00EA7422">
        <w:rPr>
          <w:i/>
          <w:szCs w:val="22"/>
        </w:rPr>
        <w:t>Local Plan</w:t>
      </w:r>
    </w:p>
    <w:p w14:paraId="2EDE78CE" w14:textId="77777777" w:rsidR="00557F3D" w:rsidRPr="00CE08D0" w:rsidRDefault="00557F3D" w:rsidP="00557F3D">
      <w:pPr>
        <w:pStyle w:val="Heading3"/>
        <w:keepNext w:val="0"/>
        <w:widowControl w:val="0"/>
        <w:tabs>
          <w:tab w:val="clear" w:pos="720"/>
        </w:tabs>
        <w:spacing w:after="240"/>
        <w:ind w:left="851" w:hanging="851"/>
        <w:jc w:val="left"/>
      </w:pPr>
      <w:r w:rsidRPr="00CE08D0">
        <w:t>We are reviewing the Local Plan in order to extend the plan period to 2036 and to provide for any additional new housing, employment or other development that may be needed over the extended plan period.</w:t>
      </w:r>
    </w:p>
    <w:p w14:paraId="27CD3328" w14:textId="77777777" w:rsidR="00557F3D" w:rsidRPr="00CE08D0" w:rsidRDefault="00557F3D" w:rsidP="00557F3D">
      <w:pPr>
        <w:pStyle w:val="Heading3"/>
        <w:keepNext w:val="0"/>
        <w:widowControl w:val="0"/>
        <w:tabs>
          <w:tab w:val="clear" w:pos="720"/>
        </w:tabs>
        <w:spacing w:after="240"/>
        <w:ind w:left="851" w:hanging="851"/>
        <w:jc w:val="left"/>
      </w:pPr>
      <w:r w:rsidRPr="00CE08D0">
        <w:t>Additional consultation forming part of Rutland’s ongoing Local Plan Review took place between 13 August and 24 September 2018. The consultation invited comments on two separate documents:</w:t>
      </w:r>
    </w:p>
    <w:p w14:paraId="0630417A" w14:textId="77777777" w:rsidR="00557F3D" w:rsidRPr="00EA7422" w:rsidRDefault="00557F3D" w:rsidP="00203885">
      <w:pPr>
        <w:pStyle w:val="BulletPoint"/>
        <w:numPr>
          <w:ilvl w:val="0"/>
          <w:numId w:val="36"/>
        </w:numPr>
        <w:rPr>
          <w:rFonts w:cs="Arial"/>
          <w:sz w:val="22"/>
          <w:szCs w:val="22"/>
        </w:rPr>
      </w:pPr>
      <w:r w:rsidRPr="00EA7422">
        <w:rPr>
          <w:sz w:val="22"/>
          <w:szCs w:val="22"/>
        </w:rPr>
        <w:t>Focused Changes to the Local Plan after including St George’s</w:t>
      </w:r>
      <w:r w:rsidRPr="00CE08D0">
        <w:t xml:space="preserve"> </w:t>
      </w:r>
      <w:r w:rsidRPr="00EA7422">
        <w:rPr>
          <w:sz w:val="22"/>
          <w:szCs w:val="22"/>
        </w:rPr>
        <w:t>Barracks in the Plan</w:t>
      </w:r>
    </w:p>
    <w:p w14:paraId="044CA4CA" w14:textId="77777777" w:rsidR="00557F3D" w:rsidRPr="00EA7422" w:rsidRDefault="00557F3D" w:rsidP="00203885">
      <w:pPr>
        <w:pStyle w:val="BulletPoint"/>
        <w:numPr>
          <w:ilvl w:val="0"/>
          <w:numId w:val="36"/>
        </w:numPr>
        <w:rPr>
          <w:rFonts w:ascii="Calibri" w:hAnsi="Calibri" w:cs="Calibri"/>
          <w:sz w:val="22"/>
          <w:szCs w:val="22"/>
        </w:rPr>
      </w:pPr>
      <w:r w:rsidRPr="00EA7422">
        <w:rPr>
          <w:sz w:val="22"/>
          <w:szCs w:val="22"/>
        </w:rPr>
        <w:t>Additional Sites put forward for possible development since the Consultation Draft Local Plan 2017</w:t>
      </w:r>
    </w:p>
    <w:p w14:paraId="0B5A8718"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feedback was collated recommendations presented to and agreed by Rutland County Council’s Cabinet in December 2019. The recommendations were then used to inform the development of a Pre-Submission Local Plan, which was </w:t>
      </w:r>
      <w:r w:rsidRPr="00CE08D0">
        <w:lastRenderedPageBreak/>
        <w:t xml:space="preserve">presented to the Growth Infrastructure and Resources Scrutiny Committee in January 2020. </w:t>
      </w:r>
    </w:p>
    <w:p w14:paraId="2AFD4F8E" w14:textId="77777777" w:rsidR="00557F3D" w:rsidRDefault="00557F3D" w:rsidP="00557F3D">
      <w:pPr>
        <w:pStyle w:val="Heading3"/>
        <w:keepNext w:val="0"/>
        <w:widowControl w:val="0"/>
        <w:tabs>
          <w:tab w:val="clear" w:pos="720"/>
        </w:tabs>
        <w:spacing w:after="240"/>
        <w:ind w:left="851" w:hanging="851"/>
        <w:jc w:val="left"/>
      </w:pPr>
      <w:r w:rsidRPr="00CE08D0">
        <w:t xml:space="preserve">Full Council approved the Pre-Submission Local Plan to be presented to residents for further consultation in February 2020, before representations and the Submission is provided to the Secretary of State for consideration. </w:t>
      </w:r>
    </w:p>
    <w:p w14:paraId="52E1B807" w14:textId="77777777" w:rsidR="00557F3D" w:rsidRDefault="00557F3D" w:rsidP="00557F3D">
      <w:pPr>
        <w:pStyle w:val="Heading3"/>
        <w:keepNext w:val="0"/>
        <w:widowControl w:val="0"/>
        <w:tabs>
          <w:tab w:val="clear" w:pos="720"/>
        </w:tabs>
        <w:spacing w:after="240"/>
        <w:ind w:left="851" w:hanging="851"/>
        <w:jc w:val="left"/>
        <w:rPr>
          <w:color w:val="444444"/>
        </w:rPr>
      </w:pPr>
      <w:r w:rsidRPr="00CE08D0">
        <w:t xml:space="preserve">Consultation </w:t>
      </w:r>
      <w:r>
        <w:t xml:space="preserve">was </w:t>
      </w:r>
      <w:r w:rsidRPr="00277E97">
        <w:t>originally postponed, owning to the outbreak of Covid-19.  Consultation was opened on 27</w:t>
      </w:r>
      <w:r w:rsidRPr="00277E97">
        <w:rPr>
          <w:vertAlign w:val="superscript"/>
        </w:rPr>
        <w:t>th</w:t>
      </w:r>
      <w:r w:rsidRPr="00277E97">
        <w:t xml:space="preserve"> August and will run to October</w:t>
      </w:r>
      <w:r>
        <w:t xml:space="preserve">. </w:t>
      </w:r>
      <w:r w:rsidRPr="00277E97">
        <w:rPr>
          <w:rFonts w:cs="Arial"/>
        </w:rPr>
        <w:t>At this stage of consultation, Rutland County Council is seeking views on whether the Local Plan is legally compliant and meets the tests of ‘soundness’ as set out in the National Planning Policy Framework (NPPF). </w:t>
      </w:r>
    </w:p>
    <w:p w14:paraId="385DBC49" w14:textId="77777777" w:rsidR="00557F3D" w:rsidRPr="00EA7422" w:rsidRDefault="00557F3D" w:rsidP="00557F3D">
      <w:pPr>
        <w:spacing w:after="240"/>
        <w:ind w:left="131" w:firstLine="720"/>
        <w:rPr>
          <w:i/>
          <w:szCs w:val="22"/>
        </w:rPr>
      </w:pPr>
      <w:r w:rsidRPr="00EA7422">
        <w:rPr>
          <w:i/>
          <w:szCs w:val="22"/>
        </w:rPr>
        <w:t>Working with the business community</w:t>
      </w:r>
    </w:p>
    <w:p w14:paraId="7F0D0AE4"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We work with the business community in different ways.  We offer all year-round support to local businesses of all sizes through our Economic Development team. The team provides information and advice about grant funding, training and networking opportunities. </w:t>
      </w:r>
    </w:p>
    <w:p w14:paraId="3267CCE2" w14:textId="77777777" w:rsidR="00557F3D" w:rsidRPr="00CE08D0" w:rsidRDefault="00557F3D" w:rsidP="00557F3D">
      <w:pPr>
        <w:pStyle w:val="Heading3"/>
        <w:keepNext w:val="0"/>
        <w:widowControl w:val="0"/>
        <w:tabs>
          <w:tab w:val="clear" w:pos="720"/>
        </w:tabs>
        <w:spacing w:after="240"/>
        <w:ind w:left="851" w:hanging="851"/>
        <w:jc w:val="left"/>
      </w:pPr>
      <w:r w:rsidRPr="00CE08D0">
        <w:t>We delivered a number of networking events. These included a business summit in March 2020 where 70 of Rutland’s businesses and partners gathered to meet and discuss future trends affecting our local, regional and national economy.  Guest speakers covered a wide range of specials topics including advising on Brexit for business and Rutland’s 50</w:t>
      </w:r>
      <w:r>
        <w:t>-</w:t>
      </w:r>
      <w:r w:rsidRPr="00CE08D0">
        <w:t xml:space="preserve">year vision. The summit also provided an opportunity to gather insight from businesses to shape the new Economic Growth Plan. </w:t>
      </w:r>
    </w:p>
    <w:p w14:paraId="532BBDE9" w14:textId="77777777" w:rsidR="00557F3D" w:rsidRPr="00CE08D0" w:rsidRDefault="00557F3D" w:rsidP="00557F3D">
      <w:pPr>
        <w:pStyle w:val="Heading3"/>
        <w:keepNext w:val="0"/>
        <w:widowControl w:val="0"/>
        <w:tabs>
          <w:tab w:val="clear" w:pos="720"/>
        </w:tabs>
        <w:spacing w:after="240"/>
        <w:ind w:left="851" w:hanging="851"/>
        <w:jc w:val="left"/>
      </w:pPr>
      <w:r w:rsidRPr="00CE08D0">
        <w:t>The team also engaged with RCC business tenants including delivering a meet and greet event at the King Centre to enable businesses to the meet Places team. The Economic Development team also connected with the Federation of Small Business, Job Centre Plus and the Cambridgeshire and Greater Peterborough Growth Hub.</w:t>
      </w:r>
    </w:p>
    <w:p w14:paraId="50217C3E" w14:textId="77777777" w:rsidR="00557F3D" w:rsidRDefault="00557F3D" w:rsidP="00557F3D">
      <w:pPr>
        <w:pStyle w:val="Heading3"/>
        <w:keepNext w:val="0"/>
        <w:widowControl w:val="0"/>
        <w:tabs>
          <w:tab w:val="clear" w:pos="720"/>
        </w:tabs>
        <w:spacing w:after="240"/>
        <w:ind w:left="851" w:hanging="851"/>
        <w:jc w:val="left"/>
      </w:pPr>
      <w:r w:rsidRPr="00CE08D0">
        <w:t>We also organise an Annual Tourism Forum through the Discover Rutland Tourism Committee for groups, businesses and individuals connected with tourism in the local area. This year’s forum took place in November and included a run-down of activity from different tourism sectors and reported on the economic impact of Rutland’s tourism industry, which is shown to have grown again over the past 12 months.</w:t>
      </w:r>
    </w:p>
    <w:p w14:paraId="2FA8463E" w14:textId="77777777" w:rsidR="00557F3D" w:rsidRPr="00CE08D0" w:rsidRDefault="00557F3D" w:rsidP="00557F3D">
      <w:pPr>
        <w:pStyle w:val="Heading3"/>
        <w:keepNext w:val="0"/>
        <w:widowControl w:val="0"/>
        <w:tabs>
          <w:tab w:val="clear" w:pos="720"/>
        </w:tabs>
        <w:spacing w:after="240"/>
        <w:ind w:left="851" w:hanging="851"/>
        <w:jc w:val="left"/>
      </w:pPr>
      <w:r>
        <w:t>During the pandemic, the Council has worked to implement the business grant schemes put in place by Government.  It has made over £12m in payments to over 1,000 local businesses.</w:t>
      </w:r>
    </w:p>
    <w:p w14:paraId="659B8BB1" w14:textId="54D65A57" w:rsidR="00557F3D" w:rsidRPr="00EA7422" w:rsidRDefault="00557F3D" w:rsidP="00557F3D">
      <w:pPr>
        <w:tabs>
          <w:tab w:val="right" w:pos="9026"/>
        </w:tabs>
        <w:spacing w:after="240"/>
        <w:rPr>
          <w:i/>
          <w:szCs w:val="22"/>
        </w:rPr>
      </w:pPr>
      <w:r w:rsidRPr="0064141F">
        <w:rPr>
          <w:i/>
          <w:sz w:val="36"/>
          <w:szCs w:val="36"/>
        </w:rPr>
        <w:t xml:space="preserve">         </w:t>
      </w:r>
      <w:r w:rsidR="00EA7422" w:rsidRPr="00EA7422">
        <w:rPr>
          <w:i/>
          <w:szCs w:val="22"/>
        </w:rPr>
        <w:t>W</w:t>
      </w:r>
      <w:r w:rsidRPr="00EA7422">
        <w:rPr>
          <w:i/>
          <w:szCs w:val="22"/>
        </w:rPr>
        <w:t xml:space="preserve">orking with health  </w:t>
      </w:r>
    </w:p>
    <w:p w14:paraId="1B4AF6F8" w14:textId="77777777" w:rsidR="00557F3D" w:rsidRPr="00A56397" w:rsidRDefault="00557F3D" w:rsidP="00557F3D">
      <w:pPr>
        <w:pStyle w:val="Heading3"/>
        <w:keepNext w:val="0"/>
        <w:widowControl w:val="0"/>
        <w:tabs>
          <w:tab w:val="clear" w:pos="720"/>
        </w:tabs>
        <w:spacing w:after="240"/>
        <w:ind w:left="851" w:hanging="851"/>
        <w:jc w:val="left"/>
        <w:rPr>
          <w:lang w:val="en-US" w:eastAsia="en-GB"/>
        </w:rPr>
      </w:pPr>
      <w:r w:rsidRPr="00CE08D0">
        <w:rPr>
          <w:lang w:val="en-US" w:eastAsia="en-GB"/>
        </w:rPr>
        <w:t xml:space="preserve">The LLR Sustainability and Transformation Partnership has continued to reshape health and care services around the needs of the LLR population through the Better Care Together programme. Following publication of the NHS Long Term Plan in January 2019, LLR is moving into the next phase of integration, with the aim of becoming an ‘Integrated Care System’ by April </w:t>
      </w:r>
      <w:r w:rsidRPr="00A56397">
        <w:rPr>
          <w:lang w:val="en-US" w:eastAsia="en-GB"/>
        </w:rPr>
        <w:t>2021.</w:t>
      </w:r>
      <w:r w:rsidRPr="00A56397">
        <w:rPr>
          <w:lang w:val="en-US"/>
        </w:rPr>
        <w:t xml:space="preserve"> This will move further towards place-based budgeting (with single system control totals), looking across organisations at the ‘LLR pound’ and identifying new, more efficient and effective models of care that manage demand, including through increased prevention. How Adult Social Care and Public Health fit into this picture is progressively being clarified.</w:t>
      </w:r>
    </w:p>
    <w:p w14:paraId="25F150A0" w14:textId="77777777" w:rsidR="00557F3D" w:rsidRPr="00A56397" w:rsidRDefault="00557F3D" w:rsidP="00557F3D">
      <w:pPr>
        <w:pStyle w:val="Heading3"/>
        <w:keepNext w:val="0"/>
        <w:widowControl w:val="0"/>
        <w:tabs>
          <w:tab w:val="clear" w:pos="720"/>
        </w:tabs>
        <w:spacing w:after="240"/>
        <w:ind w:left="851" w:hanging="851"/>
        <w:jc w:val="left"/>
        <w:rPr>
          <w:u w:val="single"/>
          <w:lang w:val="en"/>
        </w:rPr>
      </w:pPr>
      <w:r w:rsidRPr="00A56397">
        <w:rPr>
          <w:lang w:val="en-US" w:eastAsia="en-GB"/>
        </w:rPr>
        <w:lastRenderedPageBreak/>
        <w:t>The aim of the Better Care Together plan is to ensure the sustainability and sufficiency of healthcare services, achieving this by: keeping more people out of hospital through improved prevention and by supporting more patients at home and in their community; improving crisis care including for mental health; and joining up routes through the care system.  The programme is a standing item at the Rutland Health and Wellbeing Board.</w:t>
      </w:r>
    </w:p>
    <w:p w14:paraId="35AEDD5F" w14:textId="77777777" w:rsidR="00557F3D" w:rsidRPr="00A56397" w:rsidRDefault="00557F3D" w:rsidP="00557F3D">
      <w:pPr>
        <w:pStyle w:val="Heading3"/>
        <w:keepNext w:val="0"/>
        <w:widowControl w:val="0"/>
        <w:tabs>
          <w:tab w:val="clear" w:pos="720"/>
        </w:tabs>
        <w:spacing w:after="240"/>
        <w:ind w:left="851" w:hanging="851"/>
        <w:jc w:val="left"/>
        <w:rPr>
          <w:lang w:eastAsia="en-GB"/>
        </w:rPr>
      </w:pPr>
      <w:r w:rsidRPr="00A56397">
        <w:rPr>
          <w:lang w:val="en-US" w:eastAsia="en-GB"/>
        </w:rPr>
        <w:t xml:space="preserve">In Rutland itself, </w:t>
      </w:r>
      <w:r w:rsidRPr="00A56397">
        <w:rPr>
          <w:lang w:val="en" w:eastAsia="en-GB"/>
        </w:rPr>
        <w:t xml:space="preserve">delivery of the local Better Care Fund programme has again progressed well during 2019/20, providing integrated health and social care approaches tailored to the Rutland context, working </w:t>
      </w:r>
      <w:r w:rsidRPr="00A56397">
        <w:rPr>
          <w:lang w:val="en-US" w:eastAsia="en-GB"/>
        </w:rPr>
        <w:t>together with local NHS and community sector providers. For example:</w:t>
      </w:r>
    </w:p>
    <w:p w14:paraId="106F57C9" w14:textId="77777777" w:rsidR="00557F3D" w:rsidRPr="00EA7422" w:rsidRDefault="00557F3D" w:rsidP="00203885">
      <w:pPr>
        <w:pStyle w:val="BulletPoint"/>
        <w:numPr>
          <w:ilvl w:val="0"/>
          <w:numId w:val="36"/>
        </w:numPr>
        <w:rPr>
          <w:sz w:val="22"/>
          <w:szCs w:val="22"/>
          <w:lang w:val="en"/>
        </w:rPr>
      </w:pPr>
      <w:r w:rsidRPr="00EA7422">
        <w:rPr>
          <w:sz w:val="22"/>
          <w:szCs w:val="22"/>
          <w:lang w:val="en"/>
        </w:rPr>
        <w:t xml:space="preserve">Unified prevention remains a focus, including an emphasis on ageing well. The social prescribing project, led by the Rutland Public Health and Integration leads, is working with a growing cross-section of partners to design and deliver improved prevention potential in Rutland. Partners will address a diversity of support needs and circumstances in a more systematic and coordinated way to help people to sustain their health, wellbeing and independence.  As part of this, the new quarterly 'Signposters Network' is going from strength to strength, and partners are looking to put in place a shared online system to help them with quick and secure client referrals. </w:t>
      </w:r>
    </w:p>
    <w:p w14:paraId="1A877E6F" w14:textId="77777777" w:rsidR="00557F3D" w:rsidRPr="00EA7422" w:rsidRDefault="00557F3D" w:rsidP="00203885">
      <w:pPr>
        <w:pStyle w:val="BulletPoint"/>
        <w:numPr>
          <w:ilvl w:val="0"/>
          <w:numId w:val="36"/>
        </w:numPr>
        <w:rPr>
          <w:color w:val="000000"/>
          <w:sz w:val="22"/>
          <w:szCs w:val="22"/>
          <w:lang w:val="en-US"/>
        </w:rPr>
      </w:pPr>
      <w:r w:rsidRPr="00EA7422">
        <w:rPr>
          <w:sz w:val="22"/>
          <w:szCs w:val="22"/>
          <w:lang w:val="en"/>
        </w:rPr>
        <w:t xml:space="preserve">Associated with this the </w:t>
      </w:r>
      <w:r w:rsidRPr="00EA7422">
        <w:rPr>
          <w:color w:val="000000"/>
          <w:sz w:val="22"/>
          <w:szCs w:val="22"/>
          <w:lang w:val="en-US"/>
        </w:rPr>
        <w:t>RISE service has been launched, an innovative social prescribing collaboration between the Rutland GP practices (now working together as a Primary Care Network) and the Council. The aim of this holistic and personalised service is to support people already living with mental and/or physical ill-health or other challenges to feel more empowered to manage their situation and to live their best life.</w:t>
      </w:r>
    </w:p>
    <w:p w14:paraId="5B0A1594" w14:textId="77777777" w:rsidR="00557F3D" w:rsidRPr="00EA7422" w:rsidRDefault="00557F3D" w:rsidP="00203885">
      <w:pPr>
        <w:pStyle w:val="BulletPoint"/>
        <w:numPr>
          <w:ilvl w:val="0"/>
          <w:numId w:val="36"/>
        </w:numPr>
        <w:rPr>
          <w:sz w:val="22"/>
          <w:szCs w:val="22"/>
          <w:lang w:val="en"/>
        </w:rPr>
      </w:pPr>
      <w:r w:rsidRPr="00EA7422">
        <w:rPr>
          <w:sz w:val="22"/>
          <w:szCs w:val="22"/>
          <w:lang w:val="en"/>
        </w:rPr>
        <w:t>Other successes in prevention include the expansion of the Admiral dementia nurse service, high take-up of the streamlined Housing and Prevention Grant scheme delivering home adaptations quickly for people with disabilities, and the complex care service, MICARE, for those with care needs that are difficult to meet through the mainstream care market.</w:t>
      </w:r>
    </w:p>
    <w:p w14:paraId="2CEAC3E1" w14:textId="77777777" w:rsidR="00557F3D" w:rsidRPr="00EA7422" w:rsidRDefault="00557F3D" w:rsidP="00203885">
      <w:pPr>
        <w:pStyle w:val="BulletPoint"/>
        <w:numPr>
          <w:ilvl w:val="0"/>
          <w:numId w:val="36"/>
        </w:numPr>
        <w:rPr>
          <w:sz w:val="22"/>
          <w:szCs w:val="22"/>
        </w:rPr>
      </w:pPr>
      <w:r w:rsidRPr="00EA7422">
        <w:rPr>
          <w:sz w:val="22"/>
          <w:szCs w:val="22"/>
        </w:rPr>
        <w:t xml:space="preserve">The success of reablement continues, with </w:t>
      </w:r>
      <w:r w:rsidRPr="00EA7422">
        <w:rPr>
          <w:color w:val="000000"/>
          <w:sz w:val="22"/>
          <w:szCs w:val="22"/>
          <w:lang w:val="en-US"/>
        </w:rPr>
        <w:t xml:space="preserve">96% of those receiving reablement care after a hospital stay still living at home three months after being discharged. Building on this, we have been exploring the </w:t>
      </w:r>
      <w:r w:rsidRPr="00EA7422">
        <w:rPr>
          <w:sz w:val="22"/>
          <w:szCs w:val="22"/>
        </w:rPr>
        <w:t>potential to use reablement more pre-emptively in a personalised, preventative, enabling model.</w:t>
      </w:r>
    </w:p>
    <w:p w14:paraId="456964E8" w14:textId="77777777" w:rsidR="00557F3D" w:rsidRPr="00277E97" w:rsidRDefault="00557F3D" w:rsidP="00557F3D">
      <w:pPr>
        <w:pStyle w:val="Heading3"/>
        <w:keepNext w:val="0"/>
        <w:widowControl w:val="0"/>
        <w:tabs>
          <w:tab w:val="clear" w:pos="720"/>
        </w:tabs>
        <w:spacing w:after="240"/>
        <w:ind w:left="851" w:hanging="851"/>
        <w:jc w:val="left"/>
        <w:rPr>
          <w:lang w:val="en-US" w:eastAsia="en-GB"/>
        </w:rPr>
      </w:pPr>
      <w:r w:rsidRPr="00CE08D0">
        <w:rPr>
          <w:lang w:val="en-US" w:eastAsia="en-GB"/>
        </w:rPr>
        <w:t>Under the NHS Long Term Plan, more of the way that health and care are organised and funded will soon be determined at the local level, through the channel of ‘Places’ (mapped to local authorities providing social care services) and Localities (coherent areas of 30-50,000 people associated with groups of GP practices). Rutland is both a Place and a Locality, opening up significant potential for partners to plan Rutland’s health and care services in a more integrated way than ever before, through a close alliance between the Council, the Rutland GP practices, community health services and the voluntary and community sector.</w:t>
      </w:r>
    </w:p>
    <w:p w14:paraId="7750EDC5" w14:textId="77777777" w:rsidR="00557F3D" w:rsidRPr="0096037E" w:rsidRDefault="00557F3D" w:rsidP="00557F3D">
      <w:pPr>
        <w:pStyle w:val="Heading3"/>
        <w:keepNext w:val="0"/>
        <w:widowControl w:val="0"/>
        <w:tabs>
          <w:tab w:val="clear" w:pos="720"/>
        </w:tabs>
        <w:spacing w:after="240"/>
        <w:ind w:left="851" w:hanging="851"/>
        <w:jc w:val="left"/>
        <w:rPr>
          <w:lang w:val="en-US" w:eastAsia="en-GB"/>
        </w:rPr>
      </w:pPr>
      <w:r>
        <w:rPr>
          <w:lang w:val="en-US" w:eastAsia="en-GB"/>
        </w:rPr>
        <w:t>Since the start of the pandemic work with health and others has involved supporting those shielding, including providing food supplies during the early part of lockdown, and working with health colleagues to safely discharge people from hospital.</w:t>
      </w:r>
    </w:p>
    <w:p w14:paraId="76BEA86E" w14:textId="15B48C71" w:rsidR="00557F3D" w:rsidRPr="00EA7422" w:rsidRDefault="00557F3D" w:rsidP="00557F3D">
      <w:pPr>
        <w:spacing w:before="100" w:beforeAutospacing="1" w:after="120"/>
        <w:ind w:firstLine="720"/>
        <w:rPr>
          <w:i/>
          <w:szCs w:val="22"/>
          <w:lang w:val="en" w:eastAsia="en-GB"/>
        </w:rPr>
      </w:pPr>
      <w:r w:rsidRPr="00EA7422">
        <w:rPr>
          <w:i/>
          <w:szCs w:val="22"/>
          <w:lang w:val="en" w:eastAsia="en-GB"/>
        </w:rPr>
        <w:t xml:space="preserve"> Other Engagement </w:t>
      </w:r>
    </w:p>
    <w:p w14:paraId="0B508C8F" w14:textId="77777777" w:rsidR="00557F3D" w:rsidRPr="00A56397" w:rsidRDefault="00557F3D" w:rsidP="00557F3D">
      <w:pPr>
        <w:pStyle w:val="Heading3"/>
        <w:keepNext w:val="0"/>
        <w:widowControl w:val="0"/>
        <w:tabs>
          <w:tab w:val="clear" w:pos="720"/>
        </w:tabs>
        <w:spacing w:after="240"/>
        <w:ind w:left="851" w:hanging="851"/>
        <w:jc w:val="left"/>
        <w:rPr>
          <w:lang w:val="en-US" w:eastAsia="en-GB"/>
        </w:rPr>
      </w:pPr>
      <w:r w:rsidRPr="00A56397">
        <w:rPr>
          <w:lang w:val="en-US" w:eastAsia="en-GB"/>
        </w:rPr>
        <w:t xml:space="preserve">The Council undertakes public engagement and consultation on a range of </w:t>
      </w:r>
      <w:r w:rsidRPr="00A56397">
        <w:rPr>
          <w:lang w:val="en-US" w:eastAsia="en-GB"/>
        </w:rPr>
        <w:lastRenderedPageBreak/>
        <w:t>matters.  Outside of the matters discussed above, in 2019/20 this included:</w:t>
      </w:r>
    </w:p>
    <w:p w14:paraId="2C2D0286" w14:textId="77777777" w:rsidR="00557F3D" w:rsidRPr="00EA7422" w:rsidRDefault="00557F3D" w:rsidP="00203885">
      <w:pPr>
        <w:pStyle w:val="BulletPoint"/>
        <w:numPr>
          <w:ilvl w:val="0"/>
          <w:numId w:val="36"/>
        </w:numPr>
        <w:rPr>
          <w:sz w:val="22"/>
          <w:szCs w:val="22"/>
        </w:rPr>
      </w:pPr>
      <w:r w:rsidRPr="00EA7422">
        <w:rPr>
          <w:sz w:val="22"/>
          <w:szCs w:val="22"/>
        </w:rPr>
        <w:t>Barrowden &amp; Wakerley Neighbourhood Plan</w:t>
      </w:r>
    </w:p>
    <w:p w14:paraId="55C68779" w14:textId="77777777" w:rsidR="00557F3D" w:rsidRPr="00EA7422" w:rsidRDefault="00557F3D" w:rsidP="00203885">
      <w:pPr>
        <w:pStyle w:val="BulletPoint"/>
        <w:numPr>
          <w:ilvl w:val="0"/>
          <w:numId w:val="36"/>
        </w:numPr>
        <w:rPr>
          <w:sz w:val="22"/>
          <w:szCs w:val="22"/>
        </w:rPr>
      </w:pPr>
      <w:r w:rsidRPr="00EA7422">
        <w:rPr>
          <w:sz w:val="22"/>
          <w:szCs w:val="22"/>
        </w:rPr>
        <w:t>2020/21 Annual Budget Consultation</w:t>
      </w:r>
    </w:p>
    <w:p w14:paraId="3C482106" w14:textId="77777777" w:rsidR="00557F3D" w:rsidRPr="00EA7422" w:rsidRDefault="00557F3D" w:rsidP="00203885">
      <w:pPr>
        <w:pStyle w:val="BulletPoint"/>
        <w:numPr>
          <w:ilvl w:val="0"/>
          <w:numId w:val="36"/>
        </w:numPr>
        <w:rPr>
          <w:sz w:val="22"/>
          <w:szCs w:val="22"/>
        </w:rPr>
      </w:pPr>
      <w:r w:rsidRPr="00EA7422">
        <w:rPr>
          <w:sz w:val="22"/>
          <w:szCs w:val="22"/>
        </w:rPr>
        <w:t>Learning Disability Market Position Statement</w:t>
      </w:r>
    </w:p>
    <w:p w14:paraId="3627A485" w14:textId="77777777" w:rsidR="00557F3D" w:rsidRPr="00EA7422" w:rsidRDefault="00557F3D" w:rsidP="00203885">
      <w:pPr>
        <w:pStyle w:val="BulletPoint"/>
        <w:numPr>
          <w:ilvl w:val="0"/>
          <w:numId w:val="36"/>
        </w:numPr>
        <w:rPr>
          <w:sz w:val="22"/>
          <w:szCs w:val="22"/>
        </w:rPr>
      </w:pPr>
      <w:r w:rsidRPr="00EA7422">
        <w:rPr>
          <w:sz w:val="22"/>
          <w:szCs w:val="22"/>
        </w:rPr>
        <w:t>Armed Forces Survey</w:t>
      </w:r>
    </w:p>
    <w:p w14:paraId="29DF44C8" w14:textId="77777777" w:rsidR="00557F3D" w:rsidRPr="00EA7422" w:rsidRDefault="00557F3D" w:rsidP="00203885">
      <w:pPr>
        <w:pStyle w:val="BulletPoint"/>
        <w:numPr>
          <w:ilvl w:val="0"/>
          <w:numId w:val="36"/>
        </w:numPr>
        <w:rPr>
          <w:sz w:val="22"/>
          <w:szCs w:val="22"/>
        </w:rPr>
      </w:pPr>
      <w:r w:rsidRPr="00EA7422">
        <w:rPr>
          <w:sz w:val="22"/>
          <w:szCs w:val="22"/>
          <w:lang w:val="en"/>
        </w:rPr>
        <w:t>Rutland Older People's Accommodation Market Position Statement</w:t>
      </w:r>
    </w:p>
    <w:p w14:paraId="755E648D" w14:textId="77777777" w:rsidR="00557F3D" w:rsidRPr="00EA7422" w:rsidRDefault="00557F3D" w:rsidP="00203885">
      <w:pPr>
        <w:pStyle w:val="BulletPoint"/>
        <w:numPr>
          <w:ilvl w:val="0"/>
          <w:numId w:val="36"/>
        </w:numPr>
        <w:rPr>
          <w:sz w:val="22"/>
          <w:szCs w:val="22"/>
        </w:rPr>
      </w:pPr>
      <w:r w:rsidRPr="00EA7422">
        <w:rPr>
          <w:sz w:val="22"/>
          <w:szCs w:val="22"/>
          <w:lang w:val="en"/>
        </w:rPr>
        <w:t>Pharmaceutical Needs Assessment for Rutland</w:t>
      </w:r>
    </w:p>
    <w:p w14:paraId="41446265" w14:textId="77777777" w:rsidR="00557F3D" w:rsidRPr="00EA7422" w:rsidRDefault="00557F3D" w:rsidP="00203885">
      <w:pPr>
        <w:pStyle w:val="BulletPoint"/>
        <w:numPr>
          <w:ilvl w:val="0"/>
          <w:numId w:val="36"/>
        </w:numPr>
        <w:rPr>
          <w:sz w:val="22"/>
          <w:szCs w:val="22"/>
        </w:rPr>
      </w:pPr>
      <w:r w:rsidRPr="00EA7422">
        <w:rPr>
          <w:sz w:val="22"/>
          <w:szCs w:val="22"/>
          <w:lang w:val="en"/>
        </w:rPr>
        <w:t>Local Transport Plan</w:t>
      </w:r>
    </w:p>
    <w:p w14:paraId="777F8931" w14:textId="77777777" w:rsidR="00557F3D" w:rsidRPr="00EA7422" w:rsidRDefault="00557F3D" w:rsidP="00203885">
      <w:pPr>
        <w:pStyle w:val="BulletPoint"/>
        <w:numPr>
          <w:ilvl w:val="0"/>
          <w:numId w:val="36"/>
        </w:numPr>
        <w:rPr>
          <w:sz w:val="22"/>
          <w:szCs w:val="22"/>
        </w:rPr>
      </w:pPr>
      <w:r w:rsidRPr="00EA7422">
        <w:rPr>
          <w:sz w:val="22"/>
          <w:szCs w:val="22"/>
          <w:lang w:val="en"/>
        </w:rPr>
        <w:t xml:space="preserve">Community Safety </w:t>
      </w:r>
    </w:p>
    <w:p w14:paraId="72BF0818" w14:textId="77777777" w:rsidR="00557F3D" w:rsidRPr="0093746F" w:rsidRDefault="00557F3D" w:rsidP="00557F3D">
      <w:pPr>
        <w:pStyle w:val="Heading3"/>
        <w:keepNext w:val="0"/>
        <w:widowControl w:val="0"/>
        <w:tabs>
          <w:tab w:val="clear" w:pos="720"/>
        </w:tabs>
        <w:spacing w:after="240"/>
        <w:ind w:left="851" w:hanging="851"/>
        <w:jc w:val="left"/>
        <w:rPr>
          <w:rFonts w:cs="Arial"/>
        </w:rPr>
      </w:pPr>
      <w:r w:rsidRPr="00CE08D0">
        <w:rPr>
          <w:lang w:val="en"/>
        </w:rPr>
        <w:t>Prior to the outbreak of Covid-19 the Council was in the process of developing its communications and engagement approach and</w:t>
      </w:r>
      <w:r>
        <w:rPr>
          <w:lang w:val="en"/>
        </w:rPr>
        <w:t xml:space="preserve"> this work is being revisited.</w:t>
      </w:r>
    </w:p>
    <w:p w14:paraId="25A6851E"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Reporting</w:t>
      </w:r>
    </w:p>
    <w:p w14:paraId="004DA83E" w14:textId="77777777" w:rsidR="00557F3D" w:rsidRPr="0093746F" w:rsidRDefault="00557F3D" w:rsidP="00557F3D">
      <w:pPr>
        <w:pStyle w:val="Heading3"/>
        <w:keepNext w:val="0"/>
        <w:widowControl w:val="0"/>
        <w:tabs>
          <w:tab w:val="clear" w:pos="720"/>
        </w:tabs>
        <w:spacing w:after="240"/>
        <w:ind w:left="851" w:hanging="851"/>
        <w:jc w:val="left"/>
        <w:rPr>
          <w:lang w:val="en" w:eastAsia="en-GB"/>
        </w:rPr>
      </w:pPr>
      <w:r w:rsidRPr="0093746F">
        <w:t>All formal meetings are held in public, and the reports and minutes of those meetings are published in accordance with the principles of openness and transparency, unless there are legal reasons for confidentiality. There are opportunities for members of the public to make deputations to, or ask questions at, meetings of the Council, Committees and Scrutiny Committees.</w:t>
      </w:r>
    </w:p>
    <w:p w14:paraId="3E3C0BEB" w14:textId="77777777" w:rsidR="00557F3D" w:rsidRPr="00CE08D0" w:rsidRDefault="00557F3D" w:rsidP="00557F3D">
      <w:pPr>
        <w:pStyle w:val="Heading3"/>
        <w:keepNext w:val="0"/>
        <w:widowControl w:val="0"/>
        <w:tabs>
          <w:tab w:val="clear" w:pos="720"/>
        </w:tabs>
        <w:spacing w:after="240"/>
        <w:ind w:left="851" w:hanging="851"/>
        <w:jc w:val="left"/>
        <w:rPr>
          <w:rFonts w:cs="Arial"/>
          <w:szCs w:val="24"/>
        </w:rPr>
      </w:pPr>
      <w:r w:rsidRPr="00CE08D0">
        <w:rPr>
          <w:rFonts w:cs="Arial"/>
          <w:szCs w:val="24"/>
        </w:rPr>
        <w:t xml:space="preserve">The Council publishes information relating to all of its expenditure on its website and also complies fully with the </w:t>
      </w:r>
      <w:r w:rsidRPr="00CE08D0">
        <w:rPr>
          <w:rFonts w:cs="Arial"/>
          <w:szCs w:val="24"/>
          <w:lang w:val="en" w:eastAsia="en-GB"/>
        </w:rPr>
        <w:t>L</w:t>
      </w:r>
      <w:hyperlink r:id="rId25" w:history="1">
        <w:r w:rsidRPr="00CE08D0">
          <w:rPr>
            <w:rFonts w:cs="Arial"/>
            <w:szCs w:val="24"/>
            <w:lang w:val="en" w:eastAsia="en-GB"/>
          </w:rPr>
          <w:t>ocal Government Transparency Code 201</w:t>
        </w:r>
      </w:hyperlink>
      <w:r w:rsidRPr="00CE08D0">
        <w:rPr>
          <w:rFonts w:cs="Arial"/>
          <w:szCs w:val="24"/>
          <w:lang w:val="en" w:eastAsia="en-GB"/>
        </w:rPr>
        <w:t>5 which sets out the minimum data that local authorities should be publishing and the frequency it should be published and how it should be published. The information published can be found here.</w:t>
      </w:r>
    </w:p>
    <w:p w14:paraId="20A21575" w14:textId="77777777" w:rsidR="00557F3D" w:rsidRPr="00EA7422" w:rsidRDefault="00661E70" w:rsidP="00557F3D">
      <w:pPr>
        <w:spacing w:after="240"/>
        <w:ind w:left="131" w:firstLine="720"/>
        <w:contextualSpacing/>
        <w:rPr>
          <w:color w:val="0070C0"/>
          <w:szCs w:val="22"/>
        </w:rPr>
      </w:pPr>
      <w:hyperlink r:id="rId26" w:history="1">
        <w:r w:rsidR="00557F3D" w:rsidRPr="00EA7422">
          <w:rPr>
            <w:rStyle w:val="Hyperlink"/>
            <w:szCs w:val="22"/>
          </w:rPr>
          <w:t>https://www.rutland.gov.uk/my-council/transparency/</w:t>
        </w:r>
      </w:hyperlink>
    </w:p>
    <w:p w14:paraId="051DFEA0" w14:textId="77777777" w:rsidR="00557F3D" w:rsidRPr="00EA7422" w:rsidRDefault="00557F3D" w:rsidP="00557F3D">
      <w:pPr>
        <w:pStyle w:val="Heading1"/>
        <w:keepNext w:val="0"/>
        <w:widowControl w:val="0"/>
        <w:tabs>
          <w:tab w:val="clear" w:pos="2410"/>
          <w:tab w:val="clear" w:pos="6521"/>
        </w:tabs>
        <w:spacing w:before="0"/>
        <w:ind w:left="851" w:hanging="851"/>
        <w:jc w:val="left"/>
        <w:rPr>
          <w:sz w:val="22"/>
          <w:szCs w:val="22"/>
        </w:rPr>
      </w:pPr>
      <w:r w:rsidRPr="00EA7422">
        <w:rPr>
          <w:sz w:val="22"/>
          <w:szCs w:val="22"/>
        </w:rPr>
        <w:t>Review of Effectiveness</w:t>
      </w:r>
    </w:p>
    <w:p w14:paraId="6ABE00C9"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 xml:space="preserve">Overview </w:t>
      </w:r>
    </w:p>
    <w:p w14:paraId="163115DC" w14:textId="77777777" w:rsidR="00557F3D" w:rsidRPr="0093746F" w:rsidRDefault="00557F3D" w:rsidP="00557F3D">
      <w:pPr>
        <w:pStyle w:val="Heading3"/>
        <w:keepNext w:val="0"/>
        <w:widowControl w:val="0"/>
        <w:tabs>
          <w:tab w:val="clear" w:pos="720"/>
        </w:tabs>
        <w:spacing w:after="240"/>
        <w:ind w:left="851" w:hanging="851"/>
        <w:jc w:val="left"/>
      </w:pPr>
      <w:r w:rsidRPr="00CE08D0">
        <w:t>The Council has responsibility for conducting, at least annually, a review of the effectiveness of its governance framework including the system of internal control.  The review of its effectiveness is informed by the work of senior managers within the Council who have responsibility for the development and maintenance of the governance environment, the Head of Internal Audit’s annual report, and also comments made by the external auditors and other review agencies and inspectorates.</w:t>
      </w:r>
    </w:p>
    <w:p w14:paraId="74204F8B"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 xml:space="preserve">Internal and Management Assurance </w:t>
      </w:r>
    </w:p>
    <w:p w14:paraId="1698714C" w14:textId="77777777" w:rsidR="00557F3D" w:rsidRPr="00EA7422" w:rsidRDefault="00557F3D" w:rsidP="00557F3D">
      <w:pPr>
        <w:spacing w:after="240"/>
        <w:ind w:left="131" w:firstLine="720"/>
        <w:rPr>
          <w:i/>
          <w:szCs w:val="22"/>
        </w:rPr>
      </w:pPr>
      <w:r w:rsidRPr="00EA7422">
        <w:rPr>
          <w:i/>
          <w:szCs w:val="22"/>
        </w:rPr>
        <w:t xml:space="preserve">Internal Audit </w:t>
      </w:r>
    </w:p>
    <w:p w14:paraId="713F365D"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It is my opinion that </w:t>
      </w:r>
      <w:r w:rsidRPr="00C974D9">
        <w:t>Satisfactory Assurance</w:t>
      </w:r>
      <w:r w:rsidRPr="00CE08D0">
        <w:t xml:space="preserve"> can be given over the adequacy and effectiveness of the Council’s control environment for 2019/20.  This control environment comprises of the system of internal control, governance arrangements and risk management.  This remains consistent with the overall opinion given in </w:t>
      </w:r>
      <w:r w:rsidRPr="00CE08D0">
        <w:lastRenderedPageBreak/>
        <w:t>recent years.</w:t>
      </w:r>
    </w:p>
    <w:p w14:paraId="2115921C" w14:textId="77777777" w:rsidR="00557F3D" w:rsidRPr="00CE08D0" w:rsidRDefault="00557F3D" w:rsidP="00557F3D">
      <w:pPr>
        <w:pStyle w:val="Heading3"/>
        <w:keepNext w:val="0"/>
        <w:widowControl w:val="0"/>
        <w:tabs>
          <w:tab w:val="clear" w:pos="720"/>
        </w:tabs>
        <w:spacing w:after="240"/>
        <w:ind w:left="851" w:hanging="851"/>
        <w:jc w:val="left"/>
      </w:pPr>
      <w:r w:rsidRPr="00C974D9">
        <w:t xml:space="preserve">Financial control - </w:t>
      </w:r>
      <w:r w:rsidRPr="00CE08D0">
        <w:t xml:space="preserve">Controls relating to the key financial systems which were reviewed during the year were concluded to be operating effectively with no significant control weaknesses identified by audit testing.  </w:t>
      </w:r>
    </w:p>
    <w:p w14:paraId="53930D9E" w14:textId="77777777" w:rsidR="00557F3D" w:rsidRPr="00C974D9" w:rsidRDefault="00557F3D" w:rsidP="00557F3D">
      <w:pPr>
        <w:pStyle w:val="Heading3"/>
        <w:keepNext w:val="0"/>
        <w:widowControl w:val="0"/>
        <w:tabs>
          <w:tab w:val="clear" w:pos="720"/>
        </w:tabs>
        <w:spacing w:after="240"/>
        <w:ind w:left="851" w:hanging="851"/>
        <w:jc w:val="left"/>
      </w:pPr>
      <w:r w:rsidRPr="00C974D9">
        <w:t xml:space="preserve">Risk management - </w:t>
      </w:r>
      <w:r w:rsidRPr="00CE08D0">
        <w:t xml:space="preserve">Established structures and processes for identifying, assessing and managing risk remained consistent during 2019/20.  The strategic risk register is regularly reviewed and updated by </w:t>
      </w:r>
      <w:r>
        <w:t xml:space="preserve">the </w:t>
      </w:r>
      <w:r w:rsidRPr="00CE08D0">
        <w:t xml:space="preserve">Senior Management team and by the Audit and Risk Committee.  </w:t>
      </w:r>
    </w:p>
    <w:p w14:paraId="4B7E513F" w14:textId="77777777" w:rsidR="00557F3D" w:rsidRPr="00C974D9" w:rsidRDefault="00557F3D" w:rsidP="00557F3D">
      <w:pPr>
        <w:pStyle w:val="Heading3"/>
        <w:keepNext w:val="0"/>
        <w:widowControl w:val="0"/>
        <w:tabs>
          <w:tab w:val="clear" w:pos="720"/>
        </w:tabs>
        <w:spacing w:after="240"/>
        <w:ind w:left="851" w:hanging="851"/>
        <w:jc w:val="left"/>
      </w:pPr>
      <w:r w:rsidRPr="00C974D9">
        <w:t xml:space="preserve">Governance - </w:t>
      </w:r>
      <w:r w:rsidRPr="00CE08D0">
        <w:t>During 2019/20, the Council’s governance arrangements remained broadly consistent with previous years.  Based on the findings of Internal Audit work in 2019/20, there are no significant governance issues that I wish to draw to the attention of the Council for inclusion in its Annual Governance Statement.</w:t>
      </w:r>
    </w:p>
    <w:p w14:paraId="47FFB87A" w14:textId="77777777" w:rsidR="00557F3D" w:rsidRPr="00CE08D0" w:rsidRDefault="00557F3D" w:rsidP="00557F3D">
      <w:pPr>
        <w:pStyle w:val="Heading3"/>
        <w:keepNext w:val="0"/>
        <w:widowControl w:val="0"/>
        <w:tabs>
          <w:tab w:val="clear" w:pos="720"/>
        </w:tabs>
        <w:spacing w:after="240"/>
        <w:ind w:left="851" w:hanging="851"/>
        <w:jc w:val="left"/>
      </w:pPr>
      <w:r w:rsidRPr="00C974D9">
        <w:t xml:space="preserve">Internal control - </w:t>
      </w:r>
      <w:r w:rsidRPr="00CE08D0">
        <w:t>For the audits completed in 2019/20, 93% of the opinions given in relation to the control environment and compliance have been of at least Satisfactory Assurance.  The proportion of audits leading to a Substantial Assurance opinion has been higher than in previous years, specifically in relation to the design of the control environment.   There was, however, one audit assignment which resulted in Limited Assurance opinions for both the control environment and compliance and this relates to the Highways Maintenance Contract.</w:t>
      </w:r>
    </w:p>
    <w:p w14:paraId="3854EAF3" w14:textId="77777777" w:rsidR="00557F3D" w:rsidRPr="00CE08D0" w:rsidRDefault="00557F3D" w:rsidP="00557F3D">
      <w:pPr>
        <w:pStyle w:val="Heading3"/>
        <w:keepNext w:val="0"/>
        <w:widowControl w:val="0"/>
        <w:tabs>
          <w:tab w:val="clear" w:pos="720"/>
        </w:tabs>
        <w:spacing w:after="240"/>
        <w:ind w:left="851" w:hanging="851"/>
        <w:jc w:val="left"/>
      </w:pPr>
      <w:r w:rsidRPr="00CE08D0">
        <w:t>Action plans have been agreed to address all areas of weakness.  Of the recommended actions agreed, and due for implementation, 47% had been completed in a timely manner during the year.</w:t>
      </w:r>
    </w:p>
    <w:p w14:paraId="2CC642D2" w14:textId="77777777" w:rsidR="00557F3D" w:rsidRPr="00C974D9" w:rsidRDefault="00557F3D" w:rsidP="00557F3D">
      <w:pPr>
        <w:pStyle w:val="Heading3"/>
        <w:keepNext w:val="0"/>
        <w:widowControl w:val="0"/>
        <w:tabs>
          <w:tab w:val="clear" w:pos="720"/>
        </w:tabs>
        <w:spacing w:after="240"/>
        <w:ind w:left="851" w:hanging="851"/>
        <w:jc w:val="left"/>
      </w:pPr>
      <w:r w:rsidRPr="00CE08D0">
        <w:t>Internal Audit has not been made aware of any further governance, risk or internal control issues which would reduce the above opinion.  No systems of controls can provide absolute assurance against material misstatement or loss, nor can Internal Audit give that assurance.</w:t>
      </w:r>
    </w:p>
    <w:p w14:paraId="4CFE4443" w14:textId="77777777" w:rsidR="00557F3D" w:rsidRPr="00EA7422" w:rsidRDefault="00557F3D" w:rsidP="00557F3D">
      <w:pPr>
        <w:spacing w:after="240"/>
        <w:ind w:firstLine="720"/>
        <w:rPr>
          <w:szCs w:val="22"/>
        </w:rPr>
      </w:pPr>
      <w:r w:rsidRPr="00EA7422">
        <w:rPr>
          <w:rFonts w:eastAsiaTheme="minorHAnsi"/>
          <w:szCs w:val="22"/>
        </w:rPr>
        <w:t xml:space="preserve">  </w:t>
      </w:r>
      <w:r w:rsidRPr="00EA7422">
        <w:rPr>
          <w:i/>
          <w:szCs w:val="22"/>
        </w:rPr>
        <w:t xml:space="preserve">Scrutiny </w:t>
      </w:r>
    </w:p>
    <w:p w14:paraId="518D8D3D"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During 2019/20 the three Scrutiny Committees have considered a number of issues of particular concern to assess whether there are robust governance arrangements in place as far as the Council’s own services are concerned. </w:t>
      </w:r>
    </w:p>
    <w:p w14:paraId="3E704144" w14:textId="77777777" w:rsidR="00557F3D" w:rsidRPr="00CE08D0" w:rsidRDefault="00557F3D" w:rsidP="00557F3D">
      <w:pPr>
        <w:pStyle w:val="Heading3"/>
        <w:keepNext w:val="0"/>
        <w:widowControl w:val="0"/>
        <w:tabs>
          <w:tab w:val="clear" w:pos="720"/>
        </w:tabs>
        <w:spacing w:after="240"/>
        <w:ind w:left="851" w:hanging="851"/>
        <w:jc w:val="left"/>
      </w:pPr>
      <w:r w:rsidRPr="00CE08D0">
        <w:t>Areas considered include:</w:t>
      </w:r>
    </w:p>
    <w:p w14:paraId="73849AF4" w14:textId="77777777" w:rsidR="00557F3D" w:rsidRPr="00EA7422" w:rsidRDefault="00557F3D" w:rsidP="00203885">
      <w:pPr>
        <w:pStyle w:val="BulletPoint"/>
        <w:numPr>
          <w:ilvl w:val="0"/>
          <w:numId w:val="36"/>
        </w:numPr>
        <w:rPr>
          <w:sz w:val="22"/>
          <w:szCs w:val="22"/>
        </w:rPr>
      </w:pPr>
      <w:r w:rsidRPr="00EA7422">
        <w:rPr>
          <w:sz w:val="22"/>
          <w:szCs w:val="22"/>
        </w:rPr>
        <w:t>Financial Management</w:t>
      </w:r>
    </w:p>
    <w:p w14:paraId="413966E5" w14:textId="77777777" w:rsidR="00557F3D" w:rsidRPr="00EA7422" w:rsidRDefault="00557F3D" w:rsidP="00203885">
      <w:pPr>
        <w:pStyle w:val="BulletPoint"/>
        <w:numPr>
          <w:ilvl w:val="0"/>
          <w:numId w:val="36"/>
        </w:numPr>
        <w:rPr>
          <w:sz w:val="22"/>
          <w:szCs w:val="22"/>
        </w:rPr>
      </w:pPr>
      <w:r w:rsidRPr="00EA7422">
        <w:rPr>
          <w:sz w:val="22"/>
          <w:szCs w:val="22"/>
        </w:rPr>
        <w:t>The Local Plan</w:t>
      </w:r>
    </w:p>
    <w:p w14:paraId="522D3A87" w14:textId="77777777" w:rsidR="00557F3D" w:rsidRPr="00EA7422" w:rsidRDefault="00557F3D" w:rsidP="00203885">
      <w:pPr>
        <w:pStyle w:val="BulletPoint"/>
        <w:numPr>
          <w:ilvl w:val="0"/>
          <w:numId w:val="36"/>
        </w:numPr>
        <w:rPr>
          <w:sz w:val="22"/>
          <w:szCs w:val="22"/>
        </w:rPr>
      </w:pPr>
      <w:r w:rsidRPr="00EA7422">
        <w:rPr>
          <w:sz w:val="22"/>
          <w:szCs w:val="22"/>
        </w:rPr>
        <w:t>The Housing Infrastructure Bid</w:t>
      </w:r>
    </w:p>
    <w:p w14:paraId="2C2B36FE" w14:textId="77777777" w:rsidR="00557F3D" w:rsidRPr="00EA7422" w:rsidRDefault="00557F3D" w:rsidP="00203885">
      <w:pPr>
        <w:pStyle w:val="BulletPoint"/>
        <w:numPr>
          <w:ilvl w:val="0"/>
          <w:numId w:val="36"/>
        </w:numPr>
        <w:rPr>
          <w:sz w:val="22"/>
          <w:szCs w:val="22"/>
        </w:rPr>
      </w:pPr>
      <w:r w:rsidRPr="00EA7422">
        <w:rPr>
          <w:sz w:val="22"/>
          <w:szCs w:val="22"/>
        </w:rPr>
        <w:t>The Biodiversity Task and Finish Group</w:t>
      </w:r>
    </w:p>
    <w:p w14:paraId="10E981F9" w14:textId="77777777" w:rsidR="00557F3D" w:rsidRPr="00EA7422" w:rsidRDefault="00557F3D" w:rsidP="00203885">
      <w:pPr>
        <w:pStyle w:val="BulletPoint"/>
        <w:numPr>
          <w:ilvl w:val="0"/>
          <w:numId w:val="36"/>
        </w:numPr>
        <w:rPr>
          <w:sz w:val="22"/>
          <w:szCs w:val="22"/>
        </w:rPr>
      </w:pPr>
      <w:r w:rsidRPr="00EA7422">
        <w:rPr>
          <w:sz w:val="22"/>
          <w:szCs w:val="22"/>
        </w:rPr>
        <w:t>The Corporate Plan</w:t>
      </w:r>
    </w:p>
    <w:p w14:paraId="692BDCCF" w14:textId="77777777" w:rsidR="00557F3D" w:rsidRPr="00EA7422" w:rsidRDefault="00557F3D" w:rsidP="00203885">
      <w:pPr>
        <w:pStyle w:val="BulletPoint"/>
        <w:numPr>
          <w:ilvl w:val="0"/>
          <w:numId w:val="36"/>
        </w:numPr>
        <w:rPr>
          <w:sz w:val="22"/>
          <w:szCs w:val="22"/>
        </w:rPr>
      </w:pPr>
      <w:r w:rsidRPr="00EA7422">
        <w:rPr>
          <w:sz w:val="22"/>
          <w:szCs w:val="22"/>
        </w:rPr>
        <w:t>Fix My Street and MyAccount</w:t>
      </w:r>
    </w:p>
    <w:p w14:paraId="52C2E99C" w14:textId="77777777" w:rsidR="00557F3D" w:rsidRPr="00EA7422" w:rsidRDefault="00557F3D" w:rsidP="00203885">
      <w:pPr>
        <w:pStyle w:val="BulletPoint"/>
        <w:numPr>
          <w:ilvl w:val="0"/>
          <w:numId w:val="36"/>
        </w:numPr>
        <w:rPr>
          <w:sz w:val="22"/>
          <w:szCs w:val="22"/>
        </w:rPr>
      </w:pPr>
      <w:r w:rsidRPr="00EA7422">
        <w:rPr>
          <w:sz w:val="22"/>
          <w:szCs w:val="22"/>
        </w:rPr>
        <w:t>Out of Hours Service</w:t>
      </w:r>
    </w:p>
    <w:p w14:paraId="1A88DB8B" w14:textId="77777777" w:rsidR="00557F3D" w:rsidRPr="00EA7422" w:rsidRDefault="00557F3D" w:rsidP="00203885">
      <w:pPr>
        <w:pStyle w:val="BulletPoint"/>
        <w:numPr>
          <w:ilvl w:val="0"/>
          <w:numId w:val="36"/>
        </w:numPr>
        <w:rPr>
          <w:sz w:val="22"/>
          <w:szCs w:val="22"/>
        </w:rPr>
      </w:pPr>
      <w:r w:rsidRPr="00EA7422">
        <w:rPr>
          <w:sz w:val="22"/>
          <w:szCs w:val="22"/>
        </w:rPr>
        <w:t>Inpatient Mental Health Services</w:t>
      </w:r>
    </w:p>
    <w:p w14:paraId="0F5B1D1F" w14:textId="77777777" w:rsidR="00557F3D" w:rsidRPr="00EA7422" w:rsidRDefault="00557F3D" w:rsidP="00203885">
      <w:pPr>
        <w:pStyle w:val="BulletPoint"/>
        <w:numPr>
          <w:ilvl w:val="0"/>
          <w:numId w:val="36"/>
        </w:numPr>
        <w:rPr>
          <w:sz w:val="22"/>
          <w:szCs w:val="22"/>
        </w:rPr>
      </w:pPr>
      <w:r w:rsidRPr="00EA7422">
        <w:rPr>
          <w:sz w:val="22"/>
          <w:szCs w:val="22"/>
        </w:rPr>
        <w:lastRenderedPageBreak/>
        <w:t>District Nursing Services</w:t>
      </w:r>
    </w:p>
    <w:p w14:paraId="3578D586" w14:textId="77777777" w:rsidR="00557F3D" w:rsidRPr="00EA7422" w:rsidRDefault="00557F3D" w:rsidP="00203885">
      <w:pPr>
        <w:pStyle w:val="BulletPoint"/>
        <w:numPr>
          <w:ilvl w:val="0"/>
          <w:numId w:val="36"/>
        </w:numPr>
        <w:rPr>
          <w:sz w:val="22"/>
          <w:szCs w:val="22"/>
        </w:rPr>
      </w:pPr>
      <w:r w:rsidRPr="00EA7422">
        <w:rPr>
          <w:sz w:val="22"/>
          <w:szCs w:val="22"/>
        </w:rPr>
        <w:t>East Midlands Ambulance Service</w:t>
      </w:r>
    </w:p>
    <w:p w14:paraId="77A45669" w14:textId="77777777" w:rsidR="00557F3D" w:rsidRPr="00EA7422" w:rsidRDefault="00557F3D" w:rsidP="00203885">
      <w:pPr>
        <w:pStyle w:val="BulletPoint"/>
        <w:numPr>
          <w:ilvl w:val="0"/>
          <w:numId w:val="36"/>
        </w:numPr>
        <w:rPr>
          <w:sz w:val="22"/>
          <w:szCs w:val="22"/>
        </w:rPr>
      </w:pPr>
      <w:r w:rsidRPr="00EA7422">
        <w:rPr>
          <w:sz w:val="22"/>
          <w:szCs w:val="22"/>
        </w:rPr>
        <w:t>Adult Services Strategic Plan 2019-2022</w:t>
      </w:r>
    </w:p>
    <w:p w14:paraId="7693E716" w14:textId="77777777" w:rsidR="00557F3D" w:rsidRPr="00EA7422" w:rsidRDefault="00557F3D" w:rsidP="00203885">
      <w:pPr>
        <w:pStyle w:val="BulletPoint"/>
        <w:numPr>
          <w:ilvl w:val="0"/>
          <w:numId w:val="36"/>
        </w:numPr>
        <w:rPr>
          <w:sz w:val="22"/>
          <w:szCs w:val="22"/>
        </w:rPr>
      </w:pPr>
      <w:r w:rsidRPr="00EA7422">
        <w:rPr>
          <w:sz w:val="22"/>
          <w:szCs w:val="22"/>
        </w:rPr>
        <w:t>Public Health Annual Report</w:t>
      </w:r>
    </w:p>
    <w:p w14:paraId="23153B64" w14:textId="77777777" w:rsidR="00557F3D" w:rsidRPr="00EA7422" w:rsidRDefault="00557F3D" w:rsidP="00203885">
      <w:pPr>
        <w:pStyle w:val="BulletPoint"/>
        <w:numPr>
          <w:ilvl w:val="0"/>
          <w:numId w:val="36"/>
        </w:numPr>
        <w:rPr>
          <w:sz w:val="22"/>
          <w:szCs w:val="22"/>
        </w:rPr>
      </w:pPr>
      <w:r w:rsidRPr="00EA7422">
        <w:rPr>
          <w:sz w:val="22"/>
          <w:szCs w:val="22"/>
        </w:rPr>
        <w:t xml:space="preserve">Care Homes </w:t>
      </w:r>
    </w:p>
    <w:p w14:paraId="009443AC" w14:textId="77777777" w:rsidR="00557F3D" w:rsidRPr="00EA7422" w:rsidRDefault="00557F3D" w:rsidP="00203885">
      <w:pPr>
        <w:pStyle w:val="BulletPoint"/>
        <w:numPr>
          <w:ilvl w:val="0"/>
          <w:numId w:val="36"/>
        </w:numPr>
        <w:rPr>
          <w:sz w:val="22"/>
          <w:szCs w:val="22"/>
        </w:rPr>
      </w:pPr>
      <w:r w:rsidRPr="00EA7422">
        <w:rPr>
          <w:sz w:val="22"/>
          <w:szCs w:val="22"/>
        </w:rPr>
        <w:t>OFSTED Focused Visit</w:t>
      </w:r>
    </w:p>
    <w:p w14:paraId="52F4D6E1" w14:textId="77777777" w:rsidR="00557F3D" w:rsidRPr="00EA7422" w:rsidRDefault="00557F3D" w:rsidP="00203885">
      <w:pPr>
        <w:pStyle w:val="BulletPoint"/>
        <w:numPr>
          <w:ilvl w:val="0"/>
          <w:numId w:val="36"/>
        </w:numPr>
        <w:rPr>
          <w:sz w:val="22"/>
          <w:szCs w:val="22"/>
        </w:rPr>
      </w:pPr>
      <w:r w:rsidRPr="00EA7422">
        <w:rPr>
          <w:sz w:val="22"/>
          <w:szCs w:val="22"/>
        </w:rPr>
        <w:t>Fostering Service</w:t>
      </w:r>
    </w:p>
    <w:p w14:paraId="15E454D4" w14:textId="77777777" w:rsidR="00557F3D" w:rsidRPr="00EA7422" w:rsidRDefault="00557F3D" w:rsidP="00203885">
      <w:pPr>
        <w:pStyle w:val="BulletPoint"/>
        <w:numPr>
          <w:ilvl w:val="0"/>
          <w:numId w:val="36"/>
        </w:numPr>
        <w:rPr>
          <w:sz w:val="22"/>
          <w:szCs w:val="22"/>
        </w:rPr>
      </w:pPr>
      <w:r w:rsidRPr="00EA7422">
        <w:rPr>
          <w:sz w:val="22"/>
          <w:szCs w:val="22"/>
        </w:rPr>
        <w:t>Youth Offending Service</w:t>
      </w:r>
    </w:p>
    <w:p w14:paraId="7396F4D9" w14:textId="77777777" w:rsidR="00557F3D" w:rsidRPr="00EA7422" w:rsidRDefault="00557F3D" w:rsidP="00203885">
      <w:pPr>
        <w:pStyle w:val="BulletPoint"/>
        <w:numPr>
          <w:ilvl w:val="0"/>
          <w:numId w:val="36"/>
        </w:numPr>
        <w:rPr>
          <w:sz w:val="22"/>
          <w:szCs w:val="22"/>
        </w:rPr>
      </w:pPr>
      <w:r w:rsidRPr="00EA7422">
        <w:rPr>
          <w:sz w:val="22"/>
          <w:szCs w:val="22"/>
        </w:rPr>
        <w:t>Early Help Offer</w:t>
      </w:r>
    </w:p>
    <w:p w14:paraId="013C0CA4" w14:textId="77777777" w:rsidR="00557F3D" w:rsidRPr="00EA7422" w:rsidRDefault="00557F3D" w:rsidP="00203885">
      <w:pPr>
        <w:pStyle w:val="BulletPoint"/>
        <w:numPr>
          <w:ilvl w:val="0"/>
          <w:numId w:val="36"/>
        </w:numPr>
        <w:rPr>
          <w:sz w:val="22"/>
          <w:szCs w:val="22"/>
        </w:rPr>
      </w:pPr>
      <w:r w:rsidRPr="00EA7422">
        <w:rPr>
          <w:sz w:val="22"/>
          <w:szCs w:val="22"/>
        </w:rPr>
        <w:t>CQC Review of Safeguarding and Children Looked After Health Services</w:t>
      </w:r>
    </w:p>
    <w:p w14:paraId="77BDA0F4" w14:textId="77777777" w:rsidR="00557F3D" w:rsidRPr="00CE08D0" w:rsidRDefault="00557F3D" w:rsidP="00557F3D">
      <w:pPr>
        <w:pStyle w:val="Heading3"/>
        <w:keepNext w:val="0"/>
        <w:widowControl w:val="0"/>
        <w:tabs>
          <w:tab w:val="clear" w:pos="720"/>
        </w:tabs>
        <w:spacing w:after="240"/>
        <w:ind w:left="851" w:hanging="851"/>
        <w:jc w:val="left"/>
      </w:pPr>
      <w:r w:rsidRPr="00CE08D0">
        <w:t>Scrutiny Committees also consider service area performance indicators in relation to their scope and remit as set out in terms of reference for each committee.</w:t>
      </w:r>
    </w:p>
    <w:p w14:paraId="40D4A561"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There was a task and finish group on Biodiversity constituted under the Growth, Infrastructure </w:t>
      </w:r>
      <w:r w:rsidRPr="0044726D">
        <w:t xml:space="preserve">and Resources Scrutiny Committee and approved by Council on 14 October 2019. The Group will present its final report to </w:t>
      </w:r>
      <w:r w:rsidRPr="00613096">
        <w:t xml:space="preserve">the October Scrutiny 2020 panel before submission to Cabinet.  </w:t>
      </w:r>
    </w:p>
    <w:p w14:paraId="38D95F78" w14:textId="77777777" w:rsidR="00557F3D" w:rsidRPr="00CE08D0" w:rsidRDefault="00557F3D" w:rsidP="00557F3D"/>
    <w:p w14:paraId="06304149" w14:textId="77777777" w:rsidR="00557F3D" w:rsidRPr="0064141F" w:rsidRDefault="00557F3D" w:rsidP="00557F3D">
      <w:pPr>
        <w:pStyle w:val="Heading3"/>
        <w:keepNext w:val="0"/>
        <w:widowControl w:val="0"/>
        <w:tabs>
          <w:tab w:val="clear" w:pos="720"/>
        </w:tabs>
        <w:spacing w:after="240"/>
        <w:ind w:left="851" w:hanging="851"/>
        <w:jc w:val="left"/>
        <w:rPr>
          <w:szCs w:val="36"/>
        </w:rPr>
      </w:pPr>
      <w:r w:rsidRPr="00CE08D0">
        <w:t xml:space="preserve">The Scrutiny Commission continues to provide a platform for Chairs of each committee to meet </w:t>
      </w:r>
      <w:r w:rsidRPr="0064141F">
        <w:rPr>
          <w:szCs w:val="36"/>
        </w:rPr>
        <w:t xml:space="preserve">and share best practice.  </w:t>
      </w:r>
    </w:p>
    <w:p w14:paraId="044533F6" w14:textId="77777777" w:rsidR="00557F3D" w:rsidRPr="00EA7422" w:rsidRDefault="00557F3D" w:rsidP="00557F3D">
      <w:pPr>
        <w:spacing w:after="240"/>
        <w:ind w:left="131" w:firstLine="720"/>
        <w:rPr>
          <w:i/>
          <w:szCs w:val="22"/>
        </w:rPr>
      </w:pPr>
      <w:r w:rsidRPr="00EA7422">
        <w:rPr>
          <w:i/>
          <w:szCs w:val="22"/>
        </w:rPr>
        <w:t>Complaints</w:t>
      </w:r>
    </w:p>
    <w:p w14:paraId="6DE71ECF" w14:textId="77777777" w:rsidR="00557F3D" w:rsidRPr="00CE08D0" w:rsidRDefault="00557F3D" w:rsidP="00557F3D">
      <w:pPr>
        <w:pStyle w:val="Heading3"/>
        <w:keepNext w:val="0"/>
        <w:widowControl w:val="0"/>
        <w:tabs>
          <w:tab w:val="clear" w:pos="720"/>
        </w:tabs>
        <w:spacing w:after="240"/>
        <w:ind w:left="851" w:hanging="851"/>
        <w:jc w:val="left"/>
      </w:pPr>
      <w:r w:rsidRPr="00CE08D0">
        <w:t>In October 2019 an internal audit took place of the Councils Compliments, Comments and Complaints Policy with an outcome of ‘Substantial’.</w:t>
      </w:r>
    </w:p>
    <w:p w14:paraId="5695DF1D"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A full review of the Councils Complaints Policy has been completed and is recommended for approval by Cabinet in April 2020. </w:t>
      </w:r>
    </w:p>
    <w:p w14:paraId="4E9D3560"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Continued further improvement has been achieved in our stage 1 complaint response times. The results show that 99% (94/95) of stage 1 complaints continue to be answered within the deadlines set within the complaints policies.  </w:t>
      </w:r>
    </w:p>
    <w:p w14:paraId="0015758D"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96% (25/26) of stage 2 complaints were answered within the deadlines. This was 100% last year, however, due to the low number of complaints escalating to stage 2 this is 1 complaint that has exceeded the deadline.   </w:t>
      </w:r>
    </w:p>
    <w:p w14:paraId="524B553F" w14:textId="77777777" w:rsidR="00557F3D" w:rsidRPr="00EA7422" w:rsidRDefault="00557F3D" w:rsidP="00557F3D">
      <w:pPr>
        <w:spacing w:after="240"/>
        <w:ind w:left="131" w:firstLine="720"/>
        <w:rPr>
          <w:b/>
          <w:i/>
          <w:color w:val="FF0000"/>
          <w:szCs w:val="22"/>
        </w:rPr>
      </w:pPr>
      <w:r w:rsidRPr="00EA7422">
        <w:rPr>
          <w:i/>
          <w:szCs w:val="22"/>
        </w:rPr>
        <w:t>Financial performance</w:t>
      </w:r>
    </w:p>
    <w:p w14:paraId="2F12467A" w14:textId="77777777" w:rsidR="00557F3D" w:rsidRPr="00C974D9" w:rsidRDefault="00557F3D" w:rsidP="00557F3D">
      <w:pPr>
        <w:pStyle w:val="Heading3"/>
        <w:keepNext w:val="0"/>
        <w:widowControl w:val="0"/>
        <w:tabs>
          <w:tab w:val="clear" w:pos="720"/>
        </w:tabs>
        <w:spacing w:after="240"/>
        <w:ind w:left="851" w:hanging="851"/>
        <w:jc w:val="left"/>
      </w:pPr>
      <w:r w:rsidRPr="00C974D9">
        <w:t xml:space="preserve">Quarterly reports on financial management were presented to Cabinet during the year.  </w:t>
      </w:r>
    </w:p>
    <w:p w14:paraId="6B268FB5" w14:textId="77777777" w:rsidR="00557F3D" w:rsidRPr="00C974D9" w:rsidRDefault="00557F3D" w:rsidP="00557F3D">
      <w:pPr>
        <w:pStyle w:val="Heading3"/>
        <w:keepNext w:val="0"/>
        <w:widowControl w:val="0"/>
        <w:tabs>
          <w:tab w:val="clear" w:pos="720"/>
        </w:tabs>
        <w:spacing w:after="240"/>
        <w:ind w:left="851" w:hanging="851"/>
        <w:jc w:val="left"/>
      </w:pPr>
      <w:r w:rsidRPr="00C974D9">
        <w:t xml:space="preserve">The </w:t>
      </w:r>
      <w:r>
        <w:t>final quarterly report showed</w:t>
      </w:r>
      <w:r w:rsidRPr="00C974D9">
        <w:t xml:space="preserve"> that a surplus of £207k </w:t>
      </w:r>
      <w:r>
        <w:t xml:space="preserve">had been achieved </w:t>
      </w:r>
      <w:r w:rsidRPr="00C974D9">
        <w:t xml:space="preserve">against the revised budget.  </w:t>
      </w:r>
    </w:p>
    <w:p w14:paraId="41640758" w14:textId="77777777" w:rsidR="00557F3D" w:rsidRPr="00C974D9" w:rsidRDefault="00557F3D" w:rsidP="00557F3D">
      <w:pPr>
        <w:pStyle w:val="Heading3"/>
        <w:keepNext w:val="0"/>
        <w:widowControl w:val="0"/>
        <w:tabs>
          <w:tab w:val="clear" w:pos="720"/>
        </w:tabs>
        <w:spacing w:after="240"/>
        <w:ind w:left="851" w:hanging="851"/>
        <w:jc w:val="left"/>
      </w:pPr>
      <w:r w:rsidRPr="00C974D9">
        <w:lastRenderedPageBreak/>
        <w:t xml:space="preserve">The </w:t>
      </w:r>
      <w:r>
        <w:t xml:space="preserve">final quarterly </w:t>
      </w:r>
      <w:r w:rsidRPr="00C974D9">
        <w:t>report also included details of impact on the MTFP of Covid-19. The following broad impacts on our financial position:</w:t>
      </w:r>
    </w:p>
    <w:p w14:paraId="357A86B9" w14:textId="77777777" w:rsidR="00557F3D" w:rsidRPr="00EA7422" w:rsidRDefault="00557F3D" w:rsidP="00203885">
      <w:pPr>
        <w:pStyle w:val="BulletPoint"/>
        <w:numPr>
          <w:ilvl w:val="0"/>
          <w:numId w:val="36"/>
        </w:numPr>
        <w:rPr>
          <w:sz w:val="22"/>
          <w:szCs w:val="22"/>
        </w:rPr>
      </w:pPr>
      <w:r w:rsidRPr="00EA7422">
        <w:rPr>
          <w:sz w:val="22"/>
          <w:szCs w:val="22"/>
        </w:rPr>
        <w:t>Additional expenditure may be incurred that is not covered by Government funding;</w:t>
      </w:r>
    </w:p>
    <w:p w14:paraId="388F332F" w14:textId="77777777" w:rsidR="00557F3D" w:rsidRPr="00EA7422" w:rsidRDefault="00557F3D" w:rsidP="00203885">
      <w:pPr>
        <w:pStyle w:val="BulletPoint"/>
        <w:numPr>
          <w:ilvl w:val="0"/>
          <w:numId w:val="36"/>
        </w:numPr>
        <w:rPr>
          <w:sz w:val="22"/>
          <w:szCs w:val="22"/>
        </w:rPr>
      </w:pPr>
      <w:r w:rsidRPr="00EA7422">
        <w:rPr>
          <w:sz w:val="22"/>
          <w:szCs w:val="22"/>
        </w:rPr>
        <w:t>Some services generating income are no longer in operation as the Council has reviewed its service offer in light of Government advice and is only running essential services; and</w:t>
      </w:r>
    </w:p>
    <w:p w14:paraId="68AB72F4" w14:textId="77777777" w:rsidR="00557F3D" w:rsidRPr="00EA7422" w:rsidRDefault="00557F3D" w:rsidP="00203885">
      <w:pPr>
        <w:pStyle w:val="BulletPoint"/>
        <w:numPr>
          <w:ilvl w:val="0"/>
          <w:numId w:val="36"/>
        </w:numPr>
        <w:rPr>
          <w:sz w:val="22"/>
          <w:szCs w:val="22"/>
        </w:rPr>
      </w:pPr>
      <w:r w:rsidRPr="00EA7422">
        <w:rPr>
          <w:sz w:val="22"/>
          <w:szCs w:val="22"/>
        </w:rPr>
        <w:t>Key areas where the Council collects income (council tax, business rates, rents) are likely to see reduced recovery rates, losses and bad debts.</w:t>
      </w:r>
    </w:p>
    <w:p w14:paraId="1465F587" w14:textId="77777777" w:rsidR="00557F3D" w:rsidRPr="00CE08D0" w:rsidRDefault="00557F3D" w:rsidP="00557F3D">
      <w:pPr>
        <w:pStyle w:val="Heading3"/>
        <w:keepNext w:val="0"/>
        <w:widowControl w:val="0"/>
        <w:tabs>
          <w:tab w:val="clear" w:pos="720"/>
        </w:tabs>
        <w:spacing w:after="240"/>
        <w:ind w:left="851" w:hanging="851"/>
        <w:jc w:val="left"/>
      </w:pPr>
      <w:r w:rsidRPr="00EA7422">
        <w:rPr>
          <w:szCs w:val="22"/>
        </w:rPr>
        <w:t>At the end of June the impact was assessed as being in excess of £1m but with further Government funding expected and significant unknowns, this position is far from certain</w:t>
      </w:r>
      <w:r w:rsidRPr="00CE08D0">
        <w:t>.</w:t>
      </w:r>
    </w:p>
    <w:p w14:paraId="2688EB53" w14:textId="77777777" w:rsidR="00557F3D" w:rsidRPr="00CE08D0" w:rsidRDefault="00557F3D" w:rsidP="00557F3D">
      <w:pPr>
        <w:pStyle w:val="Heading3"/>
        <w:keepNext w:val="0"/>
        <w:widowControl w:val="0"/>
        <w:tabs>
          <w:tab w:val="clear" w:pos="720"/>
        </w:tabs>
        <w:spacing w:after="240"/>
        <w:ind w:left="851" w:hanging="851"/>
        <w:jc w:val="left"/>
      </w:pPr>
      <w:r w:rsidRPr="00CE08D0">
        <w:t>What is clear is that prior to Covid-19, the Council was already forecasting a financial gap (it plans to spend more than it receives in funding) of c£1.5m - £2m and this is likely to be exacerbated by the pandemic.</w:t>
      </w:r>
    </w:p>
    <w:p w14:paraId="6DB89A3A"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Council understands that this position is not sustainable in the medium term and is working on a range of strategies to address this position as part development of an “emergency budget”.  Work will continue into 2020 involving Scrutiny.  </w:t>
      </w:r>
    </w:p>
    <w:p w14:paraId="5E01A36C" w14:textId="77777777" w:rsidR="00557F3D" w:rsidRPr="00EA7422" w:rsidRDefault="00557F3D" w:rsidP="00557F3D">
      <w:pPr>
        <w:spacing w:after="240"/>
        <w:ind w:left="131" w:firstLine="720"/>
        <w:rPr>
          <w:i/>
          <w:szCs w:val="22"/>
        </w:rPr>
      </w:pPr>
      <w:r w:rsidRPr="00EA7422">
        <w:rPr>
          <w:i/>
          <w:szCs w:val="22"/>
        </w:rPr>
        <w:t xml:space="preserve">Corporate performance </w:t>
      </w:r>
    </w:p>
    <w:p w14:paraId="7FE745EA" w14:textId="77777777" w:rsidR="00557F3D" w:rsidRPr="00C974D9" w:rsidRDefault="00557F3D" w:rsidP="00557F3D">
      <w:pPr>
        <w:pStyle w:val="Heading3"/>
        <w:keepNext w:val="0"/>
        <w:widowControl w:val="0"/>
        <w:tabs>
          <w:tab w:val="clear" w:pos="720"/>
        </w:tabs>
        <w:spacing w:after="240"/>
        <w:ind w:left="851" w:hanging="851"/>
        <w:jc w:val="left"/>
      </w:pPr>
      <w:r w:rsidRPr="00C974D9">
        <w:t>Performance of the Council towards achieving the objectives laid out in the Corporate Plan is monitored through the use of a number of key performance indicators. At the end of 2019/20, 84% of indicators were on or above target. 16% of these indicators were below target. The areas where the Council is below target includes: </w:t>
      </w:r>
    </w:p>
    <w:p w14:paraId="6672207C" w14:textId="77777777" w:rsidR="00557F3D" w:rsidRPr="00EA7422" w:rsidRDefault="00557F3D" w:rsidP="00203885">
      <w:pPr>
        <w:pStyle w:val="BulletPoint"/>
        <w:numPr>
          <w:ilvl w:val="0"/>
          <w:numId w:val="36"/>
        </w:numPr>
        <w:rPr>
          <w:sz w:val="22"/>
          <w:szCs w:val="22"/>
        </w:rPr>
      </w:pPr>
      <w:r w:rsidRPr="00EA7422">
        <w:rPr>
          <w:sz w:val="22"/>
          <w:szCs w:val="22"/>
        </w:rPr>
        <w:t>Number of delayed days in transfer of care (DTOC) - 7.8 delay days in Rutland, with a target of 4.9. All delays are monitored closely by the Hospital Team Manager and are being dealt with on a case by case basis.</w:t>
      </w:r>
    </w:p>
    <w:p w14:paraId="43552643" w14:textId="77777777" w:rsidR="00557F3D" w:rsidRPr="00EA7422" w:rsidRDefault="00557F3D" w:rsidP="00203885">
      <w:pPr>
        <w:pStyle w:val="BulletPoint"/>
        <w:numPr>
          <w:ilvl w:val="0"/>
          <w:numId w:val="36"/>
        </w:numPr>
        <w:rPr>
          <w:sz w:val="22"/>
          <w:szCs w:val="22"/>
        </w:rPr>
      </w:pPr>
      <w:r w:rsidRPr="00EA7422">
        <w:rPr>
          <w:sz w:val="22"/>
          <w:szCs w:val="22"/>
        </w:rPr>
        <w:t>Child Protection cases reviewed within timescales - 92% of cases were reviewed within timescales. The target for this indicator is 100%. Daily performance reports are being used by management to improve performance and to pick up the small number of cases in danger of falling out of timescales.</w:t>
      </w:r>
    </w:p>
    <w:p w14:paraId="34A9C3CA" w14:textId="77777777" w:rsidR="00557F3D" w:rsidRPr="00EA7422" w:rsidRDefault="00557F3D" w:rsidP="00203885">
      <w:pPr>
        <w:pStyle w:val="BulletPoint"/>
        <w:numPr>
          <w:ilvl w:val="0"/>
          <w:numId w:val="36"/>
        </w:numPr>
        <w:rPr>
          <w:sz w:val="22"/>
          <w:szCs w:val="22"/>
        </w:rPr>
      </w:pPr>
      <w:r w:rsidRPr="00EA7422">
        <w:rPr>
          <w:sz w:val="22"/>
          <w:szCs w:val="22"/>
        </w:rPr>
        <w:t>% of eligible children registered with Childrens Centres - We have revised the baseline for children under 5 population in Rutland based on the latest ONS mid-year estimate, replacing the previous method which used child benefit data. Performance (89% of target group registered) now more accurately reflects population and the target of 100% is under review given the new baseline data.</w:t>
      </w:r>
    </w:p>
    <w:p w14:paraId="6FC8E1FD" w14:textId="77777777" w:rsidR="00557F3D" w:rsidRPr="00EA7422" w:rsidRDefault="00557F3D" w:rsidP="00203885">
      <w:pPr>
        <w:pStyle w:val="BulletPoint"/>
        <w:numPr>
          <w:ilvl w:val="0"/>
          <w:numId w:val="36"/>
        </w:numPr>
        <w:rPr>
          <w:sz w:val="22"/>
          <w:szCs w:val="22"/>
        </w:rPr>
      </w:pPr>
      <w:r w:rsidRPr="00EA7422">
        <w:rPr>
          <w:sz w:val="22"/>
          <w:szCs w:val="22"/>
        </w:rPr>
        <w:t xml:space="preserve">Customer Services - Calls answered within 60 seconds - 46% of calls received were answered within 60 seconds, against a target of 70%. There were some reductions in staffing within Customer Services during 2019/20 and some of the team were seconded to help support improving the website to allow more transactions through this channel from the public. Equally, </w:t>
      </w:r>
      <w:r w:rsidRPr="00EA7422">
        <w:rPr>
          <w:sz w:val="22"/>
          <w:szCs w:val="22"/>
        </w:rPr>
        <w:lastRenderedPageBreak/>
        <w:t xml:space="preserve">there has been a focus dealing fully with cases rather than passing customers on which has led to calls taking longer to deal with.  </w:t>
      </w:r>
    </w:p>
    <w:p w14:paraId="08929D4D" w14:textId="77777777" w:rsidR="00557F3D" w:rsidRPr="00EA7422" w:rsidRDefault="00557F3D" w:rsidP="00203885">
      <w:pPr>
        <w:pStyle w:val="BulletPoint"/>
        <w:numPr>
          <w:ilvl w:val="0"/>
          <w:numId w:val="36"/>
        </w:numPr>
        <w:rPr>
          <w:sz w:val="22"/>
          <w:szCs w:val="22"/>
        </w:rPr>
      </w:pPr>
      <w:r w:rsidRPr="00EA7422">
        <w:rPr>
          <w:sz w:val="22"/>
          <w:szCs w:val="22"/>
        </w:rPr>
        <w:t>33 affordable houses were completed during the year, against a target of 45. Slow construction on a specific development during 2019/20 had an impact on achieving this target.</w:t>
      </w:r>
    </w:p>
    <w:p w14:paraId="7BA94625" w14:textId="77777777" w:rsidR="00557F3D" w:rsidRPr="00EA7422" w:rsidRDefault="00557F3D" w:rsidP="00557F3D">
      <w:pPr>
        <w:ind w:left="414" w:firstLine="306"/>
        <w:rPr>
          <w:i/>
          <w:szCs w:val="22"/>
          <w:highlight w:val="green"/>
        </w:rPr>
      </w:pPr>
      <w:r w:rsidRPr="00EA7422">
        <w:rPr>
          <w:i/>
          <w:szCs w:val="22"/>
        </w:rPr>
        <w:t>Information Governance and related issues</w:t>
      </w:r>
    </w:p>
    <w:p w14:paraId="27F4FBF8" w14:textId="77777777" w:rsidR="00557F3D" w:rsidRPr="009C7803" w:rsidRDefault="00557F3D" w:rsidP="00557F3D">
      <w:pPr>
        <w:rPr>
          <w:i/>
          <w:highlight w:val="green"/>
        </w:rPr>
      </w:pPr>
    </w:p>
    <w:p w14:paraId="7C731CC0" w14:textId="77777777" w:rsidR="00557F3D" w:rsidRDefault="00557F3D" w:rsidP="00557F3D">
      <w:pPr>
        <w:pStyle w:val="Heading3"/>
        <w:keepNext w:val="0"/>
        <w:widowControl w:val="0"/>
        <w:tabs>
          <w:tab w:val="clear" w:pos="720"/>
        </w:tabs>
        <w:spacing w:after="240"/>
        <w:ind w:left="851" w:hanging="851"/>
        <w:jc w:val="left"/>
      </w:pPr>
      <w:r w:rsidRPr="00CE08D0">
        <w:t xml:space="preserve">The </w:t>
      </w:r>
      <w:r w:rsidRPr="00CE08D0">
        <w:rPr>
          <w:lang w:val="en"/>
        </w:rPr>
        <w:t xml:space="preserve">Data Security and Protection Toolkit (previously called </w:t>
      </w:r>
      <w:r w:rsidRPr="00CE08D0">
        <w:t>Information Governance (IG) Toolkit) is an NHS online self-assessment tool that allows us to measure our Information Governance performance. Organisations that have access to NHS patient data and systems must complete this assessment to provide assurance that pers</w:t>
      </w:r>
      <w:r>
        <w:t>onal data is handled correctly.</w:t>
      </w:r>
    </w:p>
    <w:p w14:paraId="6722F2C6"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Requirements cover: </w:t>
      </w:r>
    </w:p>
    <w:p w14:paraId="42C88E0A" w14:textId="77777777" w:rsidR="00557F3D" w:rsidRPr="00EA7422" w:rsidRDefault="00557F3D" w:rsidP="00203885">
      <w:pPr>
        <w:pStyle w:val="BulletPoint"/>
        <w:numPr>
          <w:ilvl w:val="0"/>
          <w:numId w:val="36"/>
        </w:numPr>
        <w:rPr>
          <w:sz w:val="22"/>
          <w:szCs w:val="22"/>
        </w:rPr>
      </w:pPr>
      <w:r w:rsidRPr="00EA7422">
        <w:rPr>
          <w:sz w:val="22"/>
          <w:szCs w:val="22"/>
        </w:rPr>
        <w:t>Confidentiality and data protection.</w:t>
      </w:r>
    </w:p>
    <w:p w14:paraId="22FDF5FE" w14:textId="77777777" w:rsidR="00557F3D" w:rsidRPr="00EA7422" w:rsidRDefault="00557F3D" w:rsidP="00203885">
      <w:pPr>
        <w:pStyle w:val="BulletPoint"/>
        <w:numPr>
          <w:ilvl w:val="0"/>
          <w:numId w:val="36"/>
        </w:numPr>
        <w:rPr>
          <w:sz w:val="22"/>
          <w:szCs w:val="22"/>
        </w:rPr>
      </w:pPr>
      <w:r w:rsidRPr="00EA7422">
        <w:rPr>
          <w:sz w:val="22"/>
          <w:szCs w:val="22"/>
        </w:rPr>
        <w:t>Information security.</w:t>
      </w:r>
    </w:p>
    <w:p w14:paraId="03D2DB62" w14:textId="77777777" w:rsidR="00557F3D" w:rsidRPr="00EA7422" w:rsidRDefault="00557F3D" w:rsidP="00203885">
      <w:pPr>
        <w:pStyle w:val="BulletPoint"/>
        <w:numPr>
          <w:ilvl w:val="0"/>
          <w:numId w:val="36"/>
        </w:numPr>
        <w:rPr>
          <w:sz w:val="22"/>
          <w:szCs w:val="22"/>
        </w:rPr>
      </w:pPr>
      <w:r w:rsidRPr="00EA7422">
        <w:rPr>
          <w:sz w:val="22"/>
          <w:szCs w:val="22"/>
        </w:rPr>
        <w:t>Records management.</w:t>
      </w:r>
    </w:p>
    <w:p w14:paraId="4B36E45D" w14:textId="77777777" w:rsidR="00557F3D" w:rsidRPr="00EA7422" w:rsidRDefault="00557F3D" w:rsidP="00203885">
      <w:pPr>
        <w:pStyle w:val="BulletPoint"/>
        <w:numPr>
          <w:ilvl w:val="0"/>
          <w:numId w:val="36"/>
        </w:numPr>
        <w:rPr>
          <w:sz w:val="22"/>
          <w:szCs w:val="22"/>
        </w:rPr>
      </w:pPr>
      <w:r w:rsidRPr="00EA7422">
        <w:rPr>
          <w:sz w:val="22"/>
          <w:szCs w:val="22"/>
        </w:rPr>
        <w:t>Training</w:t>
      </w:r>
    </w:p>
    <w:p w14:paraId="13E3B29B" w14:textId="77777777" w:rsidR="00557F3D" w:rsidRPr="00EA7422" w:rsidRDefault="00557F3D" w:rsidP="00203885">
      <w:pPr>
        <w:pStyle w:val="BulletPoint"/>
        <w:numPr>
          <w:ilvl w:val="0"/>
          <w:numId w:val="36"/>
        </w:numPr>
        <w:rPr>
          <w:sz w:val="22"/>
          <w:szCs w:val="22"/>
        </w:rPr>
      </w:pPr>
      <w:r w:rsidRPr="00EA7422">
        <w:rPr>
          <w:sz w:val="22"/>
          <w:szCs w:val="22"/>
        </w:rPr>
        <w:t>Staff Responsibilities</w:t>
      </w:r>
    </w:p>
    <w:p w14:paraId="2147B096" w14:textId="77777777" w:rsidR="00557F3D" w:rsidRPr="00CE08D0" w:rsidRDefault="00557F3D" w:rsidP="00557F3D">
      <w:pPr>
        <w:pStyle w:val="Heading3"/>
        <w:keepNext w:val="0"/>
        <w:widowControl w:val="0"/>
        <w:tabs>
          <w:tab w:val="clear" w:pos="720"/>
        </w:tabs>
        <w:spacing w:after="240"/>
        <w:ind w:left="851" w:hanging="851"/>
        <w:jc w:val="left"/>
      </w:pPr>
      <w:r w:rsidRPr="00CE08D0">
        <w:t>The Council submitted the 2019/20 assessment in March 2020</w:t>
      </w:r>
    </w:p>
    <w:p w14:paraId="564E40E2" w14:textId="77777777" w:rsidR="00557F3D" w:rsidRPr="00CE08D0" w:rsidRDefault="00557F3D" w:rsidP="00557F3D">
      <w:pPr>
        <w:pStyle w:val="Heading3"/>
        <w:keepNext w:val="0"/>
        <w:widowControl w:val="0"/>
        <w:tabs>
          <w:tab w:val="clear" w:pos="720"/>
        </w:tabs>
        <w:spacing w:after="240"/>
        <w:ind w:left="851" w:hanging="851"/>
        <w:jc w:val="left"/>
      </w:pPr>
      <w:r w:rsidRPr="00CE08D0">
        <w:t>Freedom of Information Act 2000 (FOI) - The Council uses Microsoft Excel to manage FOI and Environmental Information Regulation (EIR) requests. 1716 FOI and EIR requests were received by the Council in 2019/20; 99.8% answered within 20 days. 5 complaints have been reported to or investigated by the Information Commissioners Office to satisfactory conclusion. 8 requests required an internal review and were satisfied for the customer in each case.</w:t>
      </w:r>
    </w:p>
    <w:p w14:paraId="131C0881" w14:textId="77777777" w:rsidR="00557F3D" w:rsidRDefault="00557F3D" w:rsidP="00557F3D">
      <w:pPr>
        <w:pStyle w:val="Heading3"/>
        <w:keepNext w:val="0"/>
        <w:widowControl w:val="0"/>
        <w:tabs>
          <w:tab w:val="clear" w:pos="720"/>
        </w:tabs>
        <w:spacing w:after="240"/>
        <w:ind w:left="851" w:hanging="851"/>
        <w:jc w:val="left"/>
        <w:rPr>
          <w:rFonts w:eastAsiaTheme="minorHAnsi"/>
        </w:rPr>
      </w:pPr>
      <w:r w:rsidRPr="00CE08D0">
        <w:rPr>
          <w:rFonts w:eastAsiaTheme="minorHAnsi"/>
        </w:rPr>
        <w:t>Data Breaches - The implementation of a Data Protection Action Plan to reduce data breaches was completed in September 2019.</w:t>
      </w:r>
    </w:p>
    <w:p w14:paraId="357EEDA4" w14:textId="77777777" w:rsidR="00557F3D" w:rsidRPr="00C974D9" w:rsidRDefault="00557F3D" w:rsidP="00557F3D">
      <w:pPr>
        <w:pStyle w:val="Heading3"/>
        <w:keepNext w:val="0"/>
        <w:widowControl w:val="0"/>
        <w:tabs>
          <w:tab w:val="clear" w:pos="720"/>
        </w:tabs>
        <w:spacing w:after="240"/>
        <w:ind w:left="851" w:hanging="851"/>
        <w:jc w:val="left"/>
        <w:rPr>
          <w:rFonts w:eastAsiaTheme="minorHAnsi"/>
        </w:rPr>
      </w:pPr>
      <w:r w:rsidRPr="00C974D9">
        <w:rPr>
          <w:rFonts w:eastAsiaTheme="minorHAnsi"/>
        </w:rPr>
        <w:t>Actions included:</w:t>
      </w:r>
    </w:p>
    <w:p w14:paraId="616F8FEE" w14:textId="77777777" w:rsidR="00557F3D" w:rsidRPr="00EA7422" w:rsidRDefault="00557F3D" w:rsidP="00203885">
      <w:pPr>
        <w:pStyle w:val="BulletPoint"/>
        <w:numPr>
          <w:ilvl w:val="0"/>
          <w:numId w:val="36"/>
        </w:numPr>
        <w:rPr>
          <w:rFonts w:eastAsiaTheme="minorHAnsi"/>
          <w:sz w:val="22"/>
          <w:szCs w:val="22"/>
        </w:rPr>
      </w:pPr>
      <w:r w:rsidRPr="00EA7422">
        <w:rPr>
          <w:rFonts w:eastAsiaTheme="minorHAnsi"/>
          <w:sz w:val="22"/>
          <w:szCs w:val="22"/>
        </w:rPr>
        <w:t>Topic at staff briefings to raise awareness</w:t>
      </w:r>
    </w:p>
    <w:p w14:paraId="0FF1981F" w14:textId="77777777" w:rsidR="00557F3D" w:rsidRPr="00EA7422" w:rsidRDefault="00557F3D" w:rsidP="00203885">
      <w:pPr>
        <w:pStyle w:val="BulletPoint"/>
        <w:numPr>
          <w:ilvl w:val="0"/>
          <w:numId w:val="36"/>
        </w:numPr>
        <w:rPr>
          <w:rFonts w:eastAsiaTheme="minorHAnsi"/>
          <w:sz w:val="22"/>
          <w:szCs w:val="22"/>
        </w:rPr>
      </w:pPr>
      <w:r w:rsidRPr="00EA7422">
        <w:rPr>
          <w:rFonts w:eastAsiaTheme="minorHAnsi"/>
          <w:sz w:val="22"/>
          <w:szCs w:val="22"/>
        </w:rPr>
        <w:t>Mandatory GDPR annual refresher training for all staff</w:t>
      </w:r>
    </w:p>
    <w:p w14:paraId="42659E00" w14:textId="77777777" w:rsidR="00557F3D" w:rsidRPr="00EA7422" w:rsidRDefault="00557F3D" w:rsidP="00203885">
      <w:pPr>
        <w:pStyle w:val="BulletPoint"/>
        <w:numPr>
          <w:ilvl w:val="0"/>
          <w:numId w:val="36"/>
        </w:numPr>
        <w:rPr>
          <w:rFonts w:eastAsiaTheme="minorHAnsi"/>
          <w:sz w:val="22"/>
          <w:szCs w:val="22"/>
        </w:rPr>
      </w:pPr>
      <w:r w:rsidRPr="00EA7422">
        <w:rPr>
          <w:rFonts w:eastAsiaTheme="minorHAnsi"/>
          <w:sz w:val="22"/>
          <w:szCs w:val="22"/>
        </w:rPr>
        <w:t>Redaction and subject access request training for all staff to attend</w:t>
      </w:r>
    </w:p>
    <w:p w14:paraId="4F6B3D71" w14:textId="77777777" w:rsidR="00557F3D" w:rsidRPr="00EA7422" w:rsidRDefault="00557F3D" w:rsidP="00203885">
      <w:pPr>
        <w:pStyle w:val="BulletPoint"/>
        <w:numPr>
          <w:ilvl w:val="0"/>
          <w:numId w:val="36"/>
        </w:numPr>
        <w:rPr>
          <w:rFonts w:eastAsiaTheme="minorHAnsi"/>
          <w:sz w:val="22"/>
          <w:szCs w:val="22"/>
        </w:rPr>
      </w:pPr>
      <w:r w:rsidRPr="00EA7422">
        <w:rPr>
          <w:rFonts w:eastAsiaTheme="minorHAnsi"/>
          <w:sz w:val="22"/>
          <w:szCs w:val="22"/>
        </w:rPr>
        <w:t>All data breaches investigated with lessons learned applied</w:t>
      </w:r>
    </w:p>
    <w:p w14:paraId="6020F0EA" w14:textId="77777777" w:rsidR="00557F3D" w:rsidRPr="00C974D9" w:rsidRDefault="00557F3D" w:rsidP="00557F3D">
      <w:pPr>
        <w:pStyle w:val="Heading3"/>
        <w:keepNext w:val="0"/>
        <w:widowControl w:val="0"/>
        <w:tabs>
          <w:tab w:val="clear" w:pos="720"/>
        </w:tabs>
        <w:spacing w:after="240"/>
        <w:ind w:left="851" w:hanging="851"/>
        <w:jc w:val="left"/>
        <w:rPr>
          <w:rFonts w:eastAsiaTheme="minorHAnsi"/>
        </w:rPr>
      </w:pPr>
      <w:r w:rsidRPr="00CE08D0">
        <w:rPr>
          <w:rFonts w:eastAsiaTheme="minorHAnsi"/>
        </w:rPr>
        <w:t xml:space="preserve">5 data breaches were reported to the Information Commissioners Office (ICO) in Quarters 1 and 2. Following implementation of the action plan no further breaches </w:t>
      </w:r>
      <w:r>
        <w:rPr>
          <w:rFonts w:eastAsiaTheme="minorHAnsi"/>
        </w:rPr>
        <w:t>were</w:t>
      </w:r>
      <w:r w:rsidRPr="00CE08D0">
        <w:rPr>
          <w:rFonts w:eastAsiaTheme="minorHAnsi"/>
        </w:rPr>
        <w:t xml:space="preserve"> reported to the ICO</w:t>
      </w:r>
      <w:r>
        <w:rPr>
          <w:rFonts w:eastAsiaTheme="minorHAnsi"/>
        </w:rPr>
        <w:t xml:space="preserve"> in the remainder of the year</w:t>
      </w:r>
      <w:r w:rsidRPr="00CE08D0">
        <w:rPr>
          <w:rFonts w:eastAsiaTheme="minorHAnsi"/>
        </w:rPr>
        <w:t>.</w:t>
      </w:r>
    </w:p>
    <w:p w14:paraId="6AC72B2E" w14:textId="77777777" w:rsidR="00557F3D" w:rsidRPr="00EA7422" w:rsidRDefault="00557F3D" w:rsidP="00557F3D">
      <w:pPr>
        <w:pStyle w:val="BulletPoint"/>
        <w:numPr>
          <w:ilvl w:val="0"/>
          <w:numId w:val="0"/>
        </w:numPr>
        <w:tabs>
          <w:tab w:val="left" w:pos="720"/>
        </w:tabs>
        <w:spacing w:before="0" w:after="0"/>
        <w:rPr>
          <w:i/>
          <w:sz w:val="22"/>
          <w:szCs w:val="22"/>
        </w:rPr>
      </w:pPr>
      <w:r>
        <w:rPr>
          <w:i/>
        </w:rPr>
        <w:tab/>
      </w:r>
      <w:r w:rsidRPr="00EA7422">
        <w:rPr>
          <w:i/>
          <w:sz w:val="22"/>
          <w:szCs w:val="22"/>
        </w:rPr>
        <w:t xml:space="preserve">  Fraud and whistleblowing</w:t>
      </w:r>
    </w:p>
    <w:p w14:paraId="75D06C4F" w14:textId="77777777" w:rsidR="00557F3D" w:rsidRPr="00CE08D0" w:rsidRDefault="00557F3D" w:rsidP="00557F3D">
      <w:pPr>
        <w:pStyle w:val="BulletPoint"/>
        <w:numPr>
          <w:ilvl w:val="0"/>
          <w:numId w:val="0"/>
        </w:numPr>
        <w:tabs>
          <w:tab w:val="left" w:pos="720"/>
        </w:tabs>
        <w:spacing w:before="0" w:after="0"/>
        <w:rPr>
          <w:i/>
        </w:rPr>
      </w:pPr>
    </w:p>
    <w:p w14:paraId="57D8026B"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 xml:space="preserve">The Council received no whistleblowing allegations during 19/20 and no reported </w:t>
      </w:r>
      <w:r w:rsidRPr="00CE08D0">
        <w:rPr>
          <w:lang w:eastAsia="en-GB"/>
        </w:rPr>
        <w:lastRenderedPageBreak/>
        <w:t>frauds.</w:t>
      </w:r>
    </w:p>
    <w:p w14:paraId="14E1961F" w14:textId="77777777" w:rsidR="00557F3D" w:rsidRPr="00CE08D0" w:rsidRDefault="00557F3D" w:rsidP="00557F3D">
      <w:pPr>
        <w:pStyle w:val="Heading3"/>
        <w:keepNext w:val="0"/>
        <w:widowControl w:val="0"/>
        <w:tabs>
          <w:tab w:val="clear" w:pos="720"/>
        </w:tabs>
        <w:spacing w:after="240"/>
        <w:ind w:left="851" w:hanging="851"/>
        <w:jc w:val="left"/>
        <w:rPr>
          <w:lang w:eastAsia="en-GB"/>
        </w:rPr>
      </w:pPr>
      <w:r w:rsidRPr="00CE08D0">
        <w:rPr>
          <w:lang w:eastAsia="en-GB"/>
        </w:rPr>
        <w:t>The Council continues to participate in the NFI programme and investigated possible matches in the following areas. For 2019/20 only Electoral Registration and Council Tax datasets were required, matches are then identified where households are getting single occupant discounts but other datasets possibly reflect that more than one resident is in the household. Rutland had 1,995 matches to review.</w:t>
      </w:r>
    </w:p>
    <w:p w14:paraId="2D48CF2C" w14:textId="77777777" w:rsidR="00557F3D" w:rsidRPr="00EA7422" w:rsidRDefault="00557F3D" w:rsidP="00203885">
      <w:pPr>
        <w:pStyle w:val="BulletPoint"/>
        <w:numPr>
          <w:ilvl w:val="0"/>
          <w:numId w:val="36"/>
        </w:numPr>
        <w:rPr>
          <w:sz w:val="22"/>
          <w:szCs w:val="22"/>
          <w:shd w:val="clear" w:color="auto" w:fill="FFFFFF"/>
        </w:rPr>
      </w:pPr>
      <w:r w:rsidRPr="00EA7422">
        <w:rPr>
          <w:sz w:val="22"/>
          <w:szCs w:val="22"/>
          <w:shd w:val="clear" w:color="auto" w:fill="FFFFFF"/>
        </w:rPr>
        <w:t>Council Tax to Electoral Register - 757</w:t>
      </w:r>
    </w:p>
    <w:p w14:paraId="5D408F64" w14:textId="77777777" w:rsidR="00557F3D" w:rsidRPr="00EA7422" w:rsidRDefault="00557F3D" w:rsidP="00203885">
      <w:pPr>
        <w:pStyle w:val="BulletPoint"/>
        <w:numPr>
          <w:ilvl w:val="0"/>
          <w:numId w:val="36"/>
        </w:numPr>
        <w:rPr>
          <w:sz w:val="22"/>
          <w:szCs w:val="22"/>
          <w:shd w:val="clear" w:color="auto" w:fill="FFFFFF"/>
        </w:rPr>
      </w:pPr>
      <w:r w:rsidRPr="00EA7422">
        <w:rPr>
          <w:sz w:val="22"/>
          <w:szCs w:val="22"/>
          <w:shd w:val="clear" w:color="auto" w:fill="FFFFFF"/>
        </w:rPr>
        <w:t>Council Tax rising 18s – 26</w:t>
      </w:r>
    </w:p>
    <w:p w14:paraId="10C9E951" w14:textId="77777777" w:rsidR="00557F3D" w:rsidRPr="00EA7422" w:rsidRDefault="00557F3D" w:rsidP="00203885">
      <w:pPr>
        <w:pStyle w:val="BulletPoint"/>
        <w:numPr>
          <w:ilvl w:val="0"/>
          <w:numId w:val="36"/>
        </w:numPr>
        <w:rPr>
          <w:sz w:val="22"/>
          <w:szCs w:val="22"/>
          <w:shd w:val="clear" w:color="auto" w:fill="FFFFFF"/>
        </w:rPr>
      </w:pPr>
      <w:r w:rsidRPr="00EA7422">
        <w:rPr>
          <w:sz w:val="22"/>
          <w:szCs w:val="22"/>
          <w:shd w:val="clear" w:color="auto" w:fill="FFFFFF"/>
        </w:rPr>
        <w:t>Council Tax to other datasets – 471</w:t>
      </w:r>
    </w:p>
    <w:p w14:paraId="2D0870D0" w14:textId="77777777" w:rsidR="00557F3D" w:rsidRPr="00EA7422" w:rsidRDefault="00557F3D" w:rsidP="00203885">
      <w:pPr>
        <w:pStyle w:val="BulletPoint"/>
        <w:numPr>
          <w:ilvl w:val="0"/>
          <w:numId w:val="36"/>
        </w:numPr>
        <w:rPr>
          <w:sz w:val="22"/>
          <w:szCs w:val="22"/>
          <w:shd w:val="clear" w:color="auto" w:fill="FFFFFF"/>
        </w:rPr>
      </w:pPr>
      <w:r w:rsidRPr="00EA7422">
        <w:rPr>
          <w:sz w:val="22"/>
          <w:szCs w:val="22"/>
          <w:shd w:val="clear" w:color="auto" w:fill="FFFFFF"/>
        </w:rPr>
        <w:t>Council Tax to HMRC household composition - 741</w:t>
      </w:r>
    </w:p>
    <w:p w14:paraId="37DCB1BB" w14:textId="77777777" w:rsidR="00557F3D" w:rsidRDefault="00557F3D" w:rsidP="00557F3D">
      <w:pPr>
        <w:pStyle w:val="Heading3"/>
        <w:keepNext w:val="0"/>
        <w:widowControl w:val="0"/>
        <w:tabs>
          <w:tab w:val="clear" w:pos="720"/>
        </w:tabs>
        <w:spacing w:after="240"/>
        <w:ind w:left="851" w:hanging="851"/>
        <w:jc w:val="left"/>
        <w:rPr>
          <w:shd w:val="clear" w:color="auto" w:fill="FFFFFF"/>
        </w:rPr>
      </w:pPr>
      <w:r w:rsidRPr="00CE08D0">
        <w:rPr>
          <w:shd w:val="clear" w:color="auto" w:fill="FFFFFF"/>
        </w:rPr>
        <w:t>The Council investigated all possible lines of enquiry and no matches suggested actual fraud had occurred.</w:t>
      </w:r>
    </w:p>
    <w:p w14:paraId="289B286E" w14:textId="77777777" w:rsidR="00557F3D" w:rsidRPr="00C974D9" w:rsidRDefault="00557F3D" w:rsidP="00557F3D">
      <w:pPr>
        <w:pStyle w:val="Heading3"/>
        <w:keepNext w:val="0"/>
        <w:widowControl w:val="0"/>
        <w:tabs>
          <w:tab w:val="clear" w:pos="720"/>
        </w:tabs>
        <w:spacing w:after="240"/>
        <w:ind w:left="851" w:hanging="851"/>
        <w:jc w:val="left"/>
        <w:rPr>
          <w:shd w:val="clear" w:color="auto" w:fill="FFFFFF"/>
        </w:rPr>
      </w:pPr>
      <w:r w:rsidRPr="00C974D9">
        <w:rPr>
          <w:shd w:val="clear" w:color="auto" w:fill="FFFFFF"/>
        </w:rPr>
        <w:t>Proactive work was undertaken in respect of Council Tax Single Persons Discounts.  Recipients were contacted to confirm their ongoing eligibility.  This has resulted in c£45k of savings as discounts have been withdraw where recipients have not responded or have confirmed their circumstances have changed.</w:t>
      </w:r>
    </w:p>
    <w:p w14:paraId="636AC11A" w14:textId="77777777" w:rsidR="00557F3D" w:rsidRPr="00EA7422" w:rsidRDefault="00557F3D" w:rsidP="00557F3D">
      <w:pPr>
        <w:shd w:val="clear" w:color="auto" w:fill="FFFFFF" w:themeFill="background1"/>
        <w:spacing w:after="240"/>
        <w:ind w:firstLine="720"/>
        <w:rPr>
          <w:i/>
          <w:szCs w:val="22"/>
        </w:rPr>
      </w:pPr>
      <w:r w:rsidRPr="0064141F">
        <w:rPr>
          <w:i/>
          <w:sz w:val="36"/>
          <w:szCs w:val="36"/>
        </w:rPr>
        <w:t xml:space="preserve"> </w:t>
      </w:r>
      <w:r w:rsidRPr="00EA7422">
        <w:rPr>
          <w:i/>
          <w:szCs w:val="22"/>
        </w:rPr>
        <w:t xml:space="preserve"> Project Management </w:t>
      </w:r>
    </w:p>
    <w:p w14:paraId="117EE4AE"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Council has a </w:t>
      </w:r>
      <w:r>
        <w:t>P</w:t>
      </w:r>
      <w:r w:rsidRPr="00CE08D0">
        <w:t xml:space="preserve">roject </w:t>
      </w:r>
      <w:r>
        <w:t>M</w:t>
      </w:r>
      <w:r w:rsidRPr="00CE08D0">
        <w:t xml:space="preserve">anagement </w:t>
      </w:r>
      <w:r>
        <w:t>F</w:t>
      </w:r>
      <w:r w:rsidRPr="00CE08D0">
        <w:t xml:space="preserve">ramework which includes the role of the Project Management Office, a scalable Project Management </w:t>
      </w:r>
      <w:r>
        <w:t>M</w:t>
      </w:r>
      <w:r w:rsidRPr="00CE08D0">
        <w:t xml:space="preserve">ethodology and Project Management </w:t>
      </w:r>
      <w:r>
        <w:t>S</w:t>
      </w:r>
      <w:r w:rsidRPr="00CE08D0">
        <w:t xml:space="preserve">upport.  All new project managers coming into the Council are provided training on the methodology to ensure consistency of approach.  </w:t>
      </w:r>
      <w:r>
        <w:t>The updated Project Management M</w:t>
      </w:r>
      <w:r w:rsidRPr="00CE08D0">
        <w:t xml:space="preserve">ethodology is in use for all corporate projects, and has been useful in managing some of our more high risk projects.  </w:t>
      </w:r>
    </w:p>
    <w:p w14:paraId="4C179FB5" w14:textId="77777777" w:rsidR="00557F3D" w:rsidRPr="00CE08D0" w:rsidRDefault="00557F3D" w:rsidP="00557F3D">
      <w:pPr>
        <w:pStyle w:val="Heading3"/>
        <w:keepNext w:val="0"/>
        <w:widowControl w:val="0"/>
        <w:tabs>
          <w:tab w:val="clear" w:pos="720"/>
        </w:tabs>
        <w:spacing w:after="240"/>
        <w:ind w:left="851" w:hanging="851"/>
        <w:jc w:val="left"/>
      </w:pPr>
      <w:r w:rsidRPr="00CE08D0">
        <w:t>Progress on all projects is also monitored through SMT to understand and overcome any potential issues/risks before they become problematic. This provides an additional layer of challenge outside of the local governance structures put in place for each project (e.g. project boards), and allows for the independent escalation of issues.</w:t>
      </w:r>
    </w:p>
    <w:p w14:paraId="4156BAF2"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The Council delivered the following projects in year.  </w:t>
      </w:r>
    </w:p>
    <w:tbl>
      <w:tblPr>
        <w:tblW w:w="0" w:type="auto"/>
        <w:tblCellMar>
          <w:left w:w="0" w:type="dxa"/>
          <w:right w:w="0" w:type="dxa"/>
        </w:tblCellMar>
        <w:tblLook w:val="04A0" w:firstRow="1" w:lastRow="0" w:firstColumn="1" w:lastColumn="0" w:noHBand="0" w:noVBand="1"/>
      </w:tblPr>
      <w:tblGrid>
        <w:gridCol w:w="2687"/>
        <w:gridCol w:w="6319"/>
      </w:tblGrid>
      <w:tr w:rsidR="00557F3D" w:rsidRPr="00EA7422" w14:paraId="28EEC61C" w14:textId="77777777" w:rsidTr="00557F3D">
        <w:trPr>
          <w:tblHeader/>
        </w:trPr>
        <w:tc>
          <w:tcPr>
            <w:tcW w:w="268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74EA7BD" w14:textId="77777777" w:rsidR="00557F3D" w:rsidRPr="00EA7422" w:rsidRDefault="00557F3D" w:rsidP="00557F3D">
            <w:pPr>
              <w:shd w:val="clear" w:color="auto" w:fill="FFFFFF" w:themeFill="background1"/>
              <w:rPr>
                <w:b/>
                <w:bCs/>
                <w:szCs w:val="22"/>
              </w:rPr>
            </w:pPr>
            <w:r w:rsidRPr="00EA7422">
              <w:rPr>
                <w:b/>
                <w:bCs/>
                <w:szCs w:val="22"/>
              </w:rPr>
              <w:t>Project</w:t>
            </w:r>
          </w:p>
        </w:tc>
        <w:tc>
          <w:tcPr>
            <w:tcW w:w="63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F85BE9F" w14:textId="77777777" w:rsidR="00557F3D" w:rsidRPr="00EA7422" w:rsidRDefault="00557F3D" w:rsidP="00557F3D">
            <w:pPr>
              <w:shd w:val="clear" w:color="auto" w:fill="FFFFFF" w:themeFill="background1"/>
              <w:rPr>
                <w:b/>
                <w:bCs/>
                <w:szCs w:val="22"/>
              </w:rPr>
            </w:pPr>
            <w:r w:rsidRPr="00EA7422">
              <w:rPr>
                <w:b/>
                <w:bCs/>
                <w:szCs w:val="22"/>
              </w:rPr>
              <w:t>Outcome</w:t>
            </w:r>
          </w:p>
        </w:tc>
      </w:tr>
      <w:tr w:rsidR="00557F3D" w:rsidRPr="00EA7422" w14:paraId="0DB66FB2" w14:textId="77777777" w:rsidTr="00557F3D">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2ECAC" w14:textId="77777777" w:rsidR="00557F3D" w:rsidRPr="00EA7422" w:rsidRDefault="00557F3D" w:rsidP="00557F3D">
            <w:pPr>
              <w:shd w:val="clear" w:color="auto" w:fill="FFFFFF" w:themeFill="background1"/>
              <w:rPr>
                <w:szCs w:val="22"/>
              </w:rPr>
            </w:pPr>
            <w:r w:rsidRPr="00EA7422">
              <w:rPr>
                <w:szCs w:val="22"/>
              </w:rPr>
              <w:t>Income Manager Replacement</w:t>
            </w:r>
          </w:p>
        </w:tc>
        <w:tc>
          <w:tcPr>
            <w:tcW w:w="6327" w:type="dxa"/>
            <w:tcBorders>
              <w:top w:val="nil"/>
              <w:left w:val="nil"/>
              <w:bottom w:val="single" w:sz="8" w:space="0" w:color="auto"/>
              <w:right w:val="single" w:sz="8" w:space="0" w:color="auto"/>
            </w:tcBorders>
            <w:tcMar>
              <w:top w:w="0" w:type="dxa"/>
              <w:left w:w="108" w:type="dxa"/>
              <w:bottom w:w="0" w:type="dxa"/>
              <w:right w:w="108" w:type="dxa"/>
            </w:tcMar>
            <w:hideMark/>
          </w:tcPr>
          <w:p w14:paraId="1BAE6DC9" w14:textId="77777777" w:rsidR="00557F3D" w:rsidRPr="00EA7422" w:rsidRDefault="00557F3D" w:rsidP="00557F3D">
            <w:pPr>
              <w:shd w:val="clear" w:color="auto" w:fill="FFFFFF" w:themeFill="background1"/>
              <w:rPr>
                <w:szCs w:val="22"/>
              </w:rPr>
            </w:pPr>
            <w:r w:rsidRPr="00EA7422">
              <w:rPr>
                <w:szCs w:val="22"/>
              </w:rPr>
              <w:t>The payment engine of the corporate enterprise resource system (Agresso) was replaced with an in-house Salesforce developed solution</w:t>
            </w:r>
          </w:p>
        </w:tc>
      </w:tr>
      <w:tr w:rsidR="00557F3D" w:rsidRPr="00EA7422" w14:paraId="6517186F" w14:textId="77777777" w:rsidTr="00557F3D">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E7B191" w14:textId="77777777" w:rsidR="00557F3D" w:rsidRPr="00EA7422" w:rsidRDefault="00557F3D" w:rsidP="00557F3D">
            <w:pPr>
              <w:shd w:val="clear" w:color="auto" w:fill="FFFFFF" w:themeFill="background1"/>
              <w:rPr>
                <w:szCs w:val="22"/>
              </w:rPr>
            </w:pPr>
            <w:r w:rsidRPr="00EA7422">
              <w:rPr>
                <w:szCs w:val="22"/>
              </w:rPr>
              <w:t>Flare Replacement Programme</w:t>
            </w:r>
          </w:p>
        </w:tc>
        <w:tc>
          <w:tcPr>
            <w:tcW w:w="6327" w:type="dxa"/>
            <w:tcBorders>
              <w:top w:val="nil"/>
              <w:left w:val="nil"/>
              <w:bottom w:val="single" w:sz="8" w:space="0" w:color="auto"/>
              <w:right w:val="single" w:sz="8" w:space="0" w:color="auto"/>
            </w:tcBorders>
            <w:tcMar>
              <w:top w:w="0" w:type="dxa"/>
              <w:left w:w="108" w:type="dxa"/>
              <w:bottom w:w="0" w:type="dxa"/>
              <w:right w:w="108" w:type="dxa"/>
            </w:tcMar>
            <w:hideMark/>
          </w:tcPr>
          <w:p w14:paraId="1593E078" w14:textId="77777777" w:rsidR="00557F3D" w:rsidRPr="00EA7422" w:rsidRDefault="00557F3D" w:rsidP="00557F3D">
            <w:pPr>
              <w:shd w:val="clear" w:color="auto" w:fill="FFFFFF" w:themeFill="background1"/>
              <w:rPr>
                <w:szCs w:val="22"/>
              </w:rPr>
            </w:pPr>
            <w:r w:rsidRPr="00EA7422">
              <w:rPr>
                <w:szCs w:val="22"/>
              </w:rPr>
              <w:t>The on premise Flare system was migrated to a neighbouring local authority for the environmental service area</w:t>
            </w:r>
          </w:p>
        </w:tc>
      </w:tr>
      <w:tr w:rsidR="00557F3D" w:rsidRPr="00EA7422" w14:paraId="337FC04C" w14:textId="77777777" w:rsidTr="00557F3D">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1470C" w14:textId="77777777" w:rsidR="00557F3D" w:rsidRPr="00EA7422" w:rsidRDefault="00557F3D" w:rsidP="00557F3D">
            <w:pPr>
              <w:shd w:val="clear" w:color="auto" w:fill="FFFFFF" w:themeFill="background1"/>
              <w:rPr>
                <w:szCs w:val="22"/>
              </w:rPr>
            </w:pPr>
            <w:r w:rsidRPr="00EA7422">
              <w:rPr>
                <w:szCs w:val="22"/>
              </w:rPr>
              <w:t xml:space="preserve">Local Transport Plan </w:t>
            </w:r>
          </w:p>
        </w:tc>
        <w:tc>
          <w:tcPr>
            <w:tcW w:w="6327" w:type="dxa"/>
            <w:tcBorders>
              <w:top w:val="nil"/>
              <w:left w:val="nil"/>
              <w:bottom w:val="single" w:sz="8" w:space="0" w:color="auto"/>
              <w:right w:val="single" w:sz="8" w:space="0" w:color="auto"/>
            </w:tcBorders>
            <w:tcMar>
              <w:top w:w="0" w:type="dxa"/>
              <w:left w:w="108" w:type="dxa"/>
              <w:bottom w:w="0" w:type="dxa"/>
              <w:right w:w="108" w:type="dxa"/>
            </w:tcMar>
            <w:hideMark/>
          </w:tcPr>
          <w:p w14:paraId="2BDF6057" w14:textId="77777777" w:rsidR="00557F3D" w:rsidRPr="00EA7422" w:rsidRDefault="00557F3D" w:rsidP="00557F3D">
            <w:pPr>
              <w:shd w:val="clear" w:color="auto" w:fill="FFFFFF" w:themeFill="background1"/>
              <w:rPr>
                <w:szCs w:val="22"/>
              </w:rPr>
            </w:pPr>
            <w:r w:rsidRPr="00EA7422">
              <w:rPr>
                <w:szCs w:val="22"/>
              </w:rPr>
              <w:t>The local transport plan for the Council has been developed and is in the process of being implemented</w:t>
            </w:r>
          </w:p>
        </w:tc>
      </w:tr>
      <w:tr w:rsidR="00557F3D" w:rsidRPr="00EA7422" w14:paraId="0CCDF450" w14:textId="77777777" w:rsidTr="00557F3D">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10384" w14:textId="77777777" w:rsidR="00557F3D" w:rsidRPr="00EA7422" w:rsidRDefault="00557F3D" w:rsidP="00557F3D">
            <w:pPr>
              <w:shd w:val="clear" w:color="auto" w:fill="FFFFFF" w:themeFill="background1"/>
              <w:rPr>
                <w:szCs w:val="22"/>
              </w:rPr>
            </w:pPr>
            <w:r w:rsidRPr="00EA7422">
              <w:rPr>
                <w:szCs w:val="22"/>
              </w:rPr>
              <w:t>Capita Cloud Hosting</w:t>
            </w:r>
          </w:p>
        </w:tc>
        <w:tc>
          <w:tcPr>
            <w:tcW w:w="6327" w:type="dxa"/>
            <w:tcBorders>
              <w:top w:val="nil"/>
              <w:left w:val="nil"/>
              <w:bottom w:val="single" w:sz="8" w:space="0" w:color="auto"/>
              <w:right w:val="single" w:sz="8" w:space="0" w:color="auto"/>
            </w:tcBorders>
            <w:tcMar>
              <w:top w:w="0" w:type="dxa"/>
              <w:left w:w="108" w:type="dxa"/>
              <w:bottom w:w="0" w:type="dxa"/>
              <w:right w:w="108" w:type="dxa"/>
            </w:tcMar>
            <w:hideMark/>
          </w:tcPr>
          <w:p w14:paraId="0CF0CBFA" w14:textId="77777777" w:rsidR="00557F3D" w:rsidRPr="00EA7422" w:rsidRDefault="00557F3D" w:rsidP="00557F3D">
            <w:pPr>
              <w:shd w:val="clear" w:color="auto" w:fill="FFFFFF" w:themeFill="background1"/>
              <w:rPr>
                <w:szCs w:val="22"/>
              </w:rPr>
            </w:pPr>
            <w:r w:rsidRPr="00EA7422">
              <w:rPr>
                <w:szCs w:val="22"/>
              </w:rPr>
              <w:t>The on premise Capita education system has been migrated to the cloud being hosted by Capita</w:t>
            </w:r>
          </w:p>
        </w:tc>
      </w:tr>
      <w:tr w:rsidR="00557F3D" w:rsidRPr="00EA7422" w14:paraId="32EC37E4" w14:textId="77777777" w:rsidTr="00557F3D">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226745" w14:textId="77777777" w:rsidR="00557F3D" w:rsidRPr="00EA7422" w:rsidRDefault="00557F3D" w:rsidP="00557F3D">
            <w:pPr>
              <w:shd w:val="clear" w:color="auto" w:fill="FFFFFF" w:themeFill="background1"/>
              <w:rPr>
                <w:szCs w:val="22"/>
              </w:rPr>
            </w:pPr>
            <w:r w:rsidRPr="00EA7422">
              <w:rPr>
                <w:szCs w:val="22"/>
              </w:rPr>
              <w:t>Printer Refresh</w:t>
            </w:r>
          </w:p>
        </w:tc>
        <w:tc>
          <w:tcPr>
            <w:tcW w:w="6327" w:type="dxa"/>
            <w:tcBorders>
              <w:top w:val="nil"/>
              <w:left w:val="nil"/>
              <w:bottom w:val="single" w:sz="8" w:space="0" w:color="auto"/>
              <w:right w:val="single" w:sz="8" w:space="0" w:color="auto"/>
            </w:tcBorders>
            <w:tcMar>
              <w:top w:w="0" w:type="dxa"/>
              <w:left w:w="108" w:type="dxa"/>
              <w:bottom w:w="0" w:type="dxa"/>
              <w:right w:w="108" w:type="dxa"/>
            </w:tcMar>
            <w:hideMark/>
          </w:tcPr>
          <w:p w14:paraId="46E0A379" w14:textId="77777777" w:rsidR="00557F3D" w:rsidRPr="00EA7422" w:rsidRDefault="00557F3D" w:rsidP="00557F3D">
            <w:pPr>
              <w:shd w:val="clear" w:color="auto" w:fill="FFFFFF" w:themeFill="background1"/>
              <w:rPr>
                <w:szCs w:val="22"/>
              </w:rPr>
            </w:pPr>
            <w:r w:rsidRPr="00EA7422">
              <w:rPr>
                <w:szCs w:val="22"/>
              </w:rPr>
              <w:t>All printing solutions across the Council were rationalised into a new Printing Strategy together with a new set of printers procured</w:t>
            </w:r>
          </w:p>
        </w:tc>
      </w:tr>
      <w:tr w:rsidR="00557F3D" w:rsidRPr="00EA7422" w14:paraId="2AE2E760" w14:textId="77777777" w:rsidTr="00557F3D">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904FD" w14:textId="77777777" w:rsidR="00557F3D" w:rsidRPr="00EA7422" w:rsidRDefault="00557F3D" w:rsidP="00557F3D">
            <w:pPr>
              <w:shd w:val="clear" w:color="auto" w:fill="FFFFFF" w:themeFill="background1"/>
              <w:rPr>
                <w:szCs w:val="22"/>
              </w:rPr>
            </w:pPr>
            <w:r w:rsidRPr="00EA7422">
              <w:rPr>
                <w:szCs w:val="22"/>
              </w:rPr>
              <w:lastRenderedPageBreak/>
              <w:t>Buckingham Road Refurbishment &amp; Extension</w:t>
            </w:r>
          </w:p>
        </w:tc>
        <w:tc>
          <w:tcPr>
            <w:tcW w:w="6327" w:type="dxa"/>
            <w:tcBorders>
              <w:top w:val="nil"/>
              <w:left w:val="nil"/>
              <w:bottom w:val="single" w:sz="8" w:space="0" w:color="auto"/>
              <w:right w:val="single" w:sz="8" w:space="0" w:color="auto"/>
            </w:tcBorders>
            <w:tcMar>
              <w:top w:w="0" w:type="dxa"/>
              <w:left w:w="108" w:type="dxa"/>
              <w:bottom w:w="0" w:type="dxa"/>
              <w:right w:w="108" w:type="dxa"/>
            </w:tcMar>
            <w:hideMark/>
          </w:tcPr>
          <w:p w14:paraId="5FB12B9C" w14:textId="77777777" w:rsidR="00557F3D" w:rsidRPr="00EA7422" w:rsidRDefault="00557F3D" w:rsidP="00557F3D">
            <w:pPr>
              <w:shd w:val="clear" w:color="auto" w:fill="FFFFFF" w:themeFill="background1"/>
              <w:rPr>
                <w:szCs w:val="22"/>
              </w:rPr>
            </w:pPr>
            <w:r w:rsidRPr="00EA7422">
              <w:rPr>
                <w:szCs w:val="22"/>
              </w:rPr>
              <w:t>A property owned by the Council was extended and refurbished to house a local family in need of a bigger property</w:t>
            </w:r>
          </w:p>
        </w:tc>
      </w:tr>
      <w:tr w:rsidR="00557F3D" w:rsidRPr="00EA7422" w14:paraId="33A8C8AC" w14:textId="77777777" w:rsidTr="00557F3D">
        <w:tc>
          <w:tcPr>
            <w:tcW w:w="26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1056" w14:textId="77777777" w:rsidR="00557F3D" w:rsidRPr="00EA7422" w:rsidRDefault="00557F3D" w:rsidP="00557F3D">
            <w:pPr>
              <w:shd w:val="clear" w:color="auto" w:fill="FFFFFF" w:themeFill="background1"/>
              <w:rPr>
                <w:szCs w:val="22"/>
              </w:rPr>
            </w:pPr>
            <w:r w:rsidRPr="00EA7422">
              <w:rPr>
                <w:szCs w:val="22"/>
              </w:rPr>
              <w:t>Green Waste Collection System</w:t>
            </w:r>
          </w:p>
        </w:tc>
        <w:tc>
          <w:tcPr>
            <w:tcW w:w="6327" w:type="dxa"/>
            <w:tcBorders>
              <w:top w:val="nil"/>
              <w:left w:val="nil"/>
              <w:bottom w:val="single" w:sz="8" w:space="0" w:color="auto"/>
              <w:right w:val="single" w:sz="8" w:space="0" w:color="auto"/>
            </w:tcBorders>
            <w:tcMar>
              <w:top w:w="0" w:type="dxa"/>
              <w:left w:w="108" w:type="dxa"/>
              <w:bottom w:w="0" w:type="dxa"/>
              <w:right w:w="108" w:type="dxa"/>
            </w:tcMar>
            <w:hideMark/>
          </w:tcPr>
          <w:p w14:paraId="05269182" w14:textId="77777777" w:rsidR="00557F3D" w:rsidRPr="00EA7422" w:rsidRDefault="00557F3D" w:rsidP="00557F3D">
            <w:pPr>
              <w:shd w:val="clear" w:color="auto" w:fill="FFFFFF" w:themeFill="background1"/>
              <w:rPr>
                <w:szCs w:val="22"/>
              </w:rPr>
            </w:pPr>
            <w:r w:rsidRPr="00EA7422">
              <w:rPr>
                <w:szCs w:val="22"/>
              </w:rPr>
              <w:t>New system implemented to register green waste collection subscriptions and take payment</w:t>
            </w:r>
          </w:p>
        </w:tc>
      </w:tr>
    </w:tbl>
    <w:p w14:paraId="6D273AE9" w14:textId="77777777" w:rsidR="00557F3D" w:rsidRPr="00CE08D0" w:rsidRDefault="00557F3D" w:rsidP="00557F3D">
      <w:pPr>
        <w:shd w:val="clear" w:color="auto" w:fill="FFFFFF" w:themeFill="background1"/>
        <w:rPr>
          <w:rFonts w:eastAsiaTheme="minorHAnsi"/>
        </w:rPr>
      </w:pPr>
    </w:p>
    <w:p w14:paraId="150BE0FA" w14:textId="77777777" w:rsidR="00557F3D" w:rsidRPr="00EA7422" w:rsidRDefault="00557F3D" w:rsidP="00557F3D">
      <w:pPr>
        <w:ind w:left="131" w:firstLine="720"/>
        <w:rPr>
          <w:i/>
          <w:szCs w:val="22"/>
        </w:rPr>
      </w:pPr>
      <w:r w:rsidRPr="00EA7422">
        <w:rPr>
          <w:i/>
          <w:szCs w:val="22"/>
        </w:rPr>
        <w:t xml:space="preserve">Data Incidents </w:t>
      </w:r>
    </w:p>
    <w:p w14:paraId="03C292B1" w14:textId="77777777" w:rsidR="00557F3D" w:rsidRPr="00CE08D0" w:rsidRDefault="00557F3D" w:rsidP="00557F3D">
      <w:pPr>
        <w:rPr>
          <w:i/>
          <w:color w:val="FF0000"/>
        </w:rPr>
      </w:pPr>
    </w:p>
    <w:p w14:paraId="5A8248CC" w14:textId="77777777" w:rsidR="00557F3D" w:rsidRPr="00CE08D0" w:rsidRDefault="00557F3D" w:rsidP="00557F3D">
      <w:pPr>
        <w:pStyle w:val="Heading3"/>
        <w:keepNext w:val="0"/>
        <w:widowControl w:val="0"/>
        <w:tabs>
          <w:tab w:val="clear" w:pos="720"/>
        </w:tabs>
        <w:spacing w:after="240"/>
        <w:ind w:left="851" w:hanging="851"/>
        <w:jc w:val="left"/>
      </w:pPr>
      <w:r w:rsidRPr="00CE08D0">
        <w:t>Between April 2019 and March 2020, 28 reports of potential data breaches were made. All were investigated to satisfactory conclusion with actions and recommendations completed to mitigate further incidents of a similar nature. 6 data breaches were escalated to the Information Commissioners Office (ICO) in all cases the Council were found to have taken the appropriate measures with all actions completed.</w:t>
      </w:r>
    </w:p>
    <w:p w14:paraId="532F924D" w14:textId="77777777" w:rsidR="00557F3D" w:rsidRPr="00EA7422" w:rsidRDefault="00557F3D" w:rsidP="00557F3D">
      <w:pPr>
        <w:spacing w:after="240"/>
        <w:ind w:left="131" w:firstLine="720"/>
        <w:rPr>
          <w:i/>
          <w:szCs w:val="22"/>
        </w:rPr>
      </w:pPr>
      <w:r w:rsidRPr="00EA7422">
        <w:rPr>
          <w:i/>
          <w:szCs w:val="22"/>
        </w:rPr>
        <w:t xml:space="preserve">Business Continuity </w:t>
      </w:r>
    </w:p>
    <w:p w14:paraId="630C65CB" w14:textId="77777777" w:rsidR="00557F3D" w:rsidRPr="00CE08D0" w:rsidRDefault="00557F3D" w:rsidP="00557F3D">
      <w:pPr>
        <w:pStyle w:val="Heading3"/>
        <w:keepNext w:val="0"/>
        <w:widowControl w:val="0"/>
        <w:tabs>
          <w:tab w:val="clear" w:pos="720"/>
        </w:tabs>
        <w:spacing w:after="240"/>
        <w:ind w:left="851" w:hanging="851"/>
        <w:jc w:val="left"/>
      </w:pPr>
      <w:r w:rsidRPr="00CE08D0">
        <w:t>Specific recovery plans are in place for the five key threats listed below. </w:t>
      </w:r>
    </w:p>
    <w:p w14:paraId="6DAA0412" w14:textId="77777777" w:rsidR="00557F3D" w:rsidRPr="00EA7422" w:rsidRDefault="00557F3D" w:rsidP="00203885">
      <w:pPr>
        <w:pStyle w:val="BulletPoint"/>
        <w:numPr>
          <w:ilvl w:val="0"/>
          <w:numId w:val="36"/>
        </w:numPr>
        <w:rPr>
          <w:sz w:val="22"/>
          <w:szCs w:val="22"/>
        </w:rPr>
      </w:pPr>
      <w:r w:rsidRPr="00EA7422">
        <w:rPr>
          <w:sz w:val="22"/>
          <w:szCs w:val="22"/>
        </w:rPr>
        <w:t>loss of key staff (skills/knowledge);</w:t>
      </w:r>
    </w:p>
    <w:p w14:paraId="2E6B12E3" w14:textId="77777777" w:rsidR="00557F3D" w:rsidRPr="00EA7422" w:rsidRDefault="00557F3D" w:rsidP="00203885">
      <w:pPr>
        <w:pStyle w:val="BulletPoint"/>
        <w:numPr>
          <w:ilvl w:val="0"/>
          <w:numId w:val="36"/>
        </w:numPr>
        <w:rPr>
          <w:sz w:val="22"/>
          <w:szCs w:val="22"/>
        </w:rPr>
      </w:pPr>
      <w:r w:rsidRPr="00EA7422">
        <w:rPr>
          <w:sz w:val="22"/>
          <w:szCs w:val="22"/>
        </w:rPr>
        <w:t>loss of telephone system;</w:t>
      </w:r>
    </w:p>
    <w:p w14:paraId="5CC05B1D" w14:textId="77777777" w:rsidR="00557F3D" w:rsidRPr="00EA7422" w:rsidRDefault="00557F3D" w:rsidP="00203885">
      <w:pPr>
        <w:pStyle w:val="BulletPoint"/>
        <w:numPr>
          <w:ilvl w:val="0"/>
          <w:numId w:val="36"/>
        </w:numPr>
        <w:rPr>
          <w:sz w:val="22"/>
          <w:szCs w:val="22"/>
        </w:rPr>
      </w:pPr>
      <w:r w:rsidRPr="00EA7422">
        <w:rPr>
          <w:sz w:val="22"/>
          <w:szCs w:val="22"/>
        </w:rPr>
        <w:t>loss of buildings;</w:t>
      </w:r>
    </w:p>
    <w:p w14:paraId="5A7460C5" w14:textId="77777777" w:rsidR="00557F3D" w:rsidRPr="00EA7422" w:rsidRDefault="00557F3D" w:rsidP="00203885">
      <w:pPr>
        <w:pStyle w:val="BulletPoint"/>
        <w:numPr>
          <w:ilvl w:val="0"/>
          <w:numId w:val="36"/>
        </w:numPr>
        <w:rPr>
          <w:sz w:val="22"/>
          <w:szCs w:val="22"/>
        </w:rPr>
      </w:pPr>
      <w:r w:rsidRPr="00EA7422">
        <w:rPr>
          <w:sz w:val="22"/>
          <w:szCs w:val="22"/>
        </w:rPr>
        <w:t>loss of ICT and</w:t>
      </w:r>
    </w:p>
    <w:p w14:paraId="3DB13B5C" w14:textId="77777777" w:rsidR="00557F3D" w:rsidRPr="00EA7422" w:rsidRDefault="00557F3D" w:rsidP="00203885">
      <w:pPr>
        <w:pStyle w:val="BulletPoint"/>
        <w:numPr>
          <w:ilvl w:val="0"/>
          <w:numId w:val="36"/>
        </w:numPr>
        <w:rPr>
          <w:rFonts w:eastAsiaTheme="minorHAnsi"/>
          <w:sz w:val="22"/>
          <w:szCs w:val="22"/>
        </w:rPr>
      </w:pPr>
      <w:r w:rsidRPr="00EA7422">
        <w:rPr>
          <w:sz w:val="22"/>
          <w:szCs w:val="22"/>
        </w:rPr>
        <w:t>loss of utilities.</w:t>
      </w:r>
    </w:p>
    <w:p w14:paraId="533F1170" w14:textId="77777777" w:rsidR="00557F3D" w:rsidRDefault="00557F3D" w:rsidP="00557F3D">
      <w:pPr>
        <w:pStyle w:val="Heading3"/>
        <w:keepNext w:val="0"/>
        <w:widowControl w:val="0"/>
        <w:tabs>
          <w:tab w:val="clear" w:pos="720"/>
        </w:tabs>
        <w:spacing w:after="240"/>
        <w:ind w:left="851" w:hanging="851"/>
        <w:jc w:val="left"/>
      </w:pPr>
      <w:r w:rsidRPr="00CE08D0">
        <w:t>The business continuity plans also consider the loss of key suppliers across areas, the impact on services and how quickly service provision can be restored through alternative arrangements.</w:t>
      </w:r>
    </w:p>
    <w:p w14:paraId="358CC76F" w14:textId="77777777" w:rsidR="00557F3D" w:rsidRPr="00CE08D0" w:rsidRDefault="00557F3D" w:rsidP="00557F3D">
      <w:pPr>
        <w:pStyle w:val="Heading3"/>
        <w:keepNext w:val="0"/>
        <w:widowControl w:val="0"/>
        <w:tabs>
          <w:tab w:val="clear" w:pos="720"/>
        </w:tabs>
        <w:spacing w:after="240"/>
        <w:ind w:left="851" w:hanging="851"/>
        <w:jc w:val="left"/>
      </w:pPr>
      <w:r w:rsidRPr="00CE08D0">
        <w:t xml:space="preserve">Current controls include the following:  </w:t>
      </w:r>
    </w:p>
    <w:p w14:paraId="74CBCDAE" w14:textId="77777777" w:rsidR="00557F3D" w:rsidRPr="00EA7422" w:rsidRDefault="00557F3D" w:rsidP="00203885">
      <w:pPr>
        <w:pStyle w:val="BulletPoint"/>
        <w:numPr>
          <w:ilvl w:val="0"/>
          <w:numId w:val="36"/>
        </w:numPr>
        <w:rPr>
          <w:sz w:val="22"/>
          <w:szCs w:val="22"/>
        </w:rPr>
      </w:pPr>
      <w:r w:rsidRPr="00EA7422">
        <w:rPr>
          <w:sz w:val="22"/>
          <w:szCs w:val="22"/>
        </w:rPr>
        <w:t xml:space="preserve">A Business Impact Assessment (BIA) has been carried out to determine which services are critical, how quickly they must be restored and the minimum resources required. </w:t>
      </w:r>
    </w:p>
    <w:p w14:paraId="499E7CAE" w14:textId="77777777" w:rsidR="00557F3D" w:rsidRPr="00EA7422" w:rsidRDefault="00557F3D" w:rsidP="00203885">
      <w:pPr>
        <w:pStyle w:val="BulletPoint"/>
        <w:numPr>
          <w:ilvl w:val="0"/>
          <w:numId w:val="36"/>
        </w:numPr>
        <w:rPr>
          <w:sz w:val="22"/>
          <w:szCs w:val="22"/>
        </w:rPr>
      </w:pPr>
      <w:r w:rsidRPr="00EA7422">
        <w:rPr>
          <w:sz w:val="22"/>
          <w:szCs w:val="22"/>
        </w:rPr>
        <w:t xml:space="preserve">A Major Incident Plan has been prepared which defines a structure to confirm the nature and extent of any incident, take control of the situation, contain the incident and communicate with stakeholders. </w:t>
      </w:r>
    </w:p>
    <w:p w14:paraId="6021EB69" w14:textId="77777777" w:rsidR="00557F3D" w:rsidRPr="00EA7422" w:rsidRDefault="00557F3D" w:rsidP="00203885">
      <w:pPr>
        <w:pStyle w:val="BulletPoint"/>
        <w:numPr>
          <w:ilvl w:val="0"/>
          <w:numId w:val="36"/>
        </w:numPr>
        <w:rPr>
          <w:sz w:val="22"/>
          <w:szCs w:val="22"/>
        </w:rPr>
      </w:pPr>
      <w:r w:rsidRPr="00EA7422">
        <w:rPr>
          <w:sz w:val="22"/>
          <w:szCs w:val="22"/>
        </w:rPr>
        <w:t xml:space="preserve">Business Continuity documents have been uploaded to a secure website (Resilience Direct) to ensure they can be accessed from any site in the event of an incident </w:t>
      </w:r>
    </w:p>
    <w:p w14:paraId="105110EF" w14:textId="77777777" w:rsidR="00557F3D" w:rsidRPr="00EA7422" w:rsidRDefault="00557F3D" w:rsidP="00203885">
      <w:pPr>
        <w:pStyle w:val="BulletPoint"/>
        <w:numPr>
          <w:ilvl w:val="0"/>
          <w:numId w:val="36"/>
        </w:numPr>
        <w:rPr>
          <w:rFonts w:eastAsiaTheme="minorHAnsi"/>
          <w:sz w:val="22"/>
          <w:szCs w:val="22"/>
        </w:rPr>
      </w:pPr>
      <w:r w:rsidRPr="00EA7422">
        <w:rPr>
          <w:sz w:val="22"/>
          <w:szCs w:val="22"/>
        </w:rPr>
        <w:t xml:space="preserve">Contract Procedure Rules include the requirement for contract managers to consider the impact of contractor failure and mitigate the risks appropriately </w:t>
      </w:r>
    </w:p>
    <w:p w14:paraId="110368FC" w14:textId="77777777" w:rsidR="00557F3D" w:rsidRPr="00CE0C2A" w:rsidRDefault="00557F3D" w:rsidP="00557F3D">
      <w:pPr>
        <w:pStyle w:val="Heading3"/>
        <w:keepNext w:val="0"/>
        <w:widowControl w:val="0"/>
        <w:tabs>
          <w:tab w:val="clear" w:pos="720"/>
        </w:tabs>
        <w:spacing w:after="240"/>
        <w:ind w:left="851" w:hanging="851"/>
        <w:jc w:val="left"/>
        <w:rPr>
          <w:lang w:val="en-US"/>
        </w:rPr>
      </w:pPr>
      <w:r w:rsidRPr="00204583">
        <w:rPr>
          <w:lang w:val="en-US"/>
        </w:rPr>
        <w:t xml:space="preserve">Alongside these exercises, the Council’s Resilience Officer has attended every second SMT meeting to provide refresher training on key aspects of emergency planning </w:t>
      </w:r>
      <w:r w:rsidRPr="00CE08D0">
        <w:rPr>
          <w:lang w:val="en-US"/>
        </w:rPr>
        <w:t xml:space="preserve">and to share learning from real incidents such as the Hinckley Road </w:t>
      </w:r>
      <w:r w:rsidRPr="00EA7422">
        <w:rPr>
          <w:szCs w:val="22"/>
          <w:lang w:val="en-US"/>
        </w:rPr>
        <w:t>explosion. (</w:t>
      </w:r>
      <w:r w:rsidRPr="00EA7422">
        <w:rPr>
          <w:rFonts w:cstheme="majorBidi"/>
          <w:szCs w:val="22"/>
          <w:lang w:val="en-US"/>
        </w:rPr>
        <w:t xml:space="preserve">The </w:t>
      </w:r>
      <w:r w:rsidRPr="00EA7422">
        <w:rPr>
          <w:rFonts w:cstheme="majorBidi"/>
          <w:bCs/>
          <w:szCs w:val="22"/>
          <w:lang w:val="en-US"/>
        </w:rPr>
        <w:t>explosion</w:t>
      </w:r>
      <w:r w:rsidRPr="00EA7422">
        <w:rPr>
          <w:rFonts w:cstheme="majorBidi"/>
          <w:szCs w:val="22"/>
          <w:lang w:val="en-US"/>
        </w:rPr>
        <w:t> occurred in February 2018, in Hinckley Road, </w:t>
      </w:r>
      <w:hyperlink r:id="rId27" w:tooltip="Leicester" w:history="1">
        <w:r w:rsidRPr="00EA7422">
          <w:rPr>
            <w:rFonts w:cstheme="majorBidi"/>
            <w:szCs w:val="22"/>
            <w:lang w:val="en-US"/>
          </w:rPr>
          <w:t>Leicester</w:t>
        </w:r>
      </w:hyperlink>
      <w:r w:rsidRPr="00EA7422">
        <w:rPr>
          <w:rFonts w:cstheme="majorBidi"/>
          <w:szCs w:val="22"/>
          <w:lang w:val="en-US"/>
        </w:rPr>
        <w:t xml:space="preserve"> destroyed a  </w:t>
      </w:r>
      <w:hyperlink r:id="rId28" w:tooltip="Convenience store" w:history="1">
        <w:r w:rsidRPr="00EA7422">
          <w:rPr>
            <w:rFonts w:cstheme="majorBidi"/>
            <w:szCs w:val="22"/>
            <w:lang w:val="en-US"/>
          </w:rPr>
          <w:t>convenience store</w:t>
        </w:r>
      </w:hyperlink>
      <w:r w:rsidRPr="00EA7422">
        <w:rPr>
          <w:rFonts w:cstheme="majorBidi"/>
          <w:szCs w:val="22"/>
          <w:lang w:val="en-US"/>
        </w:rPr>
        <w:t xml:space="preserve"> and the two-storey flat above it, hilling five people </w:t>
      </w:r>
      <w:r w:rsidRPr="00EA7422">
        <w:rPr>
          <w:rFonts w:cstheme="majorBidi"/>
          <w:szCs w:val="22"/>
          <w:lang w:val="en-US"/>
        </w:rPr>
        <w:lastRenderedPageBreak/>
        <w:t>and injuring five others)</w:t>
      </w:r>
      <w:r w:rsidRPr="00EA7422">
        <w:rPr>
          <w:szCs w:val="22"/>
          <w:lang w:val="en-US"/>
        </w:rPr>
        <w:t>.</w:t>
      </w:r>
    </w:p>
    <w:p w14:paraId="4ADF3BF3" w14:textId="77777777" w:rsidR="00557F3D" w:rsidRPr="00C974D9" w:rsidRDefault="00557F3D" w:rsidP="00557F3D">
      <w:pPr>
        <w:pStyle w:val="Heading3"/>
        <w:keepNext w:val="0"/>
        <w:widowControl w:val="0"/>
        <w:tabs>
          <w:tab w:val="clear" w:pos="720"/>
        </w:tabs>
        <w:spacing w:after="240"/>
        <w:ind w:left="851" w:hanging="851"/>
        <w:jc w:val="left"/>
        <w:rPr>
          <w:lang w:val="en-US"/>
        </w:rPr>
      </w:pPr>
      <w:r>
        <w:rPr>
          <w:lang w:val="en-US"/>
        </w:rPr>
        <w:t>Some aspects of the plans were put into place as part of the Council’s response to Covid-19. As part of an ongoing lessons learnt exercise, Business Continuity Plans are being reviewed by the Local Resilience Forum and changes will be made if necessary.</w:t>
      </w:r>
    </w:p>
    <w:p w14:paraId="710BC027" w14:textId="77777777" w:rsidR="00557F3D" w:rsidRPr="00EA7422" w:rsidRDefault="00557F3D" w:rsidP="00557F3D">
      <w:pPr>
        <w:spacing w:after="240"/>
        <w:ind w:left="131" w:firstLine="720"/>
        <w:rPr>
          <w:b/>
          <w:color w:val="FF0000"/>
          <w:szCs w:val="22"/>
        </w:rPr>
      </w:pPr>
      <w:r w:rsidRPr="00EA7422">
        <w:rPr>
          <w:i/>
          <w:szCs w:val="22"/>
        </w:rPr>
        <w:t>Management Assurance</w:t>
      </w:r>
      <w:r w:rsidRPr="00EA7422">
        <w:rPr>
          <w:b/>
          <w:szCs w:val="22"/>
        </w:rPr>
        <w:t xml:space="preserve"> </w:t>
      </w:r>
    </w:p>
    <w:p w14:paraId="6AD78111"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Managers have all completed an assurance statement highlighting whether there may be controls issues in their areas. As expected, there are areas where improvements are required as identified through audit reports or other work.  None of the issues raised are considered to be Significant Control issues.</w:t>
      </w:r>
    </w:p>
    <w:p w14:paraId="687F4E67" w14:textId="77777777" w:rsidR="00557F3D" w:rsidRPr="00EA7422" w:rsidRDefault="00557F3D" w:rsidP="00557F3D">
      <w:pPr>
        <w:pStyle w:val="Heading2"/>
        <w:keepNext w:val="0"/>
        <w:widowControl w:val="0"/>
        <w:tabs>
          <w:tab w:val="clear" w:pos="576"/>
        </w:tabs>
        <w:spacing w:after="240"/>
        <w:ind w:left="851" w:hanging="851"/>
        <w:jc w:val="left"/>
        <w:rPr>
          <w:sz w:val="22"/>
          <w:szCs w:val="22"/>
        </w:rPr>
      </w:pPr>
      <w:r w:rsidRPr="00EA7422">
        <w:rPr>
          <w:sz w:val="22"/>
          <w:szCs w:val="22"/>
        </w:rPr>
        <w:t>External Audit, Inspections and Reviews</w:t>
      </w:r>
    </w:p>
    <w:p w14:paraId="76EFAE8A" w14:textId="77777777" w:rsidR="00557F3D" w:rsidRPr="00EA7422" w:rsidRDefault="00557F3D" w:rsidP="00557F3D">
      <w:pPr>
        <w:spacing w:after="240"/>
        <w:ind w:left="131" w:firstLine="720"/>
        <w:rPr>
          <w:i/>
          <w:szCs w:val="22"/>
        </w:rPr>
      </w:pPr>
      <w:r w:rsidRPr="00EA7422">
        <w:rPr>
          <w:i/>
          <w:szCs w:val="22"/>
        </w:rPr>
        <w:t xml:space="preserve">External Audit </w:t>
      </w:r>
    </w:p>
    <w:p w14:paraId="6407DE44"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 xml:space="preserve">The Audit and Risk Committee has received and formally debated the Annual Audit Letter and External Audit Annual Plan.  The new auditors Grant Thornton, in their Annual Governance Report for 2018/19 gave the Council an unqualified conclusion on the Statement of Accounts and Value for Money opinion. No concerns were reported regarding the Council’s arrangements for securing financial resilience.    </w:t>
      </w:r>
    </w:p>
    <w:p w14:paraId="1CE6B38B" w14:textId="77777777" w:rsidR="00557F3D" w:rsidRPr="00EA7422" w:rsidRDefault="00557F3D" w:rsidP="00557F3D">
      <w:pPr>
        <w:autoSpaceDE w:val="0"/>
        <w:autoSpaceDN w:val="0"/>
        <w:adjustRightInd w:val="0"/>
        <w:ind w:left="720" w:firstLine="131"/>
        <w:rPr>
          <w:i/>
          <w:szCs w:val="22"/>
        </w:rPr>
      </w:pPr>
      <w:r w:rsidRPr="00EA7422">
        <w:rPr>
          <w:i/>
          <w:szCs w:val="22"/>
        </w:rPr>
        <w:t>OFSTED Focused Visit to Children’s Services</w:t>
      </w:r>
    </w:p>
    <w:p w14:paraId="598290FE" w14:textId="77777777" w:rsidR="00557F3D" w:rsidRPr="00EA7422" w:rsidRDefault="00557F3D" w:rsidP="00557F3D">
      <w:pPr>
        <w:autoSpaceDE w:val="0"/>
        <w:autoSpaceDN w:val="0"/>
        <w:adjustRightInd w:val="0"/>
        <w:rPr>
          <w:szCs w:val="22"/>
        </w:rPr>
      </w:pPr>
    </w:p>
    <w:p w14:paraId="010154A4"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 xml:space="preserve">In March 2019 inspectors looked at the Council’s arrangements for contacts and referrals. They also considered the effectiveness of strategy discussions and section 47 enquiries, the quality of assessments and early plans, the effectiveness of the designated officer role in investigating allegations against professionals, and support for children who are subject to or at risk of exploitation.  </w:t>
      </w:r>
    </w:p>
    <w:p w14:paraId="2B18CE6D"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The report was published in May 2019 and whilst some positive elements were noted in the report the overall rating was "requires improvement".  The letter from Ofsted giving their findings can be found here.</w:t>
      </w:r>
    </w:p>
    <w:p w14:paraId="71B403F0"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 xml:space="preserve">The full report can be found here: </w:t>
      </w:r>
      <w:hyperlink r:id="rId29" w:history="1">
        <w:r w:rsidRPr="00EA7422">
          <w:rPr>
            <w:rStyle w:val="Hyperlink"/>
            <w:szCs w:val="22"/>
          </w:rPr>
          <w:t>https://files.ofsted.gov.uk/v1/file/50074940</w:t>
        </w:r>
      </w:hyperlink>
      <w:r w:rsidRPr="00EA7422" w:rsidDel="008D6610">
        <w:rPr>
          <w:szCs w:val="22"/>
        </w:rPr>
        <w:t xml:space="preserve"> </w:t>
      </w:r>
    </w:p>
    <w:p w14:paraId="2207F973"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The Council’s Children and Young People Scrutiny Committee took this report and an update on actions at its June meeting.  Details can be found below:</w:t>
      </w:r>
    </w:p>
    <w:p w14:paraId="26F97830" w14:textId="77777777" w:rsidR="00557F3D" w:rsidRPr="00EA7422" w:rsidRDefault="00661E70" w:rsidP="00557F3D">
      <w:pPr>
        <w:pStyle w:val="Heading3"/>
        <w:numPr>
          <w:ilvl w:val="0"/>
          <w:numId w:val="0"/>
        </w:numPr>
        <w:ind w:left="851"/>
        <w:rPr>
          <w:szCs w:val="22"/>
        </w:rPr>
      </w:pPr>
      <w:hyperlink r:id="rId30" w:history="1">
        <w:r w:rsidR="00557F3D" w:rsidRPr="00EA7422">
          <w:rPr>
            <w:rStyle w:val="Hyperlink"/>
            <w:szCs w:val="22"/>
          </w:rPr>
          <w:t>https://rutlandcounty.moderngov.co.uk/ieListDocuments.aspx?CId=132&amp;MId=2100</w:t>
        </w:r>
      </w:hyperlink>
    </w:p>
    <w:p w14:paraId="4B8480E2" w14:textId="77777777" w:rsidR="00557F3D" w:rsidRPr="00EA7422" w:rsidRDefault="00557F3D" w:rsidP="00557F3D">
      <w:pPr>
        <w:autoSpaceDE w:val="0"/>
        <w:autoSpaceDN w:val="0"/>
        <w:adjustRightInd w:val="0"/>
        <w:ind w:left="131" w:firstLine="720"/>
        <w:rPr>
          <w:i/>
          <w:szCs w:val="22"/>
        </w:rPr>
      </w:pPr>
      <w:r w:rsidRPr="00EA7422">
        <w:rPr>
          <w:i/>
          <w:szCs w:val="22"/>
        </w:rPr>
        <w:t>OFSTED Visit to Children’s Services (March 2020)</w:t>
      </w:r>
    </w:p>
    <w:p w14:paraId="355147D4" w14:textId="77777777" w:rsidR="00557F3D" w:rsidRPr="00EA7422" w:rsidRDefault="00557F3D" w:rsidP="00557F3D">
      <w:pPr>
        <w:autoSpaceDE w:val="0"/>
        <w:autoSpaceDN w:val="0"/>
        <w:adjustRightInd w:val="0"/>
        <w:rPr>
          <w:szCs w:val="22"/>
        </w:rPr>
      </w:pPr>
    </w:p>
    <w:p w14:paraId="0A3D4ECF"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In March 2020, OFSTED undertook a week-long review and concluded that:</w:t>
      </w:r>
    </w:p>
    <w:p w14:paraId="6D0516EA"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“Children’s social care services in Rutland continue to require improvement to be good and have not improved since the last inspection in 2016. A number of the areas that were identified as needing improvement in the last inspection have not been addressed. Over the last year, leaders have rightly recognised some key weaknesses across the service. Strategic leadership has been strengthened. An improvement plan is being implemented and has had a partially positive impact, resulting in a strong early help service for children and families and an effective front door and assessment service. However, for children who need longer-term support, the service is not good enough.</w:t>
      </w:r>
    </w:p>
    <w:p w14:paraId="774D064A"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 xml:space="preserve">Management oversight and decision-making to ensure that children’s cases are </w:t>
      </w:r>
      <w:r w:rsidRPr="00EA7422">
        <w:rPr>
          <w:szCs w:val="22"/>
        </w:rPr>
        <w:lastRenderedPageBreak/>
        <w:t xml:space="preserve">comprehensively overseen and that their progress is closely reviewed. </w:t>
      </w:r>
    </w:p>
    <w:p w14:paraId="60F74BAD" w14:textId="77777777" w:rsidR="00557F3D" w:rsidRPr="00EA7422" w:rsidRDefault="00557F3D" w:rsidP="00203885">
      <w:pPr>
        <w:pStyle w:val="BulletPoint"/>
        <w:numPr>
          <w:ilvl w:val="0"/>
          <w:numId w:val="36"/>
        </w:numPr>
        <w:rPr>
          <w:sz w:val="22"/>
          <w:szCs w:val="22"/>
        </w:rPr>
      </w:pPr>
      <w:r w:rsidRPr="00EA7422">
        <w:rPr>
          <w:sz w:val="22"/>
          <w:szCs w:val="22"/>
        </w:rPr>
        <w:t>The quality of assessments and plans to ensure that they identify needs and lead to improvements in children’s well-being.</w:t>
      </w:r>
    </w:p>
    <w:p w14:paraId="0A1F235D" w14:textId="77777777" w:rsidR="00557F3D" w:rsidRPr="00EA7422" w:rsidRDefault="00557F3D" w:rsidP="00203885">
      <w:pPr>
        <w:pStyle w:val="BulletPoint"/>
        <w:numPr>
          <w:ilvl w:val="0"/>
          <w:numId w:val="36"/>
        </w:numPr>
        <w:rPr>
          <w:sz w:val="22"/>
          <w:szCs w:val="22"/>
        </w:rPr>
      </w:pPr>
      <w:r w:rsidRPr="00EA7422">
        <w:rPr>
          <w:sz w:val="22"/>
          <w:szCs w:val="22"/>
        </w:rPr>
        <w:t>Commissioning and contract monitoring arrangements, to increase the sufficiency and quality of commissioned services, including placement matching for disabled children and those with complex needs.</w:t>
      </w:r>
    </w:p>
    <w:p w14:paraId="679C4F65" w14:textId="77777777" w:rsidR="00557F3D" w:rsidRPr="00EA7422" w:rsidRDefault="00557F3D" w:rsidP="00203885">
      <w:pPr>
        <w:pStyle w:val="BulletPoint"/>
        <w:numPr>
          <w:ilvl w:val="0"/>
          <w:numId w:val="36"/>
        </w:numPr>
        <w:rPr>
          <w:sz w:val="22"/>
          <w:szCs w:val="22"/>
        </w:rPr>
      </w:pPr>
      <w:r w:rsidRPr="00EA7422">
        <w:rPr>
          <w:sz w:val="22"/>
          <w:szCs w:val="22"/>
        </w:rPr>
        <w:t>The housing offer for vulnerable young people and care leavers, including addressing the use of bed and breakfast accommodation.</w:t>
      </w:r>
    </w:p>
    <w:p w14:paraId="729EC0C3" w14:textId="77777777" w:rsidR="00557F3D" w:rsidRPr="00EA7422" w:rsidRDefault="00557F3D" w:rsidP="00203885">
      <w:pPr>
        <w:pStyle w:val="BulletPoint"/>
        <w:numPr>
          <w:ilvl w:val="0"/>
          <w:numId w:val="36"/>
        </w:numPr>
        <w:rPr>
          <w:sz w:val="22"/>
          <w:szCs w:val="22"/>
        </w:rPr>
      </w:pPr>
      <w:r w:rsidRPr="00EA7422">
        <w:rPr>
          <w:sz w:val="22"/>
          <w:szCs w:val="22"/>
        </w:rPr>
        <w:t>The use of the pre-proceedings phase of the public law outline, to ensure that parents can make changes within a legal framework and that children come into care when they need to.</w:t>
      </w:r>
    </w:p>
    <w:p w14:paraId="4F55E855" w14:textId="77777777" w:rsidR="00557F3D" w:rsidRPr="00EA7422" w:rsidRDefault="00557F3D" w:rsidP="00203885">
      <w:pPr>
        <w:pStyle w:val="BulletPoint"/>
        <w:numPr>
          <w:ilvl w:val="0"/>
          <w:numId w:val="36"/>
        </w:numPr>
        <w:rPr>
          <w:sz w:val="22"/>
          <w:szCs w:val="22"/>
        </w:rPr>
      </w:pPr>
      <w:r w:rsidRPr="00EA7422">
        <w:rPr>
          <w:sz w:val="22"/>
          <w:szCs w:val="22"/>
        </w:rPr>
        <w:t>Early permanence planning for children.</w:t>
      </w:r>
    </w:p>
    <w:p w14:paraId="2DBEE982" w14:textId="77777777" w:rsidR="00557F3D" w:rsidRPr="00EA7422" w:rsidRDefault="00557F3D" w:rsidP="00203885">
      <w:pPr>
        <w:pStyle w:val="BulletPoint"/>
        <w:numPr>
          <w:ilvl w:val="0"/>
          <w:numId w:val="36"/>
        </w:numPr>
        <w:rPr>
          <w:sz w:val="22"/>
          <w:szCs w:val="22"/>
        </w:rPr>
      </w:pPr>
      <w:r w:rsidRPr="00EA7422">
        <w:rPr>
          <w:sz w:val="22"/>
          <w:szCs w:val="22"/>
        </w:rPr>
        <w:t>The timeliness of foster carer annual reviews.”</w:t>
      </w:r>
    </w:p>
    <w:p w14:paraId="1010F7E5" w14:textId="77777777" w:rsidR="00557F3D" w:rsidRPr="00EA7422" w:rsidRDefault="00557F3D" w:rsidP="00557F3D">
      <w:pPr>
        <w:autoSpaceDE w:val="0"/>
        <w:autoSpaceDN w:val="0"/>
        <w:adjustRightInd w:val="0"/>
        <w:rPr>
          <w:b/>
          <w:szCs w:val="22"/>
        </w:rPr>
      </w:pPr>
    </w:p>
    <w:p w14:paraId="7602D398"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 xml:space="preserve">The full report can be found here.  </w:t>
      </w:r>
      <w:hyperlink r:id="rId31" w:history="1">
        <w:r w:rsidRPr="00EA7422">
          <w:rPr>
            <w:rStyle w:val="Hyperlink"/>
            <w:szCs w:val="22"/>
          </w:rPr>
          <w:t>https://files.ofsted.gov.uk/v1/file/50150005</w:t>
        </w:r>
      </w:hyperlink>
      <w:r w:rsidRPr="00EA7422">
        <w:rPr>
          <w:szCs w:val="22"/>
        </w:rPr>
        <w:t xml:space="preserve">.  </w:t>
      </w:r>
    </w:p>
    <w:p w14:paraId="657C7264"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 xml:space="preserve">The Council does have an action plan which was reported to Scrutiny in August 2020.  The report can be found here: </w:t>
      </w:r>
      <w:hyperlink r:id="rId32" w:history="1">
        <w:r w:rsidRPr="00EA7422">
          <w:rPr>
            <w:rStyle w:val="Hyperlink"/>
            <w:szCs w:val="22"/>
          </w:rPr>
          <w:t>https://rutlandcounty.moderngov.co.uk/ieListDocuments.aspx?CId=132&amp;MId=2295</w:t>
        </w:r>
      </w:hyperlink>
    </w:p>
    <w:p w14:paraId="723D500D" w14:textId="77777777" w:rsidR="00557F3D" w:rsidRPr="00EA7422" w:rsidRDefault="00557F3D" w:rsidP="00557F3D">
      <w:pPr>
        <w:autoSpaceDE w:val="0"/>
        <w:autoSpaceDN w:val="0"/>
        <w:adjustRightInd w:val="0"/>
        <w:rPr>
          <w:b/>
          <w:szCs w:val="22"/>
        </w:rPr>
      </w:pPr>
    </w:p>
    <w:p w14:paraId="3534E7E0" w14:textId="77777777" w:rsidR="00557F3D" w:rsidRPr="00EA7422" w:rsidRDefault="00557F3D" w:rsidP="00557F3D">
      <w:pPr>
        <w:autoSpaceDE w:val="0"/>
        <w:autoSpaceDN w:val="0"/>
        <w:adjustRightInd w:val="0"/>
        <w:rPr>
          <w:i/>
          <w:szCs w:val="22"/>
        </w:rPr>
      </w:pPr>
      <w:r w:rsidRPr="00EA7422">
        <w:rPr>
          <w:i/>
          <w:szCs w:val="22"/>
        </w:rPr>
        <w:t>SEND Peer Review November 2019</w:t>
      </w:r>
    </w:p>
    <w:p w14:paraId="49B05E9B" w14:textId="77777777" w:rsidR="00557F3D" w:rsidRPr="00EA7422" w:rsidRDefault="00557F3D" w:rsidP="00557F3D">
      <w:pPr>
        <w:autoSpaceDE w:val="0"/>
        <w:autoSpaceDN w:val="0"/>
        <w:adjustRightInd w:val="0"/>
        <w:rPr>
          <w:b/>
          <w:szCs w:val="22"/>
        </w:rPr>
      </w:pPr>
    </w:p>
    <w:p w14:paraId="0E2A3F2C"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The SEND Review was a two day programme led by colleagues from Derbyshire County Council.  The agreed areas of focus were:</w:t>
      </w:r>
    </w:p>
    <w:p w14:paraId="05C62CD1" w14:textId="77777777" w:rsidR="00557F3D" w:rsidRPr="00EA7422" w:rsidRDefault="00557F3D" w:rsidP="00203885">
      <w:pPr>
        <w:pStyle w:val="BulletPoint"/>
        <w:numPr>
          <w:ilvl w:val="0"/>
          <w:numId w:val="36"/>
        </w:numPr>
        <w:rPr>
          <w:sz w:val="22"/>
          <w:szCs w:val="22"/>
        </w:rPr>
      </w:pPr>
      <w:r w:rsidRPr="00EA7422">
        <w:rPr>
          <w:sz w:val="22"/>
          <w:szCs w:val="22"/>
        </w:rPr>
        <w:t>The effectiveness of Rutland’s integrated offer for children and young people with SEND, testing this with our Rutland children and families and partners;</w:t>
      </w:r>
    </w:p>
    <w:p w14:paraId="1EB1F963" w14:textId="77777777" w:rsidR="00557F3D" w:rsidRPr="00EA7422" w:rsidRDefault="00557F3D" w:rsidP="00203885">
      <w:pPr>
        <w:pStyle w:val="BulletPoint"/>
        <w:numPr>
          <w:ilvl w:val="0"/>
          <w:numId w:val="36"/>
        </w:numPr>
        <w:rPr>
          <w:sz w:val="22"/>
          <w:szCs w:val="22"/>
        </w:rPr>
      </w:pPr>
      <w:r w:rsidRPr="00EA7422">
        <w:rPr>
          <w:sz w:val="22"/>
          <w:szCs w:val="22"/>
        </w:rPr>
        <w:t>The effectiveness of our arrangements for preparation for adulthood and independence;</w:t>
      </w:r>
    </w:p>
    <w:p w14:paraId="2CB90BEE" w14:textId="77777777" w:rsidR="00557F3D" w:rsidRPr="00EA7422" w:rsidRDefault="00557F3D" w:rsidP="00203885">
      <w:pPr>
        <w:pStyle w:val="BulletPoint"/>
        <w:numPr>
          <w:ilvl w:val="0"/>
          <w:numId w:val="36"/>
        </w:numPr>
        <w:rPr>
          <w:sz w:val="22"/>
          <w:szCs w:val="22"/>
        </w:rPr>
      </w:pPr>
      <w:r w:rsidRPr="00EA7422">
        <w:rPr>
          <w:sz w:val="22"/>
          <w:szCs w:val="22"/>
        </w:rPr>
        <w:t>The effectiveness of our practice in Rutland</w:t>
      </w:r>
    </w:p>
    <w:p w14:paraId="520B6F71" w14:textId="77777777" w:rsidR="00557F3D" w:rsidRPr="00EA7422" w:rsidRDefault="00557F3D" w:rsidP="00203885">
      <w:pPr>
        <w:pStyle w:val="BulletPoint"/>
        <w:numPr>
          <w:ilvl w:val="0"/>
          <w:numId w:val="36"/>
        </w:numPr>
        <w:rPr>
          <w:sz w:val="22"/>
          <w:szCs w:val="22"/>
        </w:rPr>
      </w:pPr>
      <w:r w:rsidRPr="00EA7422">
        <w:rPr>
          <w:sz w:val="22"/>
          <w:szCs w:val="22"/>
        </w:rPr>
        <w:t>Progress made since SEND inspection in 2017</w:t>
      </w:r>
    </w:p>
    <w:p w14:paraId="1BBF34EB" w14:textId="77777777" w:rsidR="00557F3D" w:rsidRPr="00EA7422" w:rsidRDefault="00557F3D" w:rsidP="00557F3D">
      <w:pPr>
        <w:autoSpaceDE w:val="0"/>
        <w:autoSpaceDN w:val="0"/>
        <w:adjustRightInd w:val="0"/>
        <w:rPr>
          <w:szCs w:val="22"/>
        </w:rPr>
      </w:pPr>
    </w:p>
    <w:p w14:paraId="115DE04F"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The findings and feedback were positive, highlighting:</w:t>
      </w:r>
    </w:p>
    <w:p w14:paraId="5972EE5F" w14:textId="77777777" w:rsidR="00557F3D" w:rsidRPr="00EA7422" w:rsidRDefault="00557F3D" w:rsidP="00203885">
      <w:pPr>
        <w:pStyle w:val="BulletPoint"/>
        <w:numPr>
          <w:ilvl w:val="0"/>
          <w:numId w:val="36"/>
        </w:numPr>
        <w:rPr>
          <w:sz w:val="22"/>
          <w:szCs w:val="22"/>
        </w:rPr>
      </w:pPr>
      <w:r w:rsidRPr="00EA7422">
        <w:rPr>
          <w:sz w:val="22"/>
          <w:szCs w:val="22"/>
        </w:rPr>
        <w:t>The integrated Early Help SEND and Inclusion offer has made a difference to the experience and outcomes for children and families and enabled a more joined up and flexible approach to meeting children’s needs.</w:t>
      </w:r>
    </w:p>
    <w:p w14:paraId="292F8AC7" w14:textId="77777777" w:rsidR="00557F3D" w:rsidRPr="00EA7422" w:rsidRDefault="00557F3D" w:rsidP="00203885">
      <w:pPr>
        <w:pStyle w:val="BulletPoint"/>
        <w:numPr>
          <w:ilvl w:val="0"/>
          <w:numId w:val="36"/>
        </w:numPr>
        <w:rPr>
          <w:sz w:val="22"/>
          <w:szCs w:val="22"/>
        </w:rPr>
      </w:pPr>
      <w:r w:rsidRPr="00EA7422">
        <w:rPr>
          <w:sz w:val="22"/>
          <w:szCs w:val="22"/>
        </w:rPr>
        <w:t>There is a positive culture of joint working in the best interests of children within Rutland County Council and between partner agencies which finds ways to meet children’s needs.</w:t>
      </w:r>
    </w:p>
    <w:p w14:paraId="1FEBCD16" w14:textId="77777777" w:rsidR="00557F3D" w:rsidRPr="00EA7422" w:rsidRDefault="00557F3D" w:rsidP="00203885">
      <w:pPr>
        <w:pStyle w:val="BulletPoint"/>
        <w:numPr>
          <w:ilvl w:val="0"/>
          <w:numId w:val="36"/>
        </w:numPr>
        <w:rPr>
          <w:sz w:val="22"/>
          <w:szCs w:val="22"/>
        </w:rPr>
      </w:pPr>
      <w:r w:rsidRPr="00EA7422">
        <w:rPr>
          <w:sz w:val="22"/>
          <w:szCs w:val="22"/>
        </w:rPr>
        <w:lastRenderedPageBreak/>
        <w:t>Significant progress has been made in some areas since the SEND inspection (2017), especially with the Education Psychology service, SENDIASS and some improvement in the Local Offer and publicity.</w:t>
      </w:r>
    </w:p>
    <w:p w14:paraId="342781D6" w14:textId="77777777" w:rsidR="00557F3D" w:rsidRPr="00EA7422" w:rsidRDefault="00557F3D" w:rsidP="00557F3D">
      <w:pPr>
        <w:pStyle w:val="Heading3"/>
        <w:keepNext w:val="0"/>
        <w:widowControl w:val="0"/>
        <w:tabs>
          <w:tab w:val="clear" w:pos="720"/>
        </w:tabs>
        <w:spacing w:after="240"/>
        <w:ind w:left="851" w:hanging="851"/>
        <w:jc w:val="left"/>
        <w:rPr>
          <w:szCs w:val="22"/>
        </w:rPr>
      </w:pPr>
      <w:r w:rsidRPr="00EA7422">
        <w:rPr>
          <w:szCs w:val="22"/>
        </w:rPr>
        <w:t>In response to the SEND peer review:</w:t>
      </w:r>
    </w:p>
    <w:p w14:paraId="6AACB519" w14:textId="77777777" w:rsidR="00557F3D" w:rsidRPr="00EA7422" w:rsidRDefault="00557F3D" w:rsidP="00203885">
      <w:pPr>
        <w:pStyle w:val="BulletPoint"/>
        <w:numPr>
          <w:ilvl w:val="0"/>
          <w:numId w:val="36"/>
        </w:numPr>
        <w:rPr>
          <w:sz w:val="22"/>
          <w:szCs w:val="22"/>
        </w:rPr>
      </w:pPr>
      <w:r w:rsidRPr="00EA7422">
        <w:rPr>
          <w:sz w:val="22"/>
          <w:szCs w:val="22"/>
        </w:rPr>
        <w:t xml:space="preserve">Our SEND service continues to meet its legal timescales, (100% compared to the national figure of 69%), </w:t>
      </w:r>
    </w:p>
    <w:p w14:paraId="7EAC6F6C" w14:textId="77777777" w:rsidR="00557F3D" w:rsidRPr="00EA7422" w:rsidRDefault="00557F3D" w:rsidP="00203885">
      <w:pPr>
        <w:pStyle w:val="BulletPoint"/>
        <w:numPr>
          <w:ilvl w:val="0"/>
          <w:numId w:val="36"/>
        </w:numPr>
        <w:rPr>
          <w:rFonts w:eastAsiaTheme="minorHAnsi"/>
          <w:color w:val="000000"/>
          <w:sz w:val="22"/>
          <w:szCs w:val="22"/>
        </w:rPr>
      </w:pPr>
      <w:r w:rsidRPr="00EA7422">
        <w:rPr>
          <w:sz w:val="22"/>
          <w:szCs w:val="22"/>
        </w:rPr>
        <w:t>The quality of Education Health and Care Plans (EHCP) and Care Plans has improved and parents are positive about ‘getting to know you’ meetings and annual reviews.</w:t>
      </w:r>
    </w:p>
    <w:p w14:paraId="383B7F4A" w14:textId="77777777" w:rsidR="00557F3D" w:rsidRPr="00EA7422" w:rsidRDefault="00557F3D" w:rsidP="00203885">
      <w:pPr>
        <w:pStyle w:val="BulletPoint"/>
        <w:numPr>
          <w:ilvl w:val="0"/>
          <w:numId w:val="36"/>
        </w:numPr>
        <w:rPr>
          <w:rFonts w:eastAsiaTheme="minorHAnsi"/>
          <w:color w:val="000000"/>
          <w:sz w:val="22"/>
          <w:szCs w:val="22"/>
        </w:rPr>
      </w:pPr>
      <w:r w:rsidRPr="00EA7422">
        <w:rPr>
          <w:rFonts w:eastAsiaTheme="minorHAnsi"/>
          <w:color w:val="000000"/>
          <w:sz w:val="22"/>
          <w:szCs w:val="22"/>
        </w:rPr>
        <w:t xml:space="preserve">Responded to feedback from young people, who said they wanted more support to develop independence skills. Programmes are starting to be delivered to groups of young people, with the young people deciding which areas they want to focus on. </w:t>
      </w:r>
    </w:p>
    <w:p w14:paraId="5D8F19DD" w14:textId="77777777" w:rsidR="00557F3D" w:rsidRPr="00EA7422" w:rsidRDefault="00557F3D" w:rsidP="00557F3D">
      <w:pPr>
        <w:autoSpaceDE w:val="0"/>
        <w:autoSpaceDN w:val="0"/>
        <w:adjustRightInd w:val="0"/>
        <w:ind w:left="131" w:firstLine="720"/>
        <w:rPr>
          <w:rFonts w:eastAsiaTheme="minorHAnsi"/>
          <w:i/>
          <w:szCs w:val="22"/>
        </w:rPr>
      </w:pPr>
      <w:r w:rsidRPr="00EA7422">
        <w:rPr>
          <w:rFonts w:eastAsiaTheme="minorHAnsi"/>
          <w:i/>
          <w:szCs w:val="22"/>
        </w:rPr>
        <w:t>LGA Peer Review</w:t>
      </w:r>
    </w:p>
    <w:p w14:paraId="55E02746" w14:textId="77777777" w:rsidR="00557F3D" w:rsidRPr="00EA7422" w:rsidRDefault="00557F3D" w:rsidP="00557F3D">
      <w:pPr>
        <w:autoSpaceDE w:val="0"/>
        <w:autoSpaceDN w:val="0"/>
        <w:adjustRightInd w:val="0"/>
        <w:rPr>
          <w:rFonts w:eastAsiaTheme="minorHAnsi"/>
          <w:i/>
          <w:szCs w:val="22"/>
        </w:rPr>
      </w:pPr>
    </w:p>
    <w:p w14:paraId="134F892A" w14:textId="77777777" w:rsidR="00557F3D" w:rsidRPr="00EA7422" w:rsidRDefault="00557F3D" w:rsidP="00557F3D">
      <w:pPr>
        <w:pStyle w:val="Heading3"/>
        <w:keepNext w:val="0"/>
        <w:widowControl w:val="0"/>
        <w:tabs>
          <w:tab w:val="clear" w:pos="720"/>
        </w:tabs>
        <w:spacing w:after="240"/>
        <w:ind w:left="851" w:hanging="851"/>
        <w:jc w:val="left"/>
        <w:rPr>
          <w:rFonts w:eastAsiaTheme="minorHAnsi"/>
          <w:szCs w:val="22"/>
        </w:rPr>
      </w:pPr>
      <w:r w:rsidRPr="00EA7422">
        <w:rPr>
          <w:rFonts w:eastAsiaTheme="minorHAnsi"/>
          <w:szCs w:val="22"/>
        </w:rPr>
        <w:t xml:space="preserve">In November, the Council was the subject of an LGA Peer Challenge.  The peer team considered the following five questions which they believe are critical to councils’ performance and improvement: </w:t>
      </w:r>
    </w:p>
    <w:p w14:paraId="6D4DD6D6" w14:textId="77777777" w:rsidR="00557F3D" w:rsidRPr="00EA7422" w:rsidRDefault="00557F3D" w:rsidP="00557F3D">
      <w:pPr>
        <w:autoSpaceDE w:val="0"/>
        <w:autoSpaceDN w:val="0"/>
        <w:adjustRightInd w:val="0"/>
        <w:ind w:left="851"/>
        <w:rPr>
          <w:rFonts w:eastAsiaTheme="minorHAnsi"/>
          <w:color w:val="000000"/>
          <w:szCs w:val="22"/>
        </w:rPr>
      </w:pPr>
      <w:r w:rsidRPr="00EA7422">
        <w:rPr>
          <w:rFonts w:eastAsiaTheme="minorHAnsi"/>
          <w:color w:val="000000"/>
          <w:szCs w:val="22"/>
        </w:rPr>
        <w:t xml:space="preserve">1. Does the Council understand its local context and place and use that to inform a clear vision and set of priorities? </w:t>
      </w:r>
    </w:p>
    <w:p w14:paraId="5E37D3FD" w14:textId="77777777" w:rsidR="00557F3D" w:rsidRPr="00EA7422" w:rsidRDefault="00557F3D" w:rsidP="00557F3D">
      <w:pPr>
        <w:autoSpaceDE w:val="0"/>
        <w:autoSpaceDN w:val="0"/>
        <w:adjustRightInd w:val="0"/>
        <w:ind w:left="851"/>
        <w:rPr>
          <w:rFonts w:eastAsiaTheme="minorHAnsi"/>
          <w:color w:val="000000"/>
          <w:szCs w:val="22"/>
        </w:rPr>
      </w:pPr>
    </w:p>
    <w:p w14:paraId="1ECC81AE" w14:textId="77777777" w:rsidR="00557F3D" w:rsidRPr="00EA7422" w:rsidRDefault="00557F3D" w:rsidP="00557F3D">
      <w:pPr>
        <w:autoSpaceDE w:val="0"/>
        <w:autoSpaceDN w:val="0"/>
        <w:adjustRightInd w:val="0"/>
        <w:ind w:left="851"/>
        <w:rPr>
          <w:rFonts w:eastAsiaTheme="minorHAnsi"/>
          <w:color w:val="000000"/>
          <w:szCs w:val="22"/>
        </w:rPr>
      </w:pPr>
      <w:r w:rsidRPr="00EA7422">
        <w:rPr>
          <w:rFonts w:eastAsiaTheme="minorHAnsi"/>
          <w:color w:val="000000"/>
          <w:szCs w:val="22"/>
        </w:rPr>
        <w:t xml:space="preserve">2. Does the Council provide effective leadership of place through its elected members, officers and constructive relationships and partnerships with external stakeholders? </w:t>
      </w:r>
    </w:p>
    <w:p w14:paraId="2697B1DA" w14:textId="77777777" w:rsidR="00557F3D" w:rsidRPr="00EA7422" w:rsidRDefault="00557F3D" w:rsidP="00557F3D">
      <w:pPr>
        <w:autoSpaceDE w:val="0"/>
        <w:autoSpaceDN w:val="0"/>
        <w:adjustRightInd w:val="0"/>
        <w:ind w:left="851"/>
        <w:rPr>
          <w:rFonts w:eastAsiaTheme="minorHAnsi"/>
          <w:color w:val="000000"/>
          <w:szCs w:val="22"/>
        </w:rPr>
      </w:pPr>
    </w:p>
    <w:p w14:paraId="248EB02B" w14:textId="77777777" w:rsidR="00557F3D" w:rsidRPr="00EA7422" w:rsidRDefault="00557F3D" w:rsidP="00557F3D">
      <w:pPr>
        <w:autoSpaceDE w:val="0"/>
        <w:autoSpaceDN w:val="0"/>
        <w:adjustRightInd w:val="0"/>
        <w:ind w:left="851"/>
        <w:rPr>
          <w:rFonts w:eastAsiaTheme="minorHAnsi"/>
          <w:color w:val="000000"/>
          <w:szCs w:val="22"/>
        </w:rPr>
      </w:pPr>
      <w:r w:rsidRPr="00EA7422">
        <w:rPr>
          <w:rFonts w:eastAsiaTheme="minorHAnsi"/>
          <w:color w:val="000000"/>
          <w:szCs w:val="22"/>
        </w:rPr>
        <w:t xml:space="preserve">3. Is there effective political and managerial leadership supported by good governance and decision-making arrangements that respond to key challenges and enable change and transformation to be implemented? </w:t>
      </w:r>
    </w:p>
    <w:p w14:paraId="11092F66" w14:textId="77777777" w:rsidR="00557F3D" w:rsidRPr="00EA7422" w:rsidRDefault="00557F3D" w:rsidP="00557F3D">
      <w:pPr>
        <w:autoSpaceDE w:val="0"/>
        <w:autoSpaceDN w:val="0"/>
        <w:adjustRightInd w:val="0"/>
        <w:ind w:left="851"/>
        <w:rPr>
          <w:rFonts w:eastAsiaTheme="minorHAnsi"/>
          <w:color w:val="000000"/>
          <w:szCs w:val="22"/>
        </w:rPr>
      </w:pPr>
    </w:p>
    <w:p w14:paraId="286C245D" w14:textId="77777777" w:rsidR="00557F3D" w:rsidRPr="00EA7422" w:rsidRDefault="00557F3D" w:rsidP="00557F3D">
      <w:pPr>
        <w:autoSpaceDE w:val="0"/>
        <w:autoSpaceDN w:val="0"/>
        <w:adjustRightInd w:val="0"/>
        <w:ind w:left="851"/>
        <w:rPr>
          <w:rFonts w:eastAsiaTheme="minorHAnsi"/>
          <w:color w:val="000000"/>
          <w:szCs w:val="22"/>
        </w:rPr>
      </w:pPr>
      <w:r w:rsidRPr="00EA7422">
        <w:rPr>
          <w:rFonts w:eastAsiaTheme="minorHAnsi"/>
          <w:color w:val="000000"/>
          <w:szCs w:val="22"/>
        </w:rPr>
        <w:t xml:space="preserve">4. Does the Council have a financial plan in place to ensure long term viability and is there evidence that it is being implemented successfully? </w:t>
      </w:r>
    </w:p>
    <w:p w14:paraId="57BBC220" w14:textId="77777777" w:rsidR="00557F3D" w:rsidRPr="00EA7422" w:rsidRDefault="00557F3D" w:rsidP="00557F3D">
      <w:pPr>
        <w:autoSpaceDE w:val="0"/>
        <w:autoSpaceDN w:val="0"/>
        <w:adjustRightInd w:val="0"/>
        <w:ind w:left="851"/>
        <w:rPr>
          <w:rFonts w:eastAsiaTheme="minorHAnsi"/>
          <w:color w:val="000000"/>
          <w:szCs w:val="22"/>
        </w:rPr>
      </w:pPr>
    </w:p>
    <w:p w14:paraId="59132442" w14:textId="77777777" w:rsidR="00557F3D" w:rsidRPr="00EA7422" w:rsidRDefault="00557F3D" w:rsidP="00557F3D">
      <w:pPr>
        <w:autoSpaceDE w:val="0"/>
        <w:autoSpaceDN w:val="0"/>
        <w:adjustRightInd w:val="0"/>
        <w:ind w:left="851"/>
        <w:rPr>
          <w:rFonts w:eastAsiaTheme="minorHAnsi"/>
          <w:color w:val="000000"/>
          <w:szCs w:val="22"/>
        </w:rPr>
      </w:pPr>
      <w:r w:rsidRPr="00EA7422">
        <w:rPr>
          <w:rFonts w:eastAsiaTheme="minorHAnsi"/>
          <w:color w:val="000000"/>
          <w:szCs w:val="22"/>
        </w:rPr>
        <w:t xml:space="preserve">5. Is organisational capacity aligned with priorities and does the Council influence, enable and leverage external capacity to focus on agreed outcomes? </w:t>
      </w:r>
    </w:p>
    <w:p w14:paraId="4E62E1A0" w14:textId="77777777" w:rsidR="00557F3D" w:rsidRPr="00EA7422" w:rsidRDefault="00557F3D" w:rsidP="00557F3D">
      <w:pPr>
        <w:rPr>
          <w:szCs w:val="22"/>
          <w:lang w:val="en-US"/>
        </w:rPr>
      </w:pPr>
    </w:p>
    <w:p w14:paraId="4276954F" w14:textId="77777777" w:rsidR="00557F3D" w:rsidRPr="00EA7422" w:rsidRDefault="00557F3D" w:rsidP="00557F3D">
      <w:pPr>
        <w:pStyle w:val="Heading3"/>
        <w:keepNext w:val="0"/>
        <w:widowControl w:val="0"/>
        <w:tabs>
          <w:tab w:val="clear" w:pos="720"/>
        </w:tabs>
        <w:spacing w:after="240"/>
        <w:ind w:left="851" w:hanging="851"/>
        <w:jc w:val="left"/>
        <w:rPr>
          <w:rFonts w:cs="Arial"/>
          <w:szCs w:val="22"/>
          <w:lang w:val="en-US"/>
        </w:rPr>
      </w:pPr>
      <w:r w:rsidRPr="00EA7422">
        <w:rPr>
          <w:rFonts w:cs="Arial"/>
          <w:szCs w:val="22"/>
          <w:lang w:val="en-US"/>
        </w:rPr>
        <w:t xml:space="preserve">The Peer Team met with more than 100 different people – elected members, staff, partners and residents – over the four days they spent at Rutland County Council and, through these interactions, gained a clear insight into what it is like to live in Rutland and how the Council operates. </w:t>
      </w:r>
    </w:p>
    <w:p w14:paraId="5A4ADDE6" w14:textId="77777777" w:rsidR="00557F3D" w:rsidRPr="00EA7422" w:rsidRDefault="00557F3D" w:rsidP="00557F3D">
      <w:pPr>
        <w:pStyle w:val="Heading3"/>
        <w:keepNext w:val="0"/>
        <w:widowControl w:val="0"/>
        <w:tabs>
          <w:tab w:val="clear" w:pos="720"/>
        </w:tabs>
        <w:spacing w:after="240"/>
        <w:ind w:left="851" w:hanging="851"/>
        <w:jc w:val="left"/>
        <w:rPr>
          <w:szCs w:val="22"/>
          <w:lang w:val="en-US"/>
        </w:rPr>
      </w:pPr>
      <w:r w:rsidRPr="00EA7422">
        <w:rPr>
          <w:szCs w:val="22"/>
          <w:lang w:val="en-US"/>
        </w:rPr>
        <w:t xml:space="preserve">Their conclusions were “Rutland is an ambitious and customer responsive Council, delivering good quality service with high performance levels.”  The main area for growth focused on how it engages with its communities. The Peer team recommended the Council looks at how it can build co-design and co-production into its engagement approach. </w:t>
      </w:r>
    </w:p>
    <w:p w14:paraId="052FB778" w14:textId="77777777" w:rsidR="00557F3D" w:rsidRPr="00EA7422" w:rsidRDefault="00557F3D" w:rsidP="00557F3D">
      <w:pPr>
        <w:pStyle w:val="Heading3"/>
        <w:keepNext w:val="0"/>
        <w:widowControl w:val="0"/>
        <w:tabs>
          <w:tab w:val="clear" w:pos="720"/>
        </w:tabs>
        <w:spacing w:after="240"/>
        <w:ind w:left="851" w:hanging="851"/>
        <w:jc w:val="left"/>
        <w:rPr>
          <w:rFonts w:eastAsiaTheme="minorHAnsi"/>
          <w:szCs w:val="22"/>
        </w:rPr>
      </w:pPr>
      <w:r w:rsidRPr="00EA7422">
        <w:rPr>
          <w:szCs w:val="22"/>
          <w:lang w:val="en-US"/>
        </w:rPr>
        <w:t xml:space="preserve">The full report can be found here: </w:t>
      </w:r>
      <w:hyperlink r:id="rId33" w:history="1">
        <w:r w:rsidRPr="00EA7422">
          <w:rPr>
            <w:rStyle w:val="Hyperlink"/>
            <w:szCs w:val="22"/>
            <w:lang w:val="en-US"/>
          </w:rPr>
          <w:t>https://www.rutland.gov.uk/my-council/how-the-council-works/peer-challenge-2019/</w:t>
        </w:r>
      </w:hyperlink>
    </w:p>
    <w:p w14:paraId="129E3430" w14:textId="77777777" w:rsidR="00557F3D" w:rsidRPr="00EA7422" w:rsidRDefault="00557F3D" w:rsidP="00557F3D">
      <w:pPr>
        <w:autoSpaceDE w:val="0"/>
        <w:autoSpaceDN w:val="0"/>
        <w:adjustRightInd w:val="0"/>
        <w:rPr>
          <w:rFonts w:eastAsiaTheme="minorHAnsi"/>
          <w:i/>
          <w:szCs w:val="22"/>
        </w:rPr>
      </w:pPr>
    </w:p>
    <w:p w14:paraId="5A44D4C0" w14:textId="77777777" w:rsidR="00557F3D" w:rsidRPr="00EA7422" w:rsidRDefault="00557F3D" w:rsidP="00557F3D">
      <w:pPr>
        <w:autoSpaceDE w:val="0"/>
        <w:autoSpaceDN w:val="0"/>
        <w:adjustRightInd w:val="0"/>
        <w:rPr>
          <w:rFonts w:eastAsiaTheme="minorHAnsi"/>
          <w:i/>
          <w:szCs w:val="22"/>
        </w:rPr>
      </w:pPr>
    </w:p>
    <w:p w14:paraId="1DA2B640" w14:textId="77777777" w:rsidR="00557F3D" w:rsidRPr="00EA7422" w:rsidRDefault="00557F3D" w:rsidP="00557F3D">
      <w:pPr>
        <w:autoSpaceDE w:val="0"/>
        <w:autoSpaceDN w:val="0"/>
        <w:adjustRightInd w:val="0"/>
        <w:rPr>
          <w:rFonts w:eastAsiaTheme="minorHAnsi"/>
          <w:i/>
          <w:szCs w:val="22"/>
        </w:rPr>
      </w:pPr>
    </w:p>
    <w:p w14:paraId="06366954" w14:textId="77777777" w:rsidR="00557F3D" w:rsidRPr="00EA7422" w:rsidRDefault="00557F3D" w:rsidP="00557F3D">
      <w:pPr>
        <w:autoSpaceDE w:val="0"/>
        <w:autoSpaceDN w:val="0"/>
        <w:adjustRightInd w:val="0"/>
        <w:ind w:left="131" w:firstLine="720"/>
        <w:rPr>
          <w:rFonts w:eastAsiaTheme="minorHAnsi"/>
          <w:i/>
          <w:szCs w:val="22"/>
        </w:rPr>
      </w:pPr>
      <w:r w:rsidRPr="00EA7422">
        <w:rPr>
          <w:rFonts w:eastAsiaTheme="minorHAnsi"/>
          <w:i/>
          <w:szCs w:val="22"/>
        </w:rPr>
        <w:t>Adult Social Care – IMPOWER index</w:t>
      </w:r>
    </w:p>
    <w:p w14:paraId="70737834" w14:textId="77777777" w:rsidR="00557F3D" w:rsidRPr="00EA7422" w:rsidRDefault="00557F3D" w:rsidP="00557F3D">
      <w:pPr>
        <w:autoSpaceDE w:val="0"/>
        <w:autoSpaceDN w:val="0"/>
        <w:adjustRightInd w:val="0"/>
        <w:rPr>
          <w:rFonts w:eastAsiaTheme="minorHAnsi"/>
          <w:szCs w:val="22"/>
        </w:rPr>
      </w:pPr>
    </w:p>
    <w:p w14:paraId="18D7680A" w14:textId="77777777" w:rsidR="00557F3D" w:rsidRPr="00EA7422" w:rsidRDefault="00557F3D" w:rsidP="00557F3D">
      <w:pPr>
        <w:pStyle w:val="Heading3"/>
        <w:keepNext w:val="0"/>
        <w:widowControl w:val="0"/>
        <w:tabs>
          <w:tab w:val="clear" w:pos="720"/>
        </w:tabs>
        <w:spacing w:after="240"/>
        <w:ind w:left="851" w:hanging="851"/>
        <w:jc w:val="left"/>
        <w:rPr>
          <w:rFonts w:eastAsiaTheme="minorHAnsi"/>
          <w:szCs w:val="22"/>
        </w:rPr>
      </w:pPr>
      <w:r w:rsidRPr="00EA7422">
        <w:rPr>
          <w:rFonts w:eastAsiaTheme="minorHAnsi"/>
          <w:szCs w:val="22"/>
        </w:rPr>
        <w:t xml:space="preserve">The Council has been named the strongest performer in adult social care using refined productivity metrics. The council is deemed to be providing above average outcomes despite having a below average per capita spend.  </w:t>
      </w:r>
      <w:r w:rsidRPr="00EA7422">
        <w:rPr>
          <w:spacing w:val="3"/>
          <w:szCs w:val="22"/>
          <w:shd w:val="clear" w:color="auto" w:fill="FFFFFF"/>
        </w:rPr>
        <w:t>This means that users of adult social care services in Rutland are getting better outcomes at the same time as the council is making best use of public funds.</w:t>
      </w:r>
      <w:r w:rsidRPr="00EA7422">
        <w:rPr>
          <w:spacing w:val="3"/>
          <w:szCs w:val="22"/>
          <w:shd w:val="clear" w:color="auto" w:fill="FFFFFF"/>
        </w:rPr>
        <w:br/>
      </w:r>
    </w:p>
    <w:p w14:paraId="1ABF18EF" w14:textId="77777777" w:rsidR="00557F3D" w:rsidRPr="00EA7422" w:rsidRDefault="00557F3D" w:rsidP="00557F3D">
      <w:pPr>
        <w:spacing w:after="240"/>
        <w:ind w:left="131" w:firstLine="720"/>
        <w:rPr>
          <w:i/>
          <w:szCs w:val="22"/>
        </w:rPr>
      </w:pPr>
      <w:r w:rsidRPr="00EA7422">
        <w:rPr>
          <w:i/>
          <w:szCs w:val="22"/>
        </w:rPr>
        <w:t xml:space="preserve">Public Services Network compliance </w:t>
      </w:r>
    </w:p>
    <w:p w14:paraId="302C3F60" w14:textId="77777777" w:rsidR="00557F3D" w:rsidRPr="00EA7422" w:rsidRDefault="00557F3D" w:rsidP="00557F3D">
      <w:pPr>
        <w:pStyle w:val="Heading3"/>
        <w:keepNext w:val="0"/>
        <w:widowControl w:val="0"/>
        <w:tabs>
          <w:tab w:val="clear" w:pos="720"/>
        </w:tabs>
        <w:spacing w:after="240"/>
        <w:ind w:left="851" w:hanging="851"/>
        <w:jc w:val="left"/>
        <w:rPr>
          <w:rFonts w:eastAsiaTheme="minorHAnsi"/>
          <w:szCs w:val="22"/>
        </w:rPr>
      </w:pPr>
      <w:r w:rsidRPr="00EA7422">
        <w:rPr>
          <w:rFonts w:eastAsiaTheme="minorHAnsi"/>
          <w:szCs w:val="22"/>
        </w:rPr>
        <w:t>The Council must demonstrate compliance with the Public Services Network (PSN) on an annual basis. The PSN is an information assurance mechanism to support the connection of the Council’s network to other PSN accredited networks, without increasing or substantially changing the risks to the already accredited network. The Council undertakes an IT Security Health-Check annually (carried out by an accredited third party) to identify any compliance issues. Once these have been addressed, the Council completes a PSN renewal submission. The Council is now fully compliant until November 2020.</w:t>
      </w:r>
    </w:p>
    <w:p w14:paraId="2C880258" w14:textId="77777777" w:rsidR="00557F3D" w:rsidRPr="00EA7422" w:rsidRDefault="00557F3D" w:rsidP="00557F3D">
      <w:pPr>
        <w:pStyle w:val="Heading1"/>
        <w:keepNext w:val="0"/>
        <w:widowControl w:val="0"/>
        <w:tabs>
          <w:tab w:val="clear" w:pos="2410"/>
          <w:tab w:val="clear" w:pos="6521"/>
        </w:tabs>
        <w:spacing w:before="0"/>
        <w:ind w:left="851" w:hanging="851"/>
        <w:jc w:val="left"/>
        <w:rPr>
          <w:sz w:val="22"/>
          <w:szCs w:val="22"/>
        </w:rPr>
      </w:pPr>
      <w:r w:rsidRPr="00EA7422">
        <w:rPr>
          <w:sz w:val="22"/>
          <w:szCs w:val="22"/>
        </w:rPr>
        <w:t xml:space="preserve">Summary </w:t>
      </w:r>
      <w:r w:rsidRPr="00EA7422">
        <w:rPr>
          <w:sz w:val="22"/>
          <w:szCs w:val="22"/>
        </w:rPr>
        <w:tab/>
      </w:r>
    </w:p>
    <w:p w14:paraId="78CEB3D8" w14:textId="77777777" w:rsidR="00557F3D" w:rsidRPr="00EA7422" w:rsidRDefault="00557F3D" w:rsidP="00557F3D">
      <w:pPr>
        <w:spacing w:after="240"/>
        <w:rPr>
          <w:szCs w:val="22"/>
        </w:rPr>
      </w:pPr>
      <w:r w:rsidRPr="00EA7422">
        <w:rPr>
          <w:szCs w:val="22"/>
        </w:rPr>
        <w:t xml:space="preserve">This statement has been considered by the Audit and Risk Committee, who were satisfied that it is an accurate reflection of the governance framework and that the arrangements continue to be regarded as fit for purpose in accordance with the governance framework.  </w:t>
      </w:r>
    </w:p>
    <w:p w14:paraId="2CD6696B" w14:textId="77777777" w:rsidR="00557F3D" w:rsidRPr="00EA7422" w:rsidRDefault="00557F3D" w:rsidP="00557F3D">
      <w:pPr>
        <w:spacing w:after="240"/>
        <w:rPr>
          <w:rFonts w:eastAsia="Calibri"/>
          <w:b/>
          <w:szCs w:val="22"/>
        </w:rPr>
      </w:pPr>
      <w:r w:rsidRPr="00EA7422">
        <w:rPr>
          <w:rFonts w:eastAsia="Calibri"/>
          <w:b/>
          <w:szCs w:val="22"/>
        </w:rPr>
        <w:t>Significant Governance Issues</w:t>
      </w:r>
    </w:p>
    <w:p w14:paraId="11DAD8A4" w14:textId="77777777" w:rsidR="00E26F04" w:rsidRPr="00E26F04" w:rsidRDefault="00E26F04" w:rsidP="00E26F04">
      <w:pPr>
        <w:spacing w:after="240" w:line="276" w:lineRule="auto"/>
        <w:contextualSpacing/>
        <w:rPr>
          <w:rFonts w:eastAsia="Calibri"/>
          <w:szCs w:val="22"/>
        </w:rPr>
      </w:pPr>
      <w:r w:rsidRPr="00E26F04">
        <w:rPr>
          <w:rFonts w:eastAsia="Calibri"/>
          <w:szCs w:val="22"/>
        </w:rPr>
        <w:t>The Council has been undertaking work in relation to the management and administration of Community Infrastructure Levy.  It has identified a historic significant governance issue and is preparing a report for Cabinet for December to consider the matters arising as they fall within its remit.   Whilst details are still being finalised, for the purpose of the AGS, we deem the issue to be a Significant Governance Issue and can report the following:</w:t>
      </w:r>
    </w:p>
    <w:p w14:paraId="3FAB7F88" w14:textId="40E93041" w:rsidR="00E26F04" w:rsidRPr="00E26F04" w:rsidRDefault="00E26F04" w:rsidP="00E26F04">
      <w:pPr>
        <w:pStyle w:val="BulletPoint"/>
        <w:numPr>
          <w:ilvl w:val="0"/>
          <w:numId w:val="36"/>
        </w:numPr>
        <w:rPr>
          <w:sz w:val="22"/>
          <w:szCs w:val="22"/>
        </w:rPr>
      </w:pPr>
      <w:r w:rsidRPr="00E26F04">
        <w:rPr>
          <w:sz w:val="22"/>
          <w:szCs w:val="22"/>
        </w:rPr>
        <w:t xml:space="preserve">The full-time CIL Officer left the Council in 2017, and until recently, the management and administration of CIL has been undertaken by temporary interim agency support with periods when the post was not covered. </w:t>
      </w:r>
    </w:p>
    <w:p w14:paraId="314864D7" w14:textId="3CD65838" w:rsidR="00E26F04" w:rsidRPr="00E26F04" w:rsidRDefault="00E26F04" w:rsidP="00E26F04">
      <w:pPr>
        <w:pStyle w:val="BulletPoint"/>
        <w:numPr>
          <w:ilvl w:val="0"/>
          <w:numId w:val="36"/>
        </w:numPr>
        <w:rPr>
          <w:sz w:val="22"/>
          <w:szCs w:val="22"/>
        </w:rPr>
      </w:pPr>
      <w:r w:rsidRPr="00E26F04">
        <w:rPr>
          <w:sz w:val="22"/>
          <w:szCs w:val="22"/>
        </w:rPr>
        <w:t>This situation is now resolved with a full-time permanent member of staff in post.</w:t>
      </w:r>
    </w:p>
    <w:p w14:paraId="41515D2E" w14:textId="4170FB35" w:rsidR="00E26F04" w:rsidRPr="00E26F04" w:rsidRDefault="00E26F04" w:rsidP="00E26F04">
      <w:pPr>
        <w:pStyle w:val="BulletPoint"/>
        <w:numPr>
          <w:ilvl w:val="0"/>
          <w:numId w:val="36"/>
        </w:numPr>
        <w:rPr>
          <w:sz w:val="22"/>
          <w:szCs w:val="22"/>
        </w:rPr>
      </w:pPr>
      <w:r w:rsidRPr="00E26F04">
        <w:rPr>
          <w:sz w:val="22"/>
          <w:szCs w:val="22"/>
        </w:rPr>
        <w:t xml:space="preserve">The new CIL officer has undertaken an internal review of the CIL process initially in operation between 2016 and 2019. This uncovered issues related to software connectivity between the planning application case management system and the CIL monitoring system, as well as some procedural “gaps” which resulted in a number of potential unclaimed CIL liabilities during this period. </w:t>
      </w:r>
    </w:p>
    <w:p w14:paraId="697075B7" w14:textId="177C5FA0" w:rsidR="00E26F04" w:rsidRPr="00E26F04" w:rsidRDefault="00E26F04" w:rsidP="00E26F04">
      <w:pPr>
        <w:pStyle w:val="BulletPoint"/>
        <w:numPr>
          <w:ilvl w:val="0"/>
          <w:numId w:val="36"/>
        </w:numPr>
        <w:rPr>
          <w:sz w:val="22"/>
          <w:szCs w:val="22"/>
        </w:rPr>
      </w:pPr>
      <w:r w:rsidRPr="00E26F04">
        <w:rPr>
          <w:sz w:val="22"/>
          <w:szCs w:val="22"/>
        </w:rPr>
        <w:t xml:space="preserve">Each historic case has been researched in detail and then considered by a team led by the Director of Places with specialist external legal support and the Council’s Monitoring Officer.  </w:t>
      </w:r>
    </w:p>
    <w:p w14:paraId="1A60DCAD" w14:textId="10CE0901" w:rsidR="00E26F04" w:rsidRPr="00E26F04" w:rsidRDefault="00E26F04" w:rsidP="00E26F04">
      <w:pPr>
        <w:pStyle w:val="BulletPoint"/>
        <w:numPr>
          <w:ilvl w:val="0"/>
          <w:numId w:val="36"/>
        </w:numPr>
        <w:rPr>
          <w:sz w:val="22"/>
          <w:szCs w:val="22"/>
        </w:rPr>
      </w:pPr>
      <w:r w:rsidRPr="00E26F04">
        <w:rPr>
          <w:sz w:val="22"/>
          <w:szCs w:val="22"/>
        </w:rPr>
        <w:t xml:space="preserve">The above review has concluded that certain CIL liabilities can no longer be collected from developers i.e. CIL income which was due to the Council is </w:t>
      </w:r>
      <w:r w:rsidRPr="00E26F04">
        <w:rPr>
          <w:sz w:val="22"/>
          <w:szCs w:val="22"/>
        </w:rPr>
        <w:lastRenderedPageBreak/>
        <w:t>effectively lost.  The value is estimated at £150k but this could reach a figure of £181k.</w:t>
      </w:r>
    </w:p>
    <w:p w14:paraId="100930BB" w14:textId="77777777" w:rsidR="00E26F04" w:rsidRPr="00E26F04" w:rsidRDefault="00E26F04" w:rsidP="00E26F04">
      <w:pPr>
        <w:pStyle w:val="BulletPoint"/>
        <w:numPr>
          <w:ilvl w:val="0"/>
          <w:numId w:val="36"/>
        </w:numPr>
        <w:rPr>
          <w:b/>
          <w:szCs w:val="22"/>
        </w:rPr>
      </w:pPr>
      <w:r w:rsidRPr="00E26F04">
        <w:rPr>
          <w:sz w:val="22"/>
          <w:szCs w:val="22"/>
        </w:rPr>
        <w:t>An improvement plan is in place, which has been informed by Internal Audit, and this will be detailed in the Cabinet report with a suggestion that the Audit and Risk Committee receive a further report detailing action taken to implement the improvement plan.</w:t>
      </w:r>
    </w:p>
    <w:p w14:paraId="1451EB54" w14:textId="4B9F364C" w:rsidR="00557F3D" w:rsidRPr="00EA7422" w:rsidRDefault="00557F3D" w:rsidP="00E26F04">
      <w:pPr>
        <w:pStyle w:val="BulletPoint"/>
        <w:numPr>
          <w:ilvl w:val="0"/>
          <w:numId w:val="0"/>
        </w:numPr>
        <w:ind w:left="340" w:hanging="340"/>
        <w:rPr>
          <w:b/>
          <w:szCs w:val="22"/>
        </w:rPr>
      </w:pPr>
      <w:r w:rsidRPr="00EA7422">
        <w:rPr>
          <w:b/>
          <w:szCs w:val="22"/>
        </w:rPr>
        <w:t xml:space="preserve">Certification </w:t>
      </w:r>
    </w:p>
    <w:p w14:paraId="25BDABFE" w14:textId="35F2DC93" w:rsidR="00557F3D" w:rsidRPr="00EA7422" w:rsidRDefault="00557F3D" w:rsidP="00557F3D">
      <w:pPr>
        <w:spacing w:after="240"/>
        <w:rPr>
          <w:szCs w:val="22"/>
        </w:rPr>
      </w:pPr>
      <w:r w:rsidRPr="00EA7422">
        <w:rPr>
          <w:szCs w:val="22"/>
        </w:rPr>
        <w:t>As Leader and Chief Executive, we have been advised on the implications of the results of the review of effectiveness of the Council's governance framework, by the Audit Committee and Cabinet.</w:t>
      </w:r>
    </w:p>
    <w:p w14:paraId="787BE4C5" w14:textId="77777777" w:rsidR="00557F3D" w:rsidRPr="00EA7422" w:rsidRDefault="00557F3D" w:rsidP="00557F3D">
      <w:pPr>
        <w:tabs>
          <w:tab w:val="left" w:pos="5103"/>
        </w:tabs>
        <w:spacing w:after="240"/>
        <w:rPr>
          <w:szCs w:val="22"/>
        </w:rPr>
      </w:pPr>
      <w:r w:rsidRPr="00EA7422">
        <w:rPr>
          <w:szCs w:val="22"/>
        </w:rPr>
        <w:t>Our overall assessment is that the Annual Governance Statement is a balanced reflection of the governance environment and that an adequate framework exists within Rutland County Council to ensure effective internal control is maintained. We are also satisfied that there are appropriate plans in place to address any significant governance issues and in particular that changes made to planning procedures should minimise the risk of a similar problem reoccurring.</w:t>
      </w:r>
    </w:p>
    <w:tbl>
      <w:tblPr>
        <w:tblStyle w:val="TableGrid11"/>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186"/>
        <w:gridCol w:w="1707"/>
        <w:gridCol w:w="3516"/>
      </w:tblGrid>
      <w:tr w:rsidR="00557F3D" w:rsidRPr="00EA7422" w14:paraId="67273F6E" w14:textId="77777777" w:rsidTr="00557F3D">
        <w:tc>
          <w:tcPr>
            <w:tcW w:w="1897" w:type="dxa"/>
            <w:vAlign w:val="bottom"/>
          </w:tcPr>
          <w:p w14:paraId="44044DEE" w14:textId="77777777" w:rsidR="00557F3D" w:rsidRPr="00EA7422" w:rsidRDefault="00557F3D" w:rsidP="00557F3D">
            <w:pPr>
              <w:spacing w:before="240"/>
              <w:rPr>
                <w:szCs w:val="22"/>
              </w:rPr>
            </w:pPr>
            <w:r w:rsidRPr="00EA7422">
              <w:rPr>
                <w:szCs w:val="22"/>
              </w:rPr>
              <w:t>Signed:</w:t>
            </w:r>
          </w:p>
        </w:tc>
        <w:tc>
          <w:tcPr>
            <w:tcW w:w="2942" w:type="dxa"/>
            <w:tcBorders>
              <w:bottom w:val="single" w:sz="18" w:space="0" w:color="C5E0B3" w:themeColor="accent6" w:themeTint="66"/>
            </w:tcBorders>
            <w:vAlign w:val="bottom"/>
          </w:tcPr>
          <w:p w14:paraId="742E80BE" w14:textId="77777777" w:rsidR="00557F3D" w:rsidRPr="00EA7422" w:rsidRDefault="00557F3D" w:rsidP="00557F3D">
            <w:pPr>
              <w:spacing w:before="240"/>
              <w:rPr>
                <w:szCs w:val="22"/>
              </w:rPr>
            </w:pPr>
            <w:r w:rsidRPr="00EA7422">
              <w:rPr>
                <w:noProof/>
                <w:szCs w:val="22"/>
                <w:lang w:eastAsia="en-GB"/>
              </w:rPr>
              <w:drawing>
                <wp:inline distT="0" distB="0" distL="0" distR="0" wp14:anchorId="5508AA78" wp14:editId="4880A9F1">
                  <wp:extent cx="1876687" cy="552527"/>
                  <wp:effectExtent l="0" t="0" r="9525" b="0"/>
                  <wp:docPr id="7" name="Picture 7" descr="A picture containing object, lamp, necklace,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lamp, necklace, mirror&#10;&#10;Description automatically generated"/>
                          <pic:cNvPicPr/>
                        </pic:nvPicPr>
                        <pic:blipFill>
                          <a:blip r:embed="rId34">
                            <a:extLst>
                              <a:ext uri="{28A0092B-C50C-407E-A947-70E740481C1C}">
                                <a14:useLocalDpi xmlns:a14="http://schemas.microsoft.com/office/drawing/2010/main" val="0"/>
                              </a:ext>
                            </a:extLst>
                          </a:blip>
                          <a:stretch>
                            <a:fillRect/>
                          </a:stretch>
                        </pic:blipFill>
                        <pic:spPr>
                          <a:xfrm>
                            <a:off x="0" y="0"/>
                            <a:ext cx="1876687" cy="552527"/>
                          </a:xfrm>
                          <a:prstGeom prst="rect">
                            <a:avLst/>
                          </a:prstGeom>
                        </pic:spPr>
                      </pic:pic>
                    </a:graphicData>
                  </a:graphic>
                </wp:inline>
              </w:drawing>
            </w:r>
          </w:p>
        </w:tc>
        <w:tc>
          <w:tcPr>
            <w:tcW w:w="1780" w:type="dxa"/>
            <w:vAlign w:val="bottom"/>
          </w:tcPr>
          <w:p w14:paraId="370DFEB2" w14:textId="77777777" w:rsidR="00557F3D" w:rsidRPr="00EA7422" w:rsidRDefault="00557F3D" w:rsidP="00557F3D">
            <w:pPr>
              <w:spacing w:before="240"/>
              <w:rPr>
                <w:szCs w:val="22"/>
              </w:rPr>
            </w:pPr>
            <w:r w:rsidRPr="00EA7422">
              <w:rPr>
                <w:szCs w:val="22"/>
              </w:rPr>
              <w:t>Signed:</w:t>
            </w:r>
          </w:p>
        </w:tc>
        <w:tc>
          <w:tcPr>
            <w:tcW w:w="3604" w:type="dxa"/>
            <w:tcBorders>
              <w:bottom w:val="single" w:sz="18" w:space="0" w:color="C5E0B3" w:themeColor="accent6" w:themeTint="66"/>
            </w:tcBorders>
            <w:vAlign w:val="bottom"/>
          </w:tcPr>
          <w:p w14:paraId="2EF0CE4D" w14:textId="77777777" w:rsidR="00557F3D" w:rsidRPr="00EA7422" w:rsidRDefault="00557F3D" w:rsidP="00557F3D">
            <w:pPr>
              <w:spacing w:before="240"/>
              <w:rPr>
                <w:szCs w:val="22"/>
              </w:rPr>
            </w:pPr>
            <w:r w:rsidRPr="00EA7422">
              <w:rPr>
                <w:noProof/>
                <w:szCs w:val="22"/>
                <w:lang w:eastAsia="en-GB"/>
              </w:rPr>
              <w:drawing>
                <wp:inline distT="0" distB="0" distL="0" distR="0" wp14:anchorId="0B044F0E" wp14:editId="3F599105">
                  <wp:extent cx="1514475" cy="828675"/>
                  <wp:effectExtent l="0" t="0" r="9525" b="9525"/>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rotWithShape="1">
                          <a:blip r:embed="rId35" cstate="print">
                            <a:extLst>
                              <a:ext uri="{28A0092B-C50C-407E-A947-70E740481C1C}">
                                <a14:useLocalDpi xmlns:a14="http://schemas.microsoft.com/office/drawing/2010/main" val="0"/>
                              </a:ext>
                            </a:extLst>
                          </a:blip>
                          <a:srcRect l="20833" t="12100" r="46036" b="74902"/>
                          <a:stretch/>
                        </pic:blipFill>
                        <pic:spPr bwMode="auto">
                          <a:xfrm>
                            <a:off x="0" y="0"/>
                            <a:ext cx="1515230" cy="829088"/>
                          </a:xfrm>
                          <a:prstGeom prst="rect">
                            <a:avLst/>
                          </a:prstGeom>
                          <a:ln>
                            <a:noFill/>
                          </a:ln>
                          <a:extLst>
                            <a:ext uri="{53640926-AAD7-44D8-BBD7-CCE9431645EC}">
                              <a14:shadowObscured xmlns:a14="http://schemas.microsoft.com/office/drawing/2010/main"/>
                            </a:ext>
                          </a:extLst>
                        </pic:spPr>
                      </pic:pic>
                    </a:graphicData>
                  </a:graphic>
                </wp:inline>
              </w:drawing>
            </w:r>
          </w:p>
        </w:tc>
      </w:tr>
      <w:tr w:rsidR="00557F3D" w:rsidRPr="00EA7422" w14:paraId="5CE75BDE" w14:textId="77777777" w:rsidTr="00557F3D">
        <w:tc>
          <w:tcPr>
            <w:tcW w:w="4839" w:type="dxa"/>
            <w:gridSpan w:val="2"/>
            <w:vAlign w:val="bottom"/>
          </w:tcPr>
          <w:p w14:paraId="67B94888" w14:textId="77777777" w:rsidR="00557F3D" w:rsidRPr="00EA7422" w:rsidRDefault="00557F3D" w:rsidP="00557F3D">
            <w:pPr>
              <w:spacing w:before="240"/>
              <w:rPr>
                <w:szCs w:val="22"/>
              </w:rPr>
            </w:pPr>
            <w:r w:rsidRPr="00EA7422">
              <w:rPr>
                <w:szCs w:val="22"/>
              </w:rPr>
              <w:t>Mark Andrews, Interim Chief Executive</w:t>
            </w:r>
          </w:p>
        </w:tc>
        <w:tc>
          <w:tcPr>
            <w:tcW w:w="5384" w:type="dxa"/>
            <w:gridSpan w:val="2"/>
            <w:vAlign w:val="bottom"/>
          </w:tcPr>
          <w:p w14:paraId="4A2086FC" w14:textId="77777777" w:rsidR="00557F3D" w:rsidRPr="00EA7422" w:rsidRDefault="00557F3D" w:rsidP="00557F3D">
            <w:pPr>
              <w:spacing w:before="240"/>
              <w:rPr>
                <w:szCs w:val="22"/>
              </w:rPr>
            </w:pPr>
            <w:r w:rsidRPr="00EA7422">
              <w:rPr>
                <w:szCs w:val="22"/>
              </w:rPr>
              <w:t>Oliver Hemsley, Leader of the Council</w:t>
            </w:r>
          </w:p>
        </w:tc>
      </w:tr>
      <w:tr w:rsidR="00557F3D" w:rsidRPr="00EA7422" w14:paraId="5304F326" w14:textId="77777777" w:rsidTr="00557F3D">
        <w:tc>
          <w:tcPr>
            <w:tcW w:w="1897" w:type="dxa"/>
            <w:vAlign w:val="bottom"/>
          </w:tcPr>
          <w:p w14:paraId="32BC4A30" w14:textId="77777777" w:rsidR="00557F3D" w:rsidRPr="00EA7422" w:rsidRDefault="00557F3D" w:rsidP="00557F3D">
            <w:pPr>
              <w:spacing w:before="240"/>
              <w:rPr>
                <w:szCs w:val="22"/>
              </w:rPr>
            </w:pPr>
            <w:r w:rsidRPr="00EA7422">
              <w:rPr>
                <w:szCs w:val="22"/>
              </w:rPr>
              <w:t>Date:</w:t>
            </w:r>
          </w:p>
        </w:tc>
        <w:tc>
          <w:tcPr>
            <w:tcW w:w="2942" w:type="dxa"/>
            <w:tcBorders>
              <w:bottom w:val="single" w:sz="18" w:space="0" w:color="C5E0B3" w:themeColor="accent6" w:themeTint="66"/>
            </w:tcBorders>
            <w:vAlign w:val="bottom"/>
          </w:tcPr>
          <w:p w14:paraId="7C76D48C" w14:textId="77777777" w:rsidR="00557F3D" w:rsidRPr="00EA7422" w:rsidRDefault="00557F3D" w:rsidP="00557F3D">
            <w:pPr>
              <w:spacing w:before="240"/>
              <w:rPr>
                <w:szCs w:val="22"/>
              </w:rPr>
            </w:pPr>
          </w:p>
        </w:tc>
        <w:tc>
          <w:tcPr>
            <w:tcW w:w="1780" w:type="dxa"/>
            <w:vAlign w:val="bottom"/>
          </w:tcPr>
          <w:p w14:paraId="75C4F924" w14:textId="77777777" w:rsidR="00557F3D" w:rsidRPr="00EA7422" w:rsidRDefault="00557F3D" w:rsidP="00557F3D">
            <w:pPr>
              <w:spacing w:before="240"/>
              <w:rPr>
                <w:szCs w:val="22"/>
              </w:rPr>
            </w:pPr>
            <w:r w:rsidRPr="00EA7422">
              <w:rPr>
                <w:szCs w:val="22"/>
              </w:rPr>
              <w:t>Date:</w:t>
            </w:r>
          </w:p>
        </w:tc>
        <w:tc>
          <w:tcPr>
            <w:tcW w:w="3604" w:type="dxa"/>
            <w:tcBorders>
              <w:bottom w:val="single" w:sz="18" w:space="0" w:color="C5E0B3" w:themeColor="accent6" w:themeTint="66"/>
            </w:tcBorders>
            <w:vAlign w:val="bottom"/>
          </w:tcPr>
          <w:p w14:paraId="2096C4B4" w14:textId="77777777" w:rsidR="00557F3D" w:rsidRPr="00EA7422" w:rsidRDefault="00557F3D" w:rsidP="00557F3D">
            <w:pPr>
              <w:spacing w:before="240"/>
              <w:rPr>
                <w:szCs w:val="22"/>
              </w:rPr>
            </w:pPr>
          </w:p>
        </w:tc>
      </w:tr>
    </w:tbl>
    <w:p w14:paraId="7FF0D6C3" w14:textId="77777777" w:rsidR="00557F3D" w:rsidRPr="00EA7422" w:rsidRDefault="00557F3D" w:rsidP="00557F3D">
      <w:pPr>
        <w:spacing w:after="240"/>
        <w:rPr>
          <w:szCs w:val="22"/>
        </w:rPr>
      </w:pPr>
    </w:p>
    <w:p w14:paraId="556BEE80" w14:textId="77777777" w:rsidR="00557F3D" w:rsidRPr="00EA7422" w:rsidRDefault="00557F3D" w:rsidP="00557F3D">
      <w:pPr>
        <w:spacing w:after="200" w:line="276" w:lineRule="auto"/>
        <w:rPr>
          <w:rFonts w:eastAsiaTheme="majorEastAsia"/>
          <w:szCs w:val="22"/>
        </w:rPr>
      </w:pPr>
      <w:r w:rsidRPr="00EA7422">
        <w:rPr>
          <w:rFonts w:eastAsiaTheme="majorEastAsia"/>
          <w:szCs w:val="22"/>
        </w:rPr>
        <w:br w:type="page"/>
      </w:r>
    </w:p>
    <w:p w14:paraId="28A9817D" w14:textId="77777777" w:rsidR="00557F3D" w:rsidRPr="00EA7422" w:rsidRDefault="00557F3D" w:rsidP="00557F3D">
      <w:pPr>
        <w:spacing w:after="240"/>
        <w:rPr>
          <w:szCs w:val="22"/>
        </w:rPr>
      </w:pPr>
      <w:r w:rsidRPr="00EA7422">
        <w:rPr>
          <w:szCs w:val="22"/>
        </w:rPr>
        <w:lastRenderedPageBreak/>
        <w:t>Glossary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89"/>
        <w:gridCol w:w="6327"/>
      </w:tblGrid>
      <w:tr w:rsidR="00557F3D" w:rsidRPr="00EA7422" w14:paraId="4C6AD3D1" w14:textId="77777777" w:rsidTr="00557F3D">
        <w:tc>
          <w:tcPr>
            <w:tcW w:w="2689" w:type="dxa"/>
          </w:tcPr>
          <w:p w14:paraId="09D95BD9" w14:textId="77777777" w:rsidR="00557F3D" w:rsidRPr="00EA7422" w:rsidRDefault="00557F3D" w:rsidP="00557F3D">
            <w:pPr>
              <w:rPr>
                <w:szCs w:val="22"/>
                <w:lang w:eastAsia="en-GB"/>
              </w:rPr>
            </w:pPr>
            <w:r w:rsidRPr="00EA7422">
              <w:rPr>
                <w:szCs w:val="22"/>
              </w:rPr>
              <w:t>Agresso</w:t>
            </w:r>
          </w:p>
        </w:tc>
        <w:tc>
          <w:tcPr>
            <w:tcW w:w="6327" w:type="dxa"/>
          </w:tcPr>
          <w:p w14:paraId="72A55996" w14:textId="77777777" w:rsidR="00557F3D" w:rsidRPr="00EA7422" w:rsidRDefault="00557F3D" w:rsidP="00557F3D">
            <w:pPr>
              <w:rPr>
                <w:szCs w:val="22"/>
              </w:rPr>
            </w:pPr>
            <w:r w:rsidRPr="00EA7422">
              <w:rPr>
                <w:szCs w:val="22"/>
              </w:rPr>
              <w:t>Rutland County Councils Finance software system</w:t>
            </w:r>
          </w:p>
        </w:tc>
      </w:tr>
      <w:tr w:rsidR="00557F3D" w:rsidRPr="00EA7422" w14:paraId="602E6902" w14:textId="77777777" w:rsidTr="00557F3D">
        <w:tc>
          <w:tcPr>
            <w:tcW w:w="2689" w:type="dxa"/>
          </w:tcPr>
          <w:p w14:paraId="394CCA60" w14:textId="77777777" w:rsidR="00557F3D" w:rsidRPr="00EA7422" w:rsidRDefault="00557F3D" w:rsidP="00557F3D">
            <w:pPr>
              <w:rPr>
                <w:szCs w:val="22"/>
                <w:lang w:eastAsia="en-GB"/>
              </w:rPr>
            </w:pPr>
            <w:r w:rsidRPr="00EA7422">
              <w:rPr>
                <w:szCs w:val="22"/>
              </w:rPr>
              <w:t>BAU</w:t>
            </w:r>
          </w:p>
        </w:tc>
        <w:tc>
          <w:tcPr>
            <w:tcW w:w="6327" w:type="dxa"/>
          </w:tcPr>
          <w:p w14:paraId="51FC895C" w14:textId="77777777" w:rsidR="00557F3D" w:rsidRPr="00EA7422" w:rsidRDefault="00557F3D" w:rsidP="00557F3D">
            <w:pPr>
              <w:rPr>
                <w:szCs w:val="22"/>
              </w:rPr>
            </w:pPr>
            <w:r w:rsidRPr="00EA7422">
              <w:rPr>
                <w:szCs w:val="22"/>
              </w:rPr>
              <w:t>Business as Usual</w:t>
            </w:r>
          </w:p>
        </w:tc>
      </w:tr>
      <w:tr w:rsidR="00557F3D" w:rsidRPr="00EA7422" w14:paraId="2CBDBF03" w14:textId="77777777" w:rsidTr="00557F3D">
        <w:tc>
          <w:tcPr>
            <w:tcW w:w="2689" w:type="dxa"/>
          </w:tcPr>
          <w:p w14:paraId="6F7F62B7" w14:textId="77777777" w:rsidR="00557F3D" w:rsidRPr="00EA7422" w:rsidRDefault="00557F3D" w:rsidP="00557F3D">
            <w:pPr>
              <w:rPr>
                <w:szCs w:val="22"/>
                <w:lang w:eastAsia="en-GB"/>
              </w:rPr>
            </w:pPr>
            <w:r w:rsidRPr="00EA7422">
              <w:rPr>
                <w:szCs w:val="22"/>
                <w:lang w:eastAsia="en-GB"/>
              </w:rPr>
              <w:t>BIA</w:t>
            </w:r>
          </w:p>
        </w:tc>
        <w:tc>
          <w:tcPr>
            <w:tcW w:w="6327" w:type="dxa"/>
          </w:tcPr>
          <w:p w14:paraId="04FB0364" w14:textId="77777777" w:rsidR="00557F3D" w:rsidRPr="00EA7422" w:rsidRDefault="00557F3D" w:rsidP="00557F3D">
            <w:pPr>
              <w:rPr>
                <w:szCs w:val="22"/>
              </w:rPr>
            </w:pPr>
            <w:r w:rsidRPr="00EA7422">
              <w:rPr>
                <w:szCs w:val="22"/>
              </w:rPr>
              <w:t>Business Impact Assessment</w:t>
            </w:r>
          </w:p>
        </w:tc>
      </w:tr>
      <w:tr w:rsidR="00557F3D" w:rsidRPr="00EA7422" w14:paraId="25FC788A" w14:textId="77777777" w:rsidTr="00557F3D">
        <w:tc>
          <w:tcPr>
            <w:tcW w:w="2689" w:type="dxa"/>
          </w:tcPr>
          <w:p w14:paraId="0655ABF6" w14:textId="77777777" w:rsidR="00557F3D" w:rsidRPr="00EA7422" w:rsidRDefault="00557F3D" w:rsidP="00557F3D">
            <w:pPr>
              <w:rPr>
                <w:szCs w:val="22"/>
              </w:rPr>
            </w:pPr>
            <w:r w:rsidRPr="00EA7422">
              <w:rPr>
                <w:szCs w:val="22"/>
              </w:rPr>
              <w:t>CIPFA</w:t>
            </w:r>
          </w:p>
        </w:tc>
        <w:tc>
          <w:tcPr>
            <w:tcW w:w="6327" w:type="dxa"/>
          </w:tcPr>
          <w:p w14:paraId="1FB2B5FD" w14:textId="77777777" w:rsidR="00557F3D" w:rsidRPr="00EA7422" w:rsidRDefault="00557F3D" w:rsidP="00557F3D">
            <w:pPr>
              <w:rPr>
                <w:szCs w:val="22"/>
              </w:rPr>
            </w:pPr>
            <w:r w:rsidRPr="00EA7422">
              <w:rPr>
                <w:szCs w:val="22"/>
              </w:rPr>
              <w:t>Chartered Institute of Public Finance</w:t>
            </w:r>
          </w:p>
        </w:tc>
      </w:tr>
      <w:tr w:rsidR="00557F3D" w:rsidRPr="00EA7422" w14:paraId="2C7AC24D" w14:textId="77777777" w:rsidTr="00557F3D">
        <w:tc>
          <w:tcPr>
            <w:tcW w:w="2689" w:type="dxa"/>
          </w:tcPr>
          <w:p w14:paraId="61A90080" w14:textId="77777777" w:rsidR="00557F3D" w:rsidRPr="00EA7422" w:rsidRDefault="00557F3D" w:rsidP="00557F3D">
            <w:pPr>
              <w:rPr>
                <w:szCs w:val="22"/>
              </w:rPr>
            </w:pPr>
            <w:r w:rsidRPr="00EA7422">
              <w:rPr>
                <w:szCs w:val="22"/>
              </w:rPr>
              <w:t>CPR’s</w:t>
            </w:r>
          </w:p>
        </w:tc>
        <w:tc>
          <w:tcPr>
            <w:tcW w:w="6327" w:type="dxa"/>
          </w:tcPr>
          <w:p w14:paraId="2B851B73" w14:textId="77777777" w:rsidR="00557F3D" w:rsidRPr="00EA7422" w:rsidRDefault="00557F3D" w:rsidP="00557F3D">
            <w:pPr>
              <w:rPr>
                <w:szCs w:val="22"/>
              </w:rPr>
            </w:pPr>
            <w:r w:rsidRPr="00EA7422">
              <w:rPr>
                <w:szCs w:val="22"/>
              </w:rPr>
              <w:t>Contract Procedure Rules</w:t>
            </w:r>
          </w:p>
        </w:tc>
      </w:tr>
      <w:tr w:rsidR="00557F3D" w:rsidRPr="00EA7422" w14:paraId="26E1A5E5" w14:textId="77777777" w:rsidTr="00557F3D">
        <w:tc>
          <w:tcPr>
            <w:tcW w:w="2689" w:type="dxa"/>
          </w:tcPr>
          <w:p w14:paraId="7C7CCE4C" w14:textId="77777777" w:rsidR="00557F3D" w:rsidRPr="00EA7422" w:rsidRDefault="00557F3D" w:rsidP="00557F3D">
            <w:pPr>
              <w:rPr>
                <w:iCs/>
                <w:szCs w:val="22"/>
                <w:lang w:val="en-US"/>
              </w:rPr>
            </w:pPr>
            <w:r w:rsidRPr="00EA7422">
              <w:rPr>
                <w:szCs w:val="22"/>
              </w:rPr>
              <w:t>CQC</w:t>
            </w:r>
          </w:p>
        </w:tc>
        <w:tc>
          <w:tcPr>
            <w:tcW w:w="6327" w:type="dxa"/>
          </w:tcPr>
          <w:p w14:paraId="5B034101" w14:textId="77777777" w:rsidR="00557F3D" w:rsidRPr="00EA7422" w:rsidRDefault="00557F3D" w:rsidP="00557F3D">
            <w:pPr>
              <w:rPr>
                <w:szCs w:val="22"/>
              </w:rPr>
            </w:pPr>
            <w:r w:rsidRPr="00EA7422">
              <w:rPr>
                <w:szCs w:val="22"/>
              </w:rPr>
              <w:t>Care Quality Commission</w:t>
            </w:r>
          </w:p>
        </w:tc>
      </w:tr>
      <w:tr w:rsidR="00557F3D" w:rsidRPr="00EA7422" w14:paraId="5BD64523" w14:textId="77777777" w:rsidTr="00557F3D">
        <w:tc>
          <w:tcPr>
            <w:tcW w:w="2689" w:type="dxa"/>
          </w:tcPr>
          <w:p w14:paraId="39A61690" w14:textId="77777777" w:rsidR="00557F3D" w:rsidRPr="00EA7422" w:rsidRDefault="00557F3D" w:rsidP="00557F3D">
            <w:pPr>
              <w:rPr>
                <w:szCs w:val="22"/>
              </w:rPr>
            </w:pPr>
            <w:r w:rsidRPr="00EA7422">
              <w:rPr>
                <w:iCs/>
                <w:szCs w:val="22"/>
                <w:lang w:eastAsia="en-GB"/>
              </w:rPr>
              <w:t>DIO</w:t>
            </w:r>
          </w:p>
        </w:tc>
        <w:tc>
          <w:tcPr>
            <w:tcW w:w="6327" w:type="dxa"/>
          </w:tcPr>
          <w:p w14:paraId="33BC5A05" w14:textId="77777777" w:rsidR="00557F3D" w:rsidRPr="00EA7422" w:rsidRDefault="00557F3D" w:rsidP="00557F3D">
            <w:pPr>
              <w:rPr>
                <w:szCs w:val="22"/>
              </w:rPr>
            </w:pPr>
            <w:r w:rsidRPr="00EA7422">
              <w:rPr>
                <w:szCs w:val="22"/>
              </w:rPr>
              <w:t>Defence Infrastructure Organisation</w:t>
            </w:r>
          </w:p>
        </w:tc>
      </w:tr>
      <w:tr w:rsidR="00557F3D" w:rsidRPr="00EA7422" w14:paraId="2900B43E" w14:textId="77777777" w:rsidTr="00557F3D">
        <w:tc>
          <w:tcPr>
            <w:tcW w:w="2689" w:type="dxa"/>
          </w:tcPr>
          <w:p w14:paraId="462728F4" w14:textId="77777777" w:rsidR="00557F3D" w:rsidRPr="00EA7422" w:rsidRDefault="00557F3D" w:rsidP="00557F3D">
            <w:pPr>
              <w:rPr>
                <w:szCs w:val="22"/>
              </w:rPr>
            </w:pPr>
            <w:r w:rsidRPr="00EA7422">
              <w:rPr>
                <w:szCs w:val="22"/>
              </w:rPr>
              <w:t>DMT</w:t>
            </w:r>
          </w:p>
        </w:tc>
        <w:tc>
          <w:tcPr>
            <w:tcW w:w="6327" w:type="dxa"/>
          </w:tcPr>
          <w:p w14:paraId="675AFF4A" w14:textId="77777777" w:rsidR="00557F3D" w:rsidRPr="00EA7422" w:rsidRDefault="00557F3D" w:rsidP="00557F3D">
            <w:pPr>
              <w:rPr>
                <w:szCs w:val="22"/>
              </w:rPr>
            </w:pPr>
            <w:r w:rsidRPr="00EA7422">
              <w:rPr>
                <w:szCs w:val="22"/>
              </w:rPr>
              <w:t>Directorate Management Team</w:t>
            </w:r>
          </w:p>
        </w:tc>
      </w:tr>
      <w:tr w:rsidR="00557F3D" w:rsidRPr="00EA7422" w14:paraId="1B739E37" w14:textId="77777777" w:rsidTr="00557F3D">
        <w:tc>
          <w:tcPr>
            <w:tcW w:w="2689" w:type="dxa"/>
          </w:tcPr>
          <w:p w14:paraId="1B0F79C1" w14:textId="77777777" w:rsidR="00557F3D" w:rsidRPr="00EA7422" w:rsidRDefault="00557F3D" w:rsidP="00557F3D">
            <w:pPr>
              <w:rPr>
                <w:iCs/>
                <w:szCs w:val="22"/>
                <w:lang w:val="en-US"/>
              </w:rPr>
            </w:pPr>
            <w:r w:rsidRPr="00EA7422">
              <w:rPr>
                <w:iCs/>
                <w:szCs w:val="22"/>
                <w:lang w:val="en-US"/>
              </w:rPr>
              <w:t>DTOC</w:t>
            </w:r>
          </w:p>
        </w:tc>
        <w:tc>
          <w:tcPr>
            <w:tcW w:w="6327" w:type="dxa"/>
          </w:tcPr>
          <w:p w14:paraId="3BBEA2AD" w14:textId="77777777" w:rsidR="00557F3D" w:rsidRPr="00EA7422" w:rsidRDefault="00557F3D" w:rsidP="00557F3D">
            <w:pPr>
              <w:rPr>
                <w:szCs w:val="22"/>
              </w:rPr>
            </w:pPr>
            <w:r w:rsidRPr="00EA7422">
              <w:rPr>
                <w:szCs w:val="22"/>
              </w:rPr>
              <w:t>Days in Transfer of Care</w:t>
            </w:r>
          </w:p>
        </w:tc>
      </w:tr>
      <w:tr w:rsidR="00557F3D" w:rsidRPr="00EA7422" w14:paraId="79328858" w14:textId="77777777" w:rsidTr="00557F3D">
        <w:tc>
          <w:tcPr>
            <w:tcW w:w="2689" w:type="dxa"/>
          </w:tcPr>
          <w:p w14:paraId="3D8975E1" w14:textId="77777777" w:rsidR="00557F3D" w:rsidRPr="00EA7422" w:rsidRDefault="00557F3D" w:rsidP="00557F3D">
            <w:pPr>
              <w:rPr>
                <w:szCs w:val="22"/>
              </w:rPr>
            </w:pPr>
            <w:r w:rsidRPr="00EA7422">
              <w:rPr>
                <w:szCs w:val="22"/>
              </w:rPr>
              <w:t>EHCP</w:t>
            </w:r>
          </w:p>
        </w:tc>
        <w:tc>
          <w:tcPr>
            <w:tcW w:w="6327" w:type="dxa"/>
          </w:tcPr>
          <w:p w14:paraId="5D7C00AB" w14:textId="77777777" w:rsidR="00557F3D" w:rsidRPr="00EA7422" w:rsidRDefault="00557F3D" w:rsidP="00557F3D">
            <w:pPr>
              <w:tabs>
                <w:tab w:val="left" w:pos="1946"/>
              </w:tabs>
              <w:rPr>
                <w:szCs w:val="22"/>
              </w:rPr>
            </w:pPr>
            <w:r w:rsidRPr="00EA7422">
              <w:rPr>
                <w:szCs w:val="22"/>
              </w:rPr>
              <w:t>Education Health and Care Plans</w:t>
            </w:r>
          </w:p>
        </w:tc>
      </w:tr>
      <w:tr w:rsidR="00557F3D" w:rsidRPr="00EA7422" w14:paraId="2A75B414" w14:textId="77777777" w:rsidTr="00557F3D">
        <w:tc>
          <w:tcPr>
            <w:tcW w:w="2689" w:type="dxa"/>
          </w:tcPr>
          <w:p w14:paraId="22A58B36" w14:textId="77777777" w:rsidR="00557F3D" w:rsidRPr="00EA7422" w:rsidRDefault="00557F3D" w:rsidP="00557F3D">
            <w:pPr>
              <w:rPr>
                <w:iCs/>
                <w:szCs w:val="22"/>
                <w:lang w:val="en-US"/>
              </w:rPr>
            </w:pPr>
            <w:r w:rsidRPr="00EA7422">
              <w:rPr>
                <w:iCs/>
                <w:szCs w:val="22"/>
                <w:lang w:val="en-US"/>
              </w:rPr>
              <w:t>EIR</w:t>
            </w:r>
          </w:p>
        </w:tc>
        <w:tc>
          <w:tcPr>
            <w:tcW w:w="6327" w:type="dxa"/>
          </w:tcPr>
          <w:p w14:paraId="43DA582E" w14:textId="77777777" w:rsidR="00557F3D" w:rsidRPr="00EA7422" w:rsidRDefault="00557F3D" w:rsidP="00557F3D">
            <w:pPr>
              <w:rPr>
                <w:szCs w:val="22"/>
              </w:rPr>
            </w:pPr>
            <w:r w:rsidRPr="00EA7422">
              <w:rPr>
                <w:szCs w:val="22"/>
              </w:rPr>
              <w:t>Environmental Information regulations</w:t>
            </w:r>
          </w:p>
        </w:tc>
      </w:tr>
      <w:tr w:rsidR="00557F3D" w:rsidRPr="00EA7422" w14:paraId="46789DAA" w14:textId="77777777" w:rsidTr="00557F3D">
        <w:tc>
          <w:tcPr>
            <w:tcW w:w="2689" w:type="dxa"/>
          </w:tcPr>
          <w:p w14:paraId="008A352B" w14:textId="77777777" w:rsidR="00557F3D" w:rsidRPr="00EA7422" w:rsidRDefault="00557F3D" w:rsidP="00557F3D">
            <w:pPr>
              <w:rPr>
                <w:szCs w:val="22"/>
                <w:lang w:eastAsia="en-GB"/>
              </w:rPr>
            </w:pPr>
            <w:r w:rsidRPr="00EA7422">
              <w:rPr>
                <w:szCs w:val="22"/>
                <w:lang w:eastAsia="en-GB"/>
              </w:rPr>
              <w:t>FLARE</w:t>
            </w:r>
          </w:p>
        </w:tc>
        <w:tc>
          <w:tcPr>
            <w:tcW w:w="6327" w:type="dxa"/>
          </w:tcPr>
          <w:p w14:paraId="51265430" w14:textId="77777777" w:rsidR="00557F3D" w:rsidRPr="00EA7422" w:rsidRDefault="00557F3D" w:rsidP="00557F3D">
            <w:pPr>
              <w:rPr>
                <w:szCs w:val="22"/>
              </w:rPr>
            </w:pPr>
            <w:r w:rsidRPr="00EA7422">
              <w:rPr>
                <w:szCs w:val="22"/>
              </w:rPr>
              <w:t>Rutland County Councils Environmental Services software system</w:t>
            </w:r>
          </w:p>
        </w:tc>
      </w:tr>
      <w:tr w:rsidR="00557F3D" w:rsidRPr="00EA7422" w14:paraId="334DF031" w14:textId="77777777" w:rsidTr="00557F3D">
        <w:tc>
          <w:tcPr>
            <w:tcW w:w="2689" w:type="dxa"/>
          </w:tcPr>
          <w:p w14:paraId="1C455B1A" w14:textId="77777777" w:rsidR="00557F3D" w:rsidRPr="00EA7422" w:rsidRDefault="00557F3D" w:rsidP="00557F3D">
            <w:pPr>
              <w:rPr>
                <w:iCs/>
                <w:szCs w:val="22"/>
                <w:lang w:val="en-US"/>
              </w:rPr>
            </w:pPr>
            <w:r w:rsidRPr="00EA7422">
              <w:rPr>
                <w:iCs/>
                <w:szCs w:val="22"/>
                <w:lang w:val="en-US"/>
              </w:rPr>
              <w:t>FOI</w:t>
            </w:r>
          </w:p>
        </w:tc>
        <w:tc>
          <w:tcPr>
            <w:tcW w:w="6327" w:type="dxa"/>
          </w:tcPr>
          <w:p w14:paraId="2BC4ADD8" w14:textId="77777777" w:rsidR="00557F3D" w:rsidRPr="00EA7422" w:rsidRDefault="00557F3D" w:rsidP="00557F3D">
            <w:pPr>
              <w:rPr>
                <w:szCs w:val="22"/>
              </w:rPr>
            </w:pPr>
            <w:r w:rsidRPr="00EA7422">
              <w:rPr>
                <w:szCs w:val="22"/>
              </w:rPr>
              <w:t>Freedom of Information</w:t>
            </w:r>
          </w:p>
        </w:tc>
      </w:tr>
      <w:tr w:rsidR="00557F3D" w:rsidRPr="00EA7422" w14:paraId="1A93D086" w14:textId="77777777" w:rsidTr="00557F3D">
        <w:tc>
          <w:tcPr>
            <w:tcW w:w="2689" w:type="dxa"/>
          </w:tcPr>
          <w:p w14:paraId="50044E88" w14:textId="77777777" w:rsidR="00557F3D" w:rsidRPr="00EA7422" w:rsidRDefault="00557F3D" w:rsidP="00557F3D">
            <w:pPr>
              <w:rPr>
                <w:szCs w:val="22"/>
              </w:rPr>
            </w:pPr>
            <w:r w:rsidRPr="00EA7422">
              <w:rPr>
                <w:szCs w:val="22"/>
              </w:rPr>
              <w:t>FPR’s</w:t>
            </w:r>
          </w:p>
        </w:tc>
        <w:tc>
          <w:tcPr>
            <w:tcW w:w="6327" w:type="dxa"/>
          </w:tcPr>
          <w:p w14:paraId="5045A33A" w14:textId="77777777" w:rsidR="00557F3D" w:rsidRPr="00EA7422" w:rsidRDefault="00557F3D" w:rsidP="00557F3D">
            <w:pPr>
              <w:tabs>
                <w:tab w:val="left" w:pos="1303"/>
              </w:tabs>
              <w:rPr>
                <w:szCs w:val="22"/>
              </w:rPr>
            </w:pPr>
            <w:r w:rsidRPr="00EA7422">
              <w:rPr>
                <w:szCs w:val="22"/>
              </w:rPr>
              <w:t>Financial Procedure Rules</w:t>
            </w:r>
          </w:p>
        </w:tc>
      </w:tr>
      <w:tr w:rsidR="00557F3D" w:rsidRPr="00EA7422" w14:paraId="0CBA24B2" w14:textId="77777777" w:rsidTr="00557F3D">
        <w:tc>
          <w:tcPr>
            <w:tcW w:w="2689" w:type="dxa"/>
          </w:tcPr>
          <w:p w14:paraId="33B36019" w14:textId="77777777" w:rsidR="00557F3D" w:rsidRPr="00EA7422" w:rsidRDefault="00557F3D" w:rsidP="00557F3D">
            <w:pPr>
              <w:rPr>
                <w:szCs w:val="22"/>
              </w:rPr>
            </w:pPr>
            <w:r w:rsidRPr="00EA7422">
              <w:rPr>
                <w:iCs/>
                <w:szCs w:val="22"/>
              </w:rPr>
              <w:t>GDPR</w:t>
            </w:r>
          </w:p>
        </w:tc>
        <w:tc>
          <w:tcPr>
            <w:tcW w:w="6327" w:type="dxa"/>
          </w:tcPr>
          <w:p w14:paraId="037A7A80" w14:textId="77777777" w:rsidR="00557F3D" w:rsidRPr="00EA7422" w:rsidRDefault="00557F3D" w:rsidP="00557F3D">
            <w:pPr>
              <w:rPr>
                <w:szCs w:val="22"/>
              </w:rPr>
            </w:pPr>
            <w:r w:rsidRPr="00EA7422">
              <w:rPr>
                <w:szCs w:val="22"/>
              </w:rPr>
              <w:t>General Data Protection Regulation</w:t>
            </w:r>
          </w:p>
        </w:tc>
      </w:tr>
      <w:tr w:rsidR="00557F3D" w:rsidRPr="00EA7422" w14:paraId="7CA9A61D" w14:textId="77777777" w:rsidTr="00557F3D">
        <w:tc>
          <w:tcPr>
            <w:tcW w:w="2689" w:type="dxa"/>
          </w:tcPr>
          <w:p w14:paraId="5C1E69E0" w14:textId="77777777" w:rsidR="00557F3D" w:rsidRPr="00EA7422" w:rsidRDefault="00557F3D" w:rsidP="00557F3D">
            <w:pPr>
              <w:rPr>
                <w:szCs w:val="22"/>
                <w:lang w:eastAsia="en-GB"/>
              </w:rPr>
            </w:pPr>
            <w:r w:rsidRPr="00EA7422">
              <w:rPr>
                <w:szCs w:val="22"/>
                <w:lang w:eastAsia="en-GB"/>
              </w:rPr>
              <w:t>ICO</w:t>
            </w:r>
          </w:p>
        </w:tc>
        <w:tc>
          <w:tcPr>
            <w:tcW w:w="6327" w:type="dxa"/>
          </w:tcPr>
          <w:p w14:paraId="15D08C78" w14:textId="77777777" w:rsidR="00557F3D" w:rsidRPr="00EA7422" w:rsidRDefault="00557F3D" w:rsidP="00557F3D">
            <w:pPr>
              <w:rPr>
                <w:szCs w:val="22"/>
              </w:rPr>
            </w:pPr>
            <w:r w:rsidRPr="00EA7422">
              <w:rPr>
                <w:szCs w:val="22"/>
              </w:rPr>
              <w:t>Information Commissioner’s Office</w:t>
            </w:r>
          </w:p>
        </w:tc>
      </w:tr>
      <w:tr w:rsidR="00557F3D" w:rsidRPr="00EA7422" w14:paraId="5898FC05" w14:textId="77777777" w:rsidTr="00557F3D">
        <w:tc>
          <w:tcPr>
            <w:tcW w:w="2689" w:type="dxa"/>
          </w:tcPr>
          <w:p w14:paraId="1356B487" w14:textId="77777777" w:rsidR="00557F3D" w:rsidRPr="00EA7422" w:rsidRDefault="00557F3D" w:rsidP="00557F3D">
            <w:pPr>
              <w:rPr>
                <w:szCs w:val="22"/>
              </w:rPr>
            </w:pPr>
            <w:r w:rsidRPr="00EA7422">
              <w:rPr>
                <w:iCs/>
                <w:szCs w:val="22"/>
              </w:rPr>
              <w:t>LGA</w:t>
            </w:r>
          </w:p>
        </w:tc>
        <w:tc>
          <w:tcPr>
            <w:tcW w:w="6327" w:type="dxa"/>
          </w:tcPr>
          <w:p w14:paraId="00585A9D" w14:textId="77777777" w:rsidR="00557F3D" w:rsidRPr="00EA7422" w:rsidRDefault="00557F3D" w:rsidP="00557F3D">
            <w:pPr>
              <w:rPr>
                <w:szCs w:val="22"/>
              </w:rPr>
            </w:pPr>
            <w:r w:rsidRPr="00EA7422">
              <w:rPr>
                <w:szCs w:val="22"/>
              </w:rPr>
              <w:t xml:space="preserve">Local Government Association </w:t>
            </w:r>
          </w:p>
        </w:tc>
      </w:tr>
      <w:tr w:rsidR="00557F3D" w:rsidRPr="00EA7422" w14:paraId="4AC5F34D" w14:textId="77777777" w:rsidTr="00557F3D">
        <w:tc>
          <w:tcPr>
            <w:tcW w:w="2689" w:type="dxa"/>
          </w:tcPr>
          <w:p w14:paraId="0009347F" w14:textId="77777777" w:rsidR="00557F3D" w:rsidRPr="00EA7422" w:rsidRDefault="00557F3D" w:rsidP="00557F3D">
            <w:pPr>
              <w:rPr>
                <w:iCs/>
                <w:szCs w:val="22"/>
                <w:lang w:val="en-US"/>
              </w:rPr>
            </w:pPr>
            <w:r w:rsidRPr="00EA7422">
              <w:rPr>
                <w:iCs/>
                <w:szCs w:val="22"/>
                <w:lang w:val="en-US"/>
              </w:rPr>
              <w:t>LLR</w:t>
            </w:r>
          </w:p>
        </w:tc>
        <w:tc>
          <w:tcPr>
            <w:tcW w:w="6327" w:type="dxa"/>
          </w:tcPr>
          <w:p w14:paraId="7C2FA47B" w14:textId="77777777" w:rsidR="00557F3D" w:rsidRPr="00EA7422" w:rsidRDefault="00557F3D" w:rsidP="00557F3D">
            <w:pPr>
              <w:rPr>
                <w:szCs w:val="22"/>
              </w:rPr>
            </w:pPr>
            <w:r w:rsidRPr="00EA7422">
              <w:rPr>
                <w:szCs w:val="22"/>
              </w:rPr>
              <w:t>Leicestershire, Leicester &amp; Rutland</w:t>
            </w:r>
          </w:p>
        </w:tc>
      </w:tr>
      <w:tr w:rsidR="00557F3D" w:rsidRPr="00EA7422" w14:paraId="29BA29DA" w14:textId="77777777" w:rsidTr="00557F3D">
        <w:tc>
          <w:tcPr>
            <w:tcW w:w="2689" w:type="dxa"/>
          </w:tcPr>
          <w:p w14:paraId="2713B8C0" w14:textId="77777777" w:rsidR="00557F3D" w:rsidRPr="00EA7422" w:rsidRDefault="00557F3D" w:rsidP="00557F3D">
            <w:pPr>
              <w:rPr>
                <w:szCs w:val="22"/>
                <w:lang w:eastAsia="en-GB"/>
              </w:rPr>
            </w:pPr>
            <w:r w:rsidRPr="00EA7422">
              <w:rPr>
                <w:szCs w:val="22"/>
                <w:lang w:eastAsia="en-GB"/>
              </w:rPr>
              <w:t>LRF</w:t>
            </w:r>
          </w:p>
        </w:tc>
        <w:tc>
          <w:tcPr>
            <w:tcW w:w="6327" w:type="dxa"/>
          </w:tcPr>
          <w:p w14:paraId="3AA3672E" w14:textId="77777777" w:rsidR="00557F3D" w:rsidRPr="00EA7422" w:rsidRDefault="00557F3D" w:rsidP="00557F3D">
            <w:pPr>
              <w:rPr>
                <w:szCs w:val="22"/>
              </w:rPr>
            </w:pPr>
            <w:r w:rsidRPr="00EA7422">
              <w:rPr>
                <w:szCs w:val="22"/>
              </w:rPr>
              <w:t>Local Resilience Forum</w:t>
            </w:r>
          </w:p>
        </w:tc>
      </w:tr>
      <w:tr w:rsidR="00557F3D" w:rsidRPr="00EA7422" w14:paraId="7FAE7429" w14:textId="77777777" w:rsidTr="00557F3D">
        <w:tc>
          <w:tcPr>
            <w:tcW w:w="2689" w:type="dxa"/>
          </w:tcPr>
          <w:p w14:paraId="65E45760" w14:textId="77777777" w:rsidR="00557F3D" w:rsidRPr="00EA7422" w:rsidRDefault="00557F3D" w:rsidP="00557F3D">
            <w:pPr>
              <w:rPr>
                <w:szCs w:val="22"/>
                <w:lang w:eastAsia="en-GB"/>
              </w:rPr>
            </w:pPr>
            <w:r w:rsidRPr="00EA7422">
              <w:rPr>
                <w:szCs w:val="22"/>
              </w:rPr>
              <w:t>LRG</w:t>
            </w:r>
          </w:p>
        </w:tc>
        <w:tc>
          <w:tcPr>
            <w:tcW w:w="6327" w:type="dxa"/>
          </w:tcPr>
          <w:p w14:paraId="03F8ED26" w14:textId="77777777" w:rsidR="00557F3D" w:rsidRPr="00EA7422" w:rsidRDefault="00557F3D" w:rsidP="00557F3D">
            <w:pPr>
              <w:rPr>
                <w:szCs w:val="22"/>
              </w:rPr>
            </w:pPr>
            <w:r w:rsidRPr="00EA7422">
              <w:rPr>
                <w:szCs w:val="22"/>
              </w:rPr>
              <w:t>Local Resilience Group</w:t>
            </w:r>
          </w:p>
        </w:tc>
      </w:tr>
      <w:tr w:rsidR="00557F3D" w:rsidRPr="00EA7422" w14:paraId="5F5A8781" w14:textId="77777777" w:rsidTr="00557F3D">
        <w:tc>
          <w:tcPr>
            <w:tcW w:w="2689" w:type="dxa"/>
          </w:tcPr>
          <w:p w14:paraId="62AB5349" w14:textId="77777777" w:rsidR="00557F3D" w:rsidRPr="00EA7422" w:rsidRDefault="00557F3D" w:rsidP="00557F3D">
            <w:pPr>
              <w:rPr>
                <w:szCs w:val="22"/>
                <w:lang w:eastAsia="en-GB"/>
              </w:rPr>
            </w:pPr>
            <w:r w:rsidRPr="00EA7422">
              <w:rPr>
                <w:szCs w:val="22"/>
                <w:lang w:eastAsia="en-GB"/>
              </w:rPr>
              <w:t>LSCG</w:t>
            </w:r>
          </w:p>
        </w:tc>
        <w:tc>
          <w:tcPr>
            <w:tcW w:w="6327" w:type="dxa"/>
          </w:tcPr>
          <w:p w14:paraId="61A7043D" w14:textId="77777777" w:rsidR="00557F3D" w:rsidRPr="00EA7422" w:rsidRDefault="00557F3D" w:rsidP="00557F3D">
            <w:pPr>
              <w:rPr>
                <w:szCs w:val="22"/>
              </w:rPr>
            </w:pPr>
            <w:r w:rsidRPr="00EA7422">
              <w:rPr>
                <w:szCs w:val="22"/>
              </w:rPr>
              <w:t xml:space="preserve">Local Strategic Coordinating Group </w:t>
            </w:r>
          </w:p>
        </w:tc>
      </w:tr>
      <w:tr w:rsidR="00557F3D" w:rsidRPr="00EA7422" w14:paraId="048F5FCC" w14:textId="77777777" w:rsidTr="00557F3D">
        <w:tc>
          <w:tcPr>
            <w:tcW w:w="2689" w:type="dxa"/>
          </w:tcPr>
          <w:p w14:paraId="2F0D368F" w14:textId="77777777" w:rsidR="00557F3D" w:rsidRPr="00EA7422" w:rsidRDefault="00557F3D" w:rsidP="00557F3D">
            <w:pPr>
              <w:rPr>
                <w:szCs w:val="22"/>
                <w:lang w:eastAsia="en-GB"/>
              </w:rPr>
            </w:pPr>
            <w:r w:rsidRPr="00EA7422">
              <w:rPr>
                <w:szCs w:val="22"/>
                <w:lang w:eastAsia="en-GB"/>
              </w:rPr>
              <w:t>LTCG</w:t>
            </w:r>
          </w:p>
        </w:tc>
        <w:tc>
          <w:tcPr>
            <w:tcW w:w="6327" w:type="dxa"/>
          </w:tcPr>
          <w:p w14:paraId="28F2C57F" w14:textId="77777777" w:rsidR="00557F3D" w:rsidRPr="00EA7422" w:rsidRDefault="00557F3D" w:rsidP="00557F3D">
            <w:pPr>
              <w:rPr>
                <w:szCs w:val="22"/>
              </w:rPr>
            </w:pPr>
            <w:r w:rsidRPr="00EA7422">
              <w:rPr>
                <w:szCs w:val="22"/>
              </w:rPr>
              <w:t xml:space="preserve">Local Tactical Coordinating Group </w:t>
            </w:r>
          </w:p>
        </w:tc>
      </w:tr>
      <w:tr w:rsidR="00557F3D" w:rsidRPr="00EA7422" w14:paraId="2E8B9693" w14:textId="77777777" w:rsidTr="00557F3D">
        <w:tc>
          <w:tcPr>
            <w:tcW w:w="2689" w:type="dxa"/>
          </w:tcPr>
          <w:p w14:paraId="0B5AD39A" w14:textId="77777777" w:rsidR="00557F3D" w:rsidRPr="00EA7422" w:rsidRDefault="00557F3D" w:rsidP="00557F3D">
            <w:pPr>
              <w:rPr>
                <w:szCs w:val="22"/>
              </w:rPr>
            </w:pPr>
            <w:r w:rsidRPr="00EA7422">
              <w:rPr>
                <w:szCs w:val="22"/>
              </w:rPr>
              <w:t>MHCLG</w:t>
            </w:r>
          </w:p>
        </w:tc>
        <w:tc>
          <w:tcPr>
            <w:tcW w:w="6327" w:type="dxa"/>
          </w:tcPr>
          <w:p w14:paraId="36748127" w14:textId="77777777" w:rsidR="00557F3D" w:rsidRPr="00EA7422" w:rsidRDefault="00557F3D" w:rsidP="00557F3D">
            <w:pPr>
              <w:rPr>
                <w:szCs w:val="22"/>
              </w:rPr>
            </w:pPr>
            <w:r w:rsidRPr="00EA7422">
              <w:rPr>
                <w:szCs w:val="22"/>
                <w:lang w:eastAsia="en-GB"/>
              </w:rPr>
              <w:t>Ministry for Housing, Communities and Local Government</w:t>
            </w:r>
          </w:p>
        </w:tc>
      </w:tr>
      <w:tr w:rsidR="00557F3D" w:rsidRPr="00EA7422" w14:paraId="0A623B1F" w14:textId="77777777" w:rsidTr="00557F3D">
        <w:tc>
          <w:tcPr>
            <w:tcW w:w="2689" w:type="dxa"/>
          </w:tcPr>
          <w:p w14:paraId="3C1C6456" w14:textId="77777777" w:rsidR="00557F3D" w:rsidRPr="00EA7422" w:rsidRDefault="00557F3D" w:rsidP="00557F3D">
            <w:pPr>
              <w:rPr>
                <w:iCs/>
                <w:szCs w:val="22"/>
                <w:lang w:val="en-US"/>
              </w:rPr>
            </w:pPr>
            <w:r w:rsidRPr="00EA7422">
              <w:rPr>
                <w:szCs w:val="22"/>
                <w:lang w:val="en" w:eastAsia="en-GB"/>
              </w:rPr>
              <w:t>MICARE</w:t>
            </w:r>
          </w:p>
        </w:tc>
        <w:tc>
          <w:tcPr>
            <w:tcW w:w="6327" w:type="dxa"/>
          </w:tcPr>
          <w:p w14:paraId="28421667" w14:textId="77777777" w:rsidR="00557F3D" w:rsidRPr="00EA7422" w:rsidRDefault="00557F3D" w:rsidP="00557F3D">
            <w:pPr>
              <w:rPr>
                <w:szCs w:val="22"/>
              </w:rPr>
            </w:pPr>
            <w:r w:rsidRPr="00EA7422">
              <w:rPr>
                <w:szCs w:val="22"/>
              </w:rPr>
              <w:t>Rutland County Councils Supported Living and Day Opportunities Service – Adults Social Care</w:t>
            </w:r>
          </w:p>
        </w:tc>
      </w:tr>
      <w:tr w:rsidR="00557F3D" w:rsidRPr="00EA7422" w14:paraId="0EDF6F1F" w14:textId="77777777" w:rsidTr="00557F3D">
        <w:tc>
          <w:tcPr>
            <w:tcW w:w="2689" w:type="dxa"/>
          </w:tcPr>
          <w:p w14:paraId="7582D599" w14:textId="77777777" w:rsidR="00557F3D" w:rsidRPr="00EA7422" w:rsidRDefault="00557F3D" w:rsidP="00557F3D">
            <w:pPr>
              <w:rPr>
                <w:szCs w:val="22"/>
              </w:rPr>
            </w:pPr>
            <w:r w:rsidRPr="00EA7422">
              <w:rPr>
                <w:szCs w:val="22"/>
              </w:rPr>
              <w:t>MOD</w:t>
            </w:r>
          </w:p>
        </w:tc>
        <w:tc>
          <w:tcPr>
            <w:tcW w:w="6327" w:type="dxa"/>
          </w:tcPr>
          <w:p w14:paraId="37493768" w14:textId="77777777" w:rsidR="00557F3D" w:rsidRPr="00EA7422" w:rsidRDefault="00557F3D" w:rsidP="00557F3D">
            <w:pPr>
              <w:rPr>
                <w:szCs w:val="22"/>
              </w:rPr>
            </w:pPr>
            <w:r w:rsidRPr="00EA7422">
              <w:rPr>
                <w:szCs w:val="22"/>
                <w:lang w:eastAsia="en-GB"/>
              </w:rPr>
              <w:t>Ministry of Defence</w:t>
            </w:r>
          </w:p>
        </w:tc>
      </w:tr>
      <w:tr w:rsidR="00557F3D" w:rsidRPr="00EA7422" w14:paraId="46C654DF" w14:textId="77777777" w:rsidTr="00557F3D">
        <w:tc>
          <w:tcPr>
            <w:tcW w:w="2689" w:type="dxa"/>
          </w:tcPr>
          <w:p w14:paraId="2CB69FAD" w14:textId="77777777" w:rsidR="00557F3D" w:rsidRPr="00EA7422" w:rsidRDefault="00557F3D" w:rsidP="00557F3D">
            <w:pPr>
              <w:rPr>
                <w:szCs w:val="22"/>
              </w:rPr>
            </w:pPr>
            <w:r w:rsidRPr="00EA7422">
              <w:rPr>
                <w:szCs w:val="22"/>
              </w:rPr>
              <w:t>MTFP</w:t>
            </w:r>
          </w:p>
        </w:tc>
        <w:tc>
          <w:tcPr>
            <w:tcW w:w="6327" w:type="dxa"/>
          </w:tcPr>
          <w:p w14:paraId="75187827" w14:textId="77777777" w:rsidR="00557F3D" w:rsidRPr="00EA7422" w:rsidRDefault="00557F3D" w:rsidP="00557F3D">
            <w:pPr>
              <w:rPr>
                <w:szCs w:val="22"/>
              </w:rPr>
            </w:pPr>
            <w:r w:rsidRPr="00EA7422">
              <w:rPr>
                <w:szCs w:val="22"/>
              </w:rPr>
              <w:t>Medium Term Financial Plan</w:t>
            </w:r>
          </w:p>
        </w:tc>
      </w:tr>
      <w:tr w:rsidR="00557F3D" w:rsidRPr="00EA7422" w14:paraId="17BDAB0B" w14:textId="77777777" w:rsidTr="00557F3D">
        <w:tc>
          <w:tcPr>
            <w:tcW w:w="2689" w:type="dxa"/>
          </w:tcPr>
          <w:p w14:paraId="41B2CDA5" w14:textId="77777777" w:rsidR="00557F3D" w:rsidRPr="00EA7422" w:rsidRDefault="00557F3D" w:rsidP="00557F3D">
            <w:pPr>
              <w:rPr>
                <w:iCs/>
                <w:szCs w:val="22"/>
                <w:lang w:val="en-US"/>
              </w:rPr>
            </w:pPr>
            <w:r w:rsidRPr="00EA7422">
              <w:rPr>
                <w:szCs w:val="22"/>
                <w:lang w:eastAsia="en-GB"/>
              </w:rPr>
              <w:t>NFI</w:t>
            </w:r>
          </w:p>
        </w:tc>
        <w:tc>
          <w:tcPr>
            <w:tcW w:w="6327" w:type="dxa"/>
          </w:tcPr>
          <w:p w14:paraId="03881C98" w14:textId="77777777" w:rsidR="00557F3D" w:rsidRPr="00EA7422" w:rsidRDefault="00557F3D" w:rsidP="00557F3D">
            <w:pPr>
              <w:rPr>
                <w:szCs w:val="22"/>
              </w:rPr>
            </w:pPr>
            <w:r w:rsidRPr="00EA7422">
              <w:rPr>
                <w:szCs w:val="22"/>
              </w:rPr>
              <w:t xml:space="preserve">Nation Fraud Initiative </w:t>
            </w:r>
          </w:p>
        </w:tc>
      </w:tr>
      <w:tr w:rsidR="00557F3D" w:rsidRPr="00EA7422" w14:paraId="731CB8D6" w14:textId="77777777" w:rsidTr="00557F3D">
        <w:tc>
          <w:tcPr>
            <w:tcW w:w="2689" w:type="dxa"/>
          </w:tcPr>
          <w:p w14:paraId="625784D5" w14:textId="77777777" w:rsidR="00557F3D" w:rsidRPr="00EA7422" w:rsidRDefault="00557F3D" w:rsidP="00557F3D">
            <w:pPr>
              <w:rPr>
                <w:iCs/>
                <w:szCs w:val="22"/>
                <w:lang w:val="en-US"/>
              </w:rPr>
            </w:pPr>
            <w:r w:rsidRPr="00EA7422">
              <w:rPr>
                <w:iCs/>
                <w:szCs w:val="22"/>
                <w:lang w:val="en-US"/>
              </w:rPr>
              <w:t>OFSTED</w:t>
            </w:r>
          </w:p>
        </w:tc>
        <w:tc>
          <w:tcPr>
            <w:tcW w:w="6327" w:type="dxa"/>
          </w:tcPr>
          <w:p w14:paraId="528FD64A" w14:textId="77777777" w:rsidR="00557F3D" w:rsidRPr="00EA7422" w:rsidRDefault="00557F3D" w:rsidP="00557F3D">
            <w:pPr>
              <w:rPr>
                <w:szCs w:val="22"/>
              </w:rPr>
            </w:pPr>
            <w:r w:rsidRPr="00EA7422">
              <w:rPr>
                <w:rStyle w:val="hgkelc"/>
                <w:szCs w:val="22"/>
              </w:rPr>
              <w:t>Office for Standards in Education, Children's Services and Skills</w:t>
            </w:r>
          </w:p>
        </w:tc>
      </w:tr>
      <w:tr w:rsidR="00557F3D" w:rsidRPr="00EA7422" w14:paraId="69F95875" w14:textId="77777777" w:rsidTr="00557F3D">
        <w:tc>
          <w:tcPr>
            <w:tcW w:w="2689" w:type="dxa"/>
          </w:tcPr>
          <w:p w14:paraId="2FEBCF6C" w14:textId="77777777" w:rsidR="00557F3D" w:rsidRPr="00EA7422" w:rsidRDefault="00557F3D" w:rsidP="00557F3D">
            <w:pPr>
              <w:rPr>
                <w:iCs/>
                <w:szCs w:val="22"/>
                <w:lang w:val="en-US"/>
              </w:rPr>
            </w:pPr>
            <w:r w:rsidRPr="00EA7422">
              <w:rPr>
                <w:color w:val="000000"/>
                <w:szCs w:val="22"/>
              </w:rPr>
              <w:t>ONS</w:t>
            </w:r>
          </w:p>
        </w:tc>
        <w:tc>
          <w:tcPr>
            <w:tcW w:w="6327" w:type="dxa"/>
          </w:tcPr>
          <w:p w14:paraId="04812872" w14:textId="77777777" w:rsidR="00557F3D" w:rsidRPr="00EA7422" w:rsidRDefault="00557F3D" w:rsidP="00557F3D">
            <w:pPr>
              <w:rPr>
                <w:szCs w:val="22"/>
              </w:rPr>
            </w:pPr>
            <w:r w:rsidRPr="00EA7422">
              <w:rPr>
                <w:szCs w:val="22"/>
              </w:rPr>
              <w:t xml:space="preserve">Office for National Statistics </w:t>
            </w:r>
          </w:p>
        </w:tc>
      </w:tr>
      <w:tr w:rsidR="00557F3D" w:rsidRPr="00EA7422" w14:paraId="58459488" w14:textId="77777777" w:rsidTr="00557F3D">
        <w:tc>
          <w:tcPr>
            <w:tcW w:w="2689" w:type="dxa"/>
          </w:tcPr>
          <w:p w14:paraId="1DC35F71" w14:textId="77777777" w:rsidR="00557F3D" w:rsidRPr="00EA7422" w:rsidRDefault="00557F3D" w:rsidP="00557F3D">
            <w:pPr>
              <w:rPr>
                <w:szCs w:val="22"/>
              </w:rPr>
            </w:pPr>
            <w:r w:rsidRPr="00EA7422">
              <w:rPr>
                <w:iCs/>
                <w:szCs w:val="22"/>
                <w:lang w:val="en-US"/>
              </w:rPr>
              <w:t xml:space="preserve">OPE </w:t>
            </w:r>
          </w:p>
        </w:tc>
        <w:tc>
          <w:tcPr>
            <w:tcW w:w="6327" w:type="dxa"/>
          </w:tcPr>
          <w:p w14:paraId="6B312AD8" w14:textId="77777777" w:rsidR="00557F3D" w:rsidRPr="00EA7422" w:rsidRDefault="00557F3D" w:rsidP="00557F3D">
            <w:pPr>
              <w:rPr>
                <w:szCs w:val="22"/>
              </w:rPr>
            </w:pPr>
            <w:r w:rsidRPr="00EA7422">
              <w:rPr>
                <w:szCs w:val="22"/>
              </w:rPr>
              <w:t>One Public Estate</w:t>
            </w:r>
          </w:p>
        </w:tc>
      </w:tr>
      <w:tr w:rsidR="00557F3D" w:rsidRPr="00EA7422" w14:paraId="4ACF6801" w14:textId="77777777" w:rsidTr="00557F3D">
        <w:tc>
          <w:tcPr>
            <w:tcW w:w="2689" w:type="dxa"/>
          </w:tcPr>
          <w:p w14:paraId="00600D30" w14:textId="77777777" w:rsidR="00557F3D" w:rsidRPr="00EA7422" w:rsidRDefault="00557F3D" w:rsidP="00557F3D">
            <w:pPr>
              <w:rPr>
                <w:szCs w:val="22"/>
              </w:rPr>
            </w:pPr>
            <w:r w:rsidRPr="00EA7422">
              <w:rPr>
                <w:szCs w:val="22"/>
              </w:rPr>
              <w:t>PCC</w:t>
            </w:r>
          </w:p>
        </w:tc>
        <w:tc>
          <w:tcPr>
            <w:tcW w:w="6327" w:type="dxa"/>
          </w:tcPr>
          <w:p w14:paraId="7FE68D80" w14:textId="77777777" w:rsidR="00557F3D" w:rsidRPr="00EA7422" w:rsidRDefault="00557F3D" w:rsidP="00557F3D">
            <w:pPr>
              <w:rPr>
                <w:szCs w:val="22"/>
              </w:rPr>
            </w:pPr>
            <w:r w:rsidRPr="00EA7422">
              <w:rPr>
                <w:bCs/>
                <w:szCs w:val="22"/>
                <w:lang w:eastAsia="en-GB"/>
              </w:rPr>
              <w:t>Peterborough City Council</w:t>
            </w:r>
          </w:p>
        </w:tc>
      </w:tr>
      <w:tr w:rsidR="00557F3D" w:rsidRPr="00EA7422" w14:paraId="6EE1F7D3" w14:textId="77777777" w:rsidTr="00557F3D">
        <w:tc>
          <w:tcPr>
            <w:tcW w:w="2689" w:type="dxa"/>
          </w:tcPr>
          <w:p w14:paraId="11D5C402" w14:textId="77777777" w:rsidR="00557F3D" w:rsidRPr="00EA7422" w:rsidRDefault="00557F3D" w:rsidP="00557F3D">
            <w:pPr>
              <w:rPr>
                <w:szCs w:val="22"/>
              </w:rPr>
            </w:pPr>
            <w:r w:rsidRPr="00EA7422">
              <w:rPr>
                <w:szCs w:val="22"/>
              </w:rPr>
              <w:t>PDR</w:t>
            </w:r>
          </w:p>
        </w:tc>
        <w:tc>
          <w:tcPr>
            <w:tcW w:w="6327" w:type="dxa"/>
          </w:tcPr>
          <w:p w14:paraId="50CD4BCE" w14:textId="77777777" w:rsidR="00557F3D" w:rsidRPr="00EA7422" w:rsidRDefault="00557F3D" w:rsidP="00557F3D">
            <w:pPr>
              <w:rPr>
                <w:szCs w:val="22"/>
              </w:rPr>
            </w:pPr>
            <w:r w:rsidRPr="00EA7422">
              <w:rPr>
                <w:szCs w:val="22"/>
              </w:rPr>
              <w:t>Performance Development Review</w:t>
            </w:r>
          </w:p>
        </w:tc>
      </w:tr>
      <w:tr w:rsidR="00557F3D" w:rsidRPr="00EA7422" w14:paraId="5045DA75" w14:textId="77777777" w:rsidTr="00557F3D">
        <w:tc>
          <w:tcPr>
            <w:tcW w:w="2689" w:type="dxa"/>
          </w:tcPr>
          <w:p w14:paraId="6DED3942" w14:textId="77777777" w:rsidR="00557F3D" w:rsidRPr="00EA7422" w:rsidRDefault="00557F3D" w:rsidP="00557F3D">
            <w:pPr>
              <w:rPr>
                <w:szCs w:val="22"/>
              </w:rPr>
            </w:pPr>
            <w:r w:rsidRPr="00EA7422">
              <w:rPr>
                <w:szCs w:val="22"/>
              </w:rPr>
              <w:t>PSN</w:t>
            </w:r>
          </w:p>
        </w:tc>
        <w:tc>
          <w:tcPr>
            <w:tcW w:w="6327" w:type="dxa"/>
          </w:tcPr>
          <w:p w14:paraId="40BA907D" w14:textId="77777777" w:rsidR="00557F3D" w:rsidRPr="00EA7422" w:rsidRDefault="00557F3D" w:rsidP="00557F3D">
            <w:pPr>
              <w:tabs>
                <w:tab w:val="left" w:pos="1946"/>
              </w:tabs>
              <w:rPr>
                <w:szCs w:val="22"/>
              </w:rPr>
            </w:pPr>
            <w:r w:rsidRPr="00EA7422">
              <w:rPr>
                <w:szCs w:val="22"/>
              </w:rPr>
              <w:t>Public Services Network</w:t>
            </w:r>
          </w:p>
        </w:tc>
      </w:tr>
      <w:tr w:rsidR="00557F3D" w:rsidRPr="00EA7422" w14:paraId="1B7798A8" w14:textId="77777777" w:rsidTr="00557F3D">
        <w:tc>
          <w:tcPr>
            <w:tcW w:w="2689" w:type="dxa"/>
          </w:tcPr>
          <w:p w14:paraId="22DAAC8C" w14:textId="77777777" w:rsidR="00557F3D" w:rsidRPr="00EA7422" w:rsidRDefault="00557F3D" w:rsidP="00557F3D">
            <w:pPr>
              <w:rPr>
                <w:iCs/>
                <w:szCs w:val="22"/>
                <w:lang w:val="en-US"/>
              </w:rPr>
            </w:pPr>
            <w:r w:rsidRPr="00EA7422">
              <w:rPr>
                <w:color w:val="000000"/>
                <w:szCs w:val="22"/>
                <w:lang w:val="en-US" w:eastAsia="en-GB"/>
              </w:rPr>
              <w:t>RISE Service</w:t>
            </w:r>
          </w:p>
        </w:tc>
        <w:tc>
          <w:tcPr>
            <w:tcW w:w="6327" w:type="dxa"/>
          </w:tcPr>
          <w:p w14:paraId="3A1A3BDE" w14:textId="77777777" w:rsidR="00557F3D" w:rsidRPr="00EA7422" w:rsidRDefault="00557F3D" w:rsidP="00557F3D">
            <w:pPr>
              <w:rPr>
                <w:szCs w:val="22"/>
              </w:rPr>
            </w:pPr>
            <w:r w:rsidRPr="00EA7422">
              <w:rPr>
                <w:szCs w:val="22"/>
              </w:rPr>
              <w:t>Rutland Integrated Social Empowerment – Adults Social Care</w:t>
            </w:r>
          </w:p>
        </w:tc>
      </w:tr>
      <w:tr w:rsidR="00557F3D" w:rsidRPr="00EA7422" w14:paraId="2B7E5541" w14:textId="77777777" w:rsidTr="00557F3D">
        <w:tc>
          <w:tcPr>
            <w:tcW w:w="2689" w:type="dxa"/>
          </w:tcPr>
          <w:p w14:paraId="562812D0" w14:textId="77777777" w:rsidR="00557F3D" w:rsidRPr="00EA7422" w:rsidRDefault="00557F3D" w:rsidP="00557F3D">
            <w:pPr>
              <w:rPr>
                <w:szCs w:val="22"/>
              </w:rPr>
            </w:pPr>
            <w:r w:rsidRPr="00EA7422">
              <w:rPr>
                <w:szCs w:val="22"/>
              </w:rPr>
              <w:t>RSCG</w:t>
            </w:r>
          </w:p>
        </w:tc>
        <w:tc>
          <w:tcPr>
            <w:tcW w:w="6327" w:type="dxa"/>
          </w:tcPr>
          <w:p w14:paraId="5A668EBA" w14:textId="77777777" w:rsidR="00557F3D" w:rsidRPr="00EA7422" w:rsidRDefault="00557F3D" w:rsidP="00557F3D">
            <w:pPr>
              <w:rPr>
                <w:szCs w:val="22"/>
              </w:rPr>
            </w:pPr>
            <w:r w:rsidRPr="00EA7422">
              <w:rPr>
                <w:szCs w:val="22"/>
              </w:rPr>
              <w:t>Rutland Strategic Commissioning Group</w:t>
            </w:r>
          </w:p>
        </w:tc>
      </w:tr>
      <w:tr w:rsidR="00557F3D" w:rsidRPr="00EA7422" w14:paraId="3E7A4078" w14:textId="77777777" w:rsidTr="00557F3D">
        <w:tc>
          <w:tcPr>
            <w:tcW w:w="2689" w:type="dxa"/>
          </w:tcPr>
          <w:p w14:paraId="289976BB" w14:textId="77777777" w:rsidR="00557F3D" w:rsidRPr="00EA7422" w:rsidRDefault="00557F3D" w:rsidP="00557F3D">
            <w:pPr>
              <w:rPr>
                <w:szCs w:val="22"/>
              </w:rPr>
            </w:pPr>
            <w:r w:rsidRPr="00EA7422">
              <w:rPr>
                <w:szCs w:val="22"/>
              </w:rPr>
              <w:t>RTCG</w:t>
            </w:r>
          </w:p>
        </w:tc>
        <w:tc>
          <w:tcPr>
            <w:tcW w:w="6327" w:type="dxa"/>
          </w:tcPr>
          <w:p w14:paraId="226CAECA" w14:textId="77777777" w:rsidR="00557F3D" w:rsidRPr="00EA7422" w:rsidRDefault="00557F3D" w:rsidP="00557F3D">
            <w:pPr>
              <w:autoSpaceDE w:val="0"/>
              <w:autoSpaceDN w:val="0"/>
              <w:adjustRightInd w:val="0"/>
              <w:rPr>
                <w:szCs w:val="22"/>
              </w:rPr>
            </w:pPr>
            <w:r w:rsidRPr="00EA7422">
              <w:rPr>
                <w:szCs w:val="22"/>
              </w:rPr>
              <w:t>Rutland Tactical Commissioning Group</w:t>
            </w:r>
          </w:p>
        </w:tc>
      </w:tr>
      <w:tr w:rsidR="00557F3D" w:rsidRPr="00EA7422" w14:paraId="798DA58B" w14:textId="77777777" w:rsidTr="00557F3D">
        <w:tc>
          <w:tcPr>
            <w:tcW w:w="2689" w:type="dxa"/>
          </w:tcPr>
          <w:p w14:paraId="73080133" w14:textId="77777777" w:rsidR="00557F3D" w:rsidRPr="00EA7422" w:rsidRDefault="00557F3D" w:rsidP="00557F3D">
            <w:pPr>
              <w:rPr>
                <w:szCs w:val="22"/>
              </w:rPr>
            </w:pPr>
            <w:r w:rsidRPr="00EA7422">
              <w:rPr>
                <w:szCs w:val="22"/>
              </w:rPr>
              <w:t>SEND</w:t>
            </w:r>
          </w:p>
        </w:tc>
        <w:tc>
          <w:tcPr>
            <w:tcW w:w="6327" w:type="dxa"/>
          </w:tcPr>
          <w:p w14:paraId="1522F7EB" w14:textId="77777777" w:rsidR="00557F3D" w:rsidRPr="00EA7422" w:rsidRDefault="00557F3D" w:rsidP="00557F3D">
            <w:pPr>
              <w:rPr>
                <w:szCs w:val="22"/>
              </w:rPr>
            </w:pPr>
            <w:r w:rsidRPr="00EA7422">
              <w:rPr>
                <w:szCs w:val="22"/>
              </w:rPr>
              <w:t>Special Educations Needs and Disabilities</w:t>
            </w:r>
          </w:p>
        </w:tc>
      </w:tr>
      <w:tr w:rsidR="00557F3D" w:rsidRPr="00EA7422" w14:paraId="30327FC5" w14:textId="77777777" w:rsidTr="00557F3D">
        <w:tc>
          <w:tcPr>
            <w:tcW w:w="2689" w:type="dxa"/>
          </w:tcPr>
          <w:p w14:paraId="4A14C805" w14:textId="77777777" w:rsidR="00557F3D" w:rsidRPr="00EA7422" w:rsidRDefault="00557F3D" w:rsidP="00557F3D">
            <w:pPr>
              <w:rPr>
                <w:szCs w:val="22"/>
              </w:rPr>
            </w:pPr>
            <w:r w:rsidRPr="00EA7422">
              <w:rPr>
                <w:szCs w:val="22"/>
              </w:rPr>
              <w:t>SENDIASS</w:t>
            </w:r>
          </w:p>
        </w:tc>
        <w:tc>
          <w:tcPr>
            <w:tcW w:w="6327" w:type="dxa"/>
          </w:tcPr>
          <w:p w14:paraId="1A4A51D8" w14:textId="77777777" w:rsidR="00557F3D" w:rsidRPr="00EA7422" w:rsidRDefault="00557F3D" w:rsidP="00557F3D">
            <w:pPr>
              <w:rPr>
                <w:szCs w:val="22"/>
              </w:rPr>
            </w:pPr>
            <w:r w:rsidRPr="00EA7422">
              <w:rPr>
                <w:rStyle w:val="hgkelc"/>
                <w:szCs w:val="22"/>
              </w:rPr>
              <w:t>Special Educational Needs and Disabilities Information, Advice and Support Service</w:t>
            </w:r>
          </w:p>
        </w:tc>
      </w:tr>
      <w:tr w:rsidR="00557F3D" w:rsidRPr="00EA7422" w14:paraId="5814388E" w14:textId="77777777" w:rsidTr="00557F3D">
        <w:tc>
          <w:tcPr>
            <w:tcW w:w="2689" w:type="dxa"/>
          </w:tcPr>
          <w:p w14:paraId="1C5C7A2A" w14:textId="77777777" w:rsidR="00557F3D" w:rsidRPr="00EA7422" w:rsidRDefault="00557F3D" w:rsidP="00557F3D">
            <w:pPr>
              <w:rPr>
                <w:szCs w:val="22"/>
              </w:rPr>
            </w:pPr>
            <w:r w:rsidRPr="00EA7422">
              <w:rPr>
                <w:szCs w:val="22"/>
              </w:rPr>
              <w:t>SMT</w:t>
            </w:r>
          </w:p>
        </w:tc>
        <w:tc>
          <w:tcPr>
            <w:tcW w:w="6327" w:type="dxa"/>
          </w:tcPr>
          <w:p w14:paraId="22C76FAE" w14:textId="77777777" w:rsidR="00557F3D" w:rsidRPr="00EA7422" w:rsidRDefault="00557F3D" w:rsidP="00557F3D">
            <w:pPr>
              <w:rPr>
                <w:szCs w:val="22"/>
              </w:rPr>
            </w:pPr>
            <w:r w:rsidRPr="00EA7422">
              <w:rPr>
                <w:szCs w:val="22"/>
              </w:rPr>
              <w:t>Strategic Management Team</w:t>
            </w:r>
          </w:p>
        </w:tc>
      </w:tr>
      <w:tr w:rsidR="00557F3D" w:rsidRPr="00EA7422" w14:paraId="7D844F93" w14:textId="77777777" w:rsidTr="00557F3D">
        <w:tc>
          <w:tcPr>
            <w:tcW w:w="2689" w:type="dxa"/>
          </w:tcPr>
          <w:p w14:paraId="1ACA9154" w14:textId="77777777" w:rsidR="00557F3D" w:rsidRPr="00EA7422" w:rsidRDefault="00557F3D" w:rsidP="00557F3D">
            <w:pPr>
              <w:rPr>
                <w:szCs w:val="22"/>
              </w:rPr>
            </w:pPr>
            <w:r w:rsidRPr="00EA7422">
              <w:rPr>
                <w:szCs w:val="22"/>
              </w:rPr>
              <w:t>SOLACE</w:t>
            </w:r>
          </w:p>
        </w:tc>
        <w:tc>
          <w:tcPr>
            <w:tcW w:w="6327" w:type="dxa"/>
          </w:tcPr>
          <w:p w14:paraId="68361303" w14:textId="77777777" w:rsidR="00557F3D" w:rsidRPr="00EA7422" w:rsidRDefault="00557F3D" w:rsidP="00557F3D">
            <w:pPr>
              <w:rPr>
                <w:szCs w:val="22"/>
              </w:rPr>
            </w:pPr>
            <w:r w:rsidRPr="00EA7422">
              <w:rPr>
                <w:rStyle w:val="hgkelc"/>
                <w:szCs w:val="22"/>
              </w:rPr>
              <w:t xml:space="preserve">Network for </w:t>
            </w:r>
            <w:r w:rsidRPr="00EA7422">
              <w:rPr>
                <w:rStyle w:val="hgkelc"/>
                <w:bCs/>
                <w:szCs w:val="22"/>
              </w:rPr>
              <w:t>local government</w:t>
            </w:r>
            <w:r w:rsidRPr="00EA7422">
              <w:rPr>
                <w:rStyle w:val="hgkelc"/>
                <w:szCs w:val="22"/>
              </w:rPr>
              <w:t xml:space="preserve"> and public sector professionals</w:t>
            </w:r>
          </w:p>
        </w:tc>
      </w:tr>
    </w:tbl>
    <w:p w14:paraId="57EDB369" w14:textId="77777777" w:rsidR="00557F3D" w:rsidRPr="00EA7422" w:rsidRDefault="00557F3D" w:rsidP="00557F3D">
      <w:pPr>
        <w:rPr>
          <w:rFonts w:eastAsiaTheme="majorEastAsia"/>
          <w:szCs w:val="22"/>
        </w:rPr>
      </w:pPr>
    </w:p>
    <w:p w14:paraId="4D61113A" w14:textId="54CFE1CF" w:rsidR="007D0037" w:rsidRPr="00EA7422" w:rsidRDefault="007D0037" w:rsidP="00557F3D">
      <w:pPr>
        <w:rPr>
          <w:b/>
          <w:szCs w:val="22"/>
        </w:rPr>
      </w:pPr>
    </w:p>
    <w:sectPr w:rsidR="007D0037" w:rsidRPr="00EA7422" w:rsidSect="00557F3D">
      <w:footerReference w:type="default" r:id="rId36"/>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74947" w14:textId="77777777" w:rsidR="002A23DF" w:rsidRDefault="002A23DF">
      <w:r>
        <w:separator/>
      </w:r>
    </w:p>
  </w:endnote>
  <w:endnote w:type="continuationSeparator" w:id="0">
    <w:p w14:paraId="12E88C0F" w14:textId="77777777" w:rsidR="002A23DF" w:rsidRDefault="002A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5974o00">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S Lola">
    <w:altName w:val="Times New Roman"/>
    <w:charset w:val="00"/>
    <w:family w:val="auto"/>
    <w:pitch w:val="default"/>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2E0B" w14:textId="77777777" w:rsidR="002A23DF" w:rsidRDefault="002A2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C955" w14:textId="51CA9D8D" w:rsidR="002A23DF" w:rsidRPr="00C3703B" w:rsidRDefault="00661E70" w:rsidP="00C3703B">
    <w:pPr>
      <w:pStyle w:val="Footer"/>
      <w:tabs>
        <w:tab w:val="clear" w:pos="4153"/>
        <w:tab w:val="right" w:pos="2977"/>
        <w:tab w:val="center" w:pos="6946"/>
      </w:tabs>
      <w:rPr>
        <w:rStyle w:val="PageNumber"/>
        <w:sz w:val="24"/>
        <w:szCs w:val="24"/>
      </w:rPr>
    </w:pPr>
    <w:r>
      <w:pict w14:anchorId="159C581B">
        <v:rect id="_x0000_i1027" style="width:510.3pt;height:2pt" o:hralign="center" o:hrstd="t" o:hrnoshade="t" o:hr="t" fillcolor="#a8d08d [1945]" stroked="f"/>
      </w:pict>
    </w:r>
    <w:r w:rsidR="002A23DF" w:rsidRPr="00C3703B">
      <w:rPr>
        <w:rStyle w:val="PageNumber"/>
        <w:sz w:val="24"/>
        <w:szCs w:val="24"/>
      </w:rPr>
      <w:t>Rutland County Council</w:t>
    </w:r>
    <w:r w:rsidR="002A23DF">
      <w:rPr>
        <w:rStyle w:val="PageNumber"/>
      </w:rPr>
      <w:tab/>
    </w:r>
    <w:r w:rsidR="002A23DF" w:rsidRPr="00C3703B">
      <w:rPr>
        <w:rStyle w:val="PageNumber"/>
      </w:rPr>
      <w:ptab w:relativeTo="margin" w:alignment="center" w:leader="none"/>
    </w:r>
    <w:r w:rsidR="002A23DF" w:rsidRPr="00C3703B">
      <w:rPr>
        <w:rStyle w:val="PageNumber"/>
        <w:sz w:val="24"/>
        <w:szCs w:val="24"/>
      </w:rPr>
      <w:fldChar w:fldCharType="begin"/>
    </w:r>
    <w:r w:rsidR="002A23DF" w:rsidRPr="00C3703B">
      <w:rPr>
        <w:rStyle w:val="PageNumber"/>
        <w:sz w:val="24"/>
        <w:szCs w:val="24"/>
      </w:rPr>
      <w:instrText xml:space="preserve"> PAGE   \* MERGEFORMAT </w:instrText>
    </w:r>
    <w:r w:rsidR="002A23DF" w:rsidRPr="00C3703B">
      <w:rPr>
        <w:rStyle w:val="PageNumber"/>
        <w:sz w:val="24"/>
        <w:szCs w:val="24"/>
      </w:rPr>
      <w:fldChar w:fldCharType="separate"/>
    </w:r>
    <w:r w:rsidR="00E26F04">
      <w:rPr>
        <w:rStyle w:val="PageNumber"/>
        <w:noProof/>
        <w:sz w:val="24"/>
        <w:szCs w:val="24"/>
      </w:rPr>
      <w:t>84</w:t>
    </w:r>
    <w:r w:rsidR="002A23DF" w:rsidRPr="00C3703B">
      <w:rPr>
        <w:rStyle w:val="PageNumber"/>
        <w:noProof/>
        <w:sz w:val="24"/>
        <w:szCs w:val="24"/>
      </w:rPr>
      <w:fldChar w:fldCharType="end"/>
    </w:r>
    <w:r w:rsidR="002A23DF" w:rsidRPr="00C3703B">
      <w:rPr>
        <w:rStyle w:val="PageNumber"/>
        <w:sz w:val="24"/>
        <w:szCs w:val="24"/>
      </w:rPr>
      <w:ptab w:relativeTo="margin" w:alignment="right" w:leader="none"/>
    </w:r>
    <w:r w:rsidR="002A23DF">
      <w:rPr>
        <w:rStyle w:val="PageNumber"/>
        <w:sz w:val="24"/>
        <w:szCs w:val="24"/>
      </w:rPr>
      <w:t>Statement of Accounts 2019/20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6677729"/>
      <w:docPartObj>
        <w:docPartGallery w:val="Page Numbers (Bottom of Page)"/>
        <w:docPartUnique/>
      </w:docPartObj>
    </w:sdtPr>
    <w:sdtEndPr>
      <w:rPr>
        <w:noProof/>
      </w:rPr>
    </w:sdtEndPr>
    <w:sdtContent>
      <w:p w14:paraId="00CD6577" w14:textId="77777777" w:rsidR="002A23DF" w:rsidRDefault="002A23DF">
        <w:pPr>
          <w:pStyle w:val="Footer"/>
          <w:jc w:val="center"/>
        </w:pPr>
        <w:r>
          <w:rPr>
            <w:noProof/>
          </w:rPr>
          <w:t>21</w:t>
        </w:r>
      </w:p>
    </w:sdtContent>
  </w:sdt>
  <w:p w14:paraId="62BA38A8" w14:textId="77777777" w:rsidR="002A23DF" w:rsidRDefault="002A2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D4E6F" w14:textId="77777777" w:rsidR="002A23DF" w:rsidRDefault="002A23DF">
      <w:r>
        <w:separator/>
      </w:r>
    </w:p>
  </w:footnote>
  <w:footnote w:type="continuationSeparator" w:id="0">
    <w:p w14:paraId="27F4BAE7" w14:textId="77777777" w:rsidR="002A23DF" w:rsidRDefault="002A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82E8" w14:textId="77777777" w:rsidR="002A23DF" w:rsidRPr="002F2F71" w:rsidRDefault="002A23DF" w:rsidP="002F2F71">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BDF"/>
    <w:multiLevelType w:val="hybridMultilevel"/>
    <w:tmpl w:val="32C2ACE8"/>
    <w:lvl w:ilvl="0" w:tplc="347A8F4E">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A7D65"/>
    <w:multiLevelType w:val="multilevel"/>
    <w:tmpl w:val="AE1874B6"/>
    <w:lvl w:ilvl="0">
      <w:start w:val="1"/>
      <w:numFmt w:val="decimal"/>
      <w:lvlText w:val="%1"/>
      <w:lvlJc w:val="left"/>
      <w:pPr>
        <w:tabs>
          <w:tab w:val="num" w:pos="432"/>
        </w:tabs>
        <w:ind w:left="432" w:hanging="432"/>
      </w:pPr>
      <w:rPr>
        <w:rFonts w:hint="default"/>
      </w:rPr>
    </w:lvl>
    <w:lvl w:ilvl="1">
      <w:start w:val="1"/>
      <w:numFmt w:val="decimal"/>
      <w:pStyle w:val="Heading3SoAText"/>
      <w:lvlText w:val="%1.%2"/>
      <w:lvlJc w:val="left"/>
      <w:pPr>
        <w:tabs>
          <w:tab w:val="num" w:pos="576"/>
        </w:tabs>
        <w:ind w:left="576" w:hanging="576"/>
      </w:pPr>
      <w:rPr>
        <w:rFonts w:ascii="Arial" w:hAnsi="Arial"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AD0969"/>
    <w:multiLevelType w:val="hybridMultilevel"/>
    <w:tmpl w:val="8188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2742A"/>
    <w:multiLevelType w:val="multilevel"/>
    <w:tmpl w:val="9A8C69D6"/>
    <w:lvl w:ilvl="0">
      <w:start w:val="1"/>
      <w:numFmt w:val="decimal"/>
      <w:pStyle w:val="MainHeading"/>
      <w:lvlText w:val="%1."/>
      <w:lvlJc w:val="left"/>
      <w:pPr>
        <w:ind w:left="567" w:hanging="567"/>
      </w:pPr>
      <w:rPr>
        <w:rFonts w:hint="default"/>
        <w:b/>
      </w:rPr>
    </w:lvl>
    <w:lvl w:ilvl="1">
      <w:start w:val="1"/>
      <w:numFmt w:val="decimal"/>
      <w:pStyle w:val="SDRSub1"/>
      <w:lvlText w:val="%2.1"/>
      <w:lvlJc w:val="left"/>
      <w:pPr>
        <w:ind w:left="567" w:hanging="567"/>
      </w:pPr>
      <w:rPr>
        <w:rFonts w:hint="default"/>
        <w:b/>
      </w:rPr>
    </w:lvl>
    <w:lvl w:ilvl="2">
      <w:start w:val="1"/>
      <w:numFmt w:val="decimal"/>
      <w:lvlRestart w:val="1"/>
      <w:pStyle w:val="SDRText1"/>
      <w:lvlText w:val="%1.%3"/>
      <w:lvlJc w:val="left"/>
      <w:pPr>
        <w:ind w:left="567" w:hanging="567"/>
      </w:pPr>
      <w:rPr>
        <w:rFonts w:hint="default"/>
        <w:b w:val="0"/>
      </w:rPr>
    </w:lvl>
    <w:lvl w:ilvl="3">
      <w:start w:val="1"/>
      <w:numFmt w:val="bullet"/>
      <w:pStyle w:val="SDRText2"/>
      <w:lvlText w:val=""/>
      <w:lvlJc w:val="left"/>
      <w:pPr>
        <w:ind w:left="1134" w:hanging="567"/>
      </w:pPr>
      <w:rPr>
        <w:rFonts w:ascii="Symbol" w:hAnsi="Symbol" w:hint="default"/>
        <w:b w:val="0"/>
      </w:rPr>
    </w:lvl>
    <w:lvl w:ilvl="4">
      <w:start w:val="1"/>
      <w:numFmt w:val="none"/>
      <w:isLgl/>
      <w:lvlText w:val="1.5"/>
      <w:lvlJc w:val="left"/>
      <w:pPr>
        <w:ind w:left="567" w:hanging="567"/>
      </w:pPr>
      <w:rPr>
        <w:rFonts w:hint="default"/>
        <w:b w:val="0"/>
      </w:rPr>
    </w:lvl>
    <w:lvl w:ilvl="5">
      <w:start w:val="1"/>
      <w:numFmt w:val="decimal"/>
      <w:isLgl/>
      <w:lvlText w:val="%11.6"/>
      <w:lvlJc w:val="left"/>
      <w:pPr>
        <w:ind w:left="567" w:hanging="567"/>
      </w:pPr>
      <w:rPr>
        <w:rFonts w:hint="default"/>
      </w:rPr>
    </w:lvl>
    <w:lvl w:ilvl="6">
      <w:start w:val="1"/>
      <w:numFmt w:val="decimal"/>
      <w:isLgl/>
      <w:lvlText w:val="%11.7"/>
      <w:lvlJc w:val="left"/>
      <w:pPr>
        <w:ind w:left="567" w:hanging="567"/>
      </w:pPr>
      <w:rPr>
        <w:rFonts w:hint="default"/>
      </w:rPr>
    </w:lvl>
    <w:lvl w:ilvl="7">
      <w:start w:val="1"/>
      <w:numFmt w:val="decimal"/>
      <w:isLgl/>
      <w:lvlText w:val="%11.8"/>
      <w:lvlJc w:val="left"/>
      <w:pPr>
        <w:ind w:left="567" w:hanging="567"/>
      </w:pPr>
      <w:rPr>
        <w:rFonts w:hint="default"/>
      </w:rPr>
    </w:lvl>
    <w:lvl w:ilvl="8">
      <w:start w:val="1"/>
      <w:numFmt w:val="decimal"/>
      <w:isLgl/>
      <w:lvlText w:val="%11.9"/>
      <w:lvlJc w:val="left"/>
      <w:pPr>
        <w:ind w:left="567" w:hanging="567"/>
      </w:pPr>
      <w:rPr>
        <w:rFonts w:hint="default"/>
      </w:rPr>
    </w:lvl>
  </w:abstractNum>
  <w:abstractNum w:abstractNumId="4" w15:restartNumberingAfterBreak="0">
    <w:nsid w:val="11843ADA"/>
    <w:multiLevelType w:val="hybridMultilevel"/>
    <w:tmpl w:val="CCFC75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B17CD8"/>
    <w:multiLevelType w:val="multilevel"/>
    <w:tmpl w:val="6A9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3335E3"/>
    <w:multiLevelType w:val="hybridMultilevel"/>
    <w:tmpl w:val="FF76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E6A01"/>
    <w:multiLevelType w:val="multilevel"/>
    <w:tmpl w:val="E5801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156B0"/>
    <w:multiLevelType w:val="multilevel"/>
    <w:tmpl w:val="C33EA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BC25C5"/>
    <w:multiLevelType w:val="hybridMultilevel"/>
    <w:tmpl w:val="84BC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56278"/>
    <w:multiLevelType w:val="hybridMultilevel"/>
    <w:tmpl w:val="F4B68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C6D01"/>
    <w:multiLevelType w:val="hybridMultilevel"/>
    <w:tmpl w:val="DE54F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E47870"/>
    <w:multiLevelType w:val="multilevel"/>
    <w:tmpl w:val="890AB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E5833"/>
    <w:multiLevelType w:val="multilevel"/>
    <w:tmpl w:val="C29A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11DBD"/>
    <w:multiLevelType w:val="multilevel"/>
    <w:tmpl w:val="20AE2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54D0C"/>
    <w:multiLevelType w:val="singleLevel"/>
    <w:tmpl w:val="F02C6FD0"/>
    <w:lvl w:ilvl="0">
      <w:start w:val="1"/>
      <w:numFmt w:val="bullet"/>
      <w:pStyle w:val="Bullets"/>
      <w:lvlText w:val=""/>
      <w:lvlJc w:val="left"/>
      <w:pPr>
        <w:tabs>
          <w:tab w:val="num" w:pos="397"/>
        </w:tabs>
        <w:ind w:left="397" w:hanging="397"/>
      </w:pPr>
      <w:rPr>
        <w:rFonts w:ascii="Wingdings" w:hAnsi="Wingdings" w:hint="default"/>
        <w:sz w:val="12"/>
      </w:rPr>
    </w:lvl>
  </w:abstractNum>
  <w:abstractNum w:abstractNumId="16" w15:restartNumberingAfterBreak="0">
    <w:nsid w:val="3C111C0F"/>
    <w:multiLevelType w:val="multilevel"/>
    <w:tmpl w:val="B476CB62"/>
    <w:lvl w:ilvl="0">
      <w:start w:val="1"/>
      <w:numFmt w:val="upperLetter"/>
      <w:pStyle w:val="AppendixHeading-Level1"/>
      <w:suff w:val="space"/>
      <w:lvlText w:val="Appendix %1. "/>
      <w:lvlJc w:val="left"/>
      <w:pPr>
        <w:ind w:left="1985" w:hanging="1985"/>
      </w:pPr>
      <w:rPr>
        <w:rFonts w:hint="default"/>
      </w:rPr>
    </w:lvl>
    <w:lvl w:ilvl="1">
      <w:start w:val="1"/>
      <w:numFmt w:val="decimal"/>
      <w:suff w:val="space"/>
      <w:lvlText w:val="%1.%2 "/>
      <w:lvlJc w:val="left"/>
      <w:pPr>
        <w:ind w:left="567" w:hanging="567"/>
      </w:pPr>
      <w:rPr>
        <w:rFonts w:hint="default"/>
      </w:rPr>
    </w:lvl>
    <w:lvl w:ilvl="2">
      <w:start w:val="1"/>
      <w:numFmt w:val="decimal"/>
      <w:suff w:val="space"/>
      <w:lvlText w:val="%1.%2.%3 "/>
      <w:lvlJc w:val="left"/>
      <w:pPr>
        <w:ind w:left="737" w:hanging="737"/>
      </w:pPr>
      <w:rPr>
        <w:rFonts w:hint="default"/>
      </w:rPr>
    </w:lvl>
    <w:lvl w:ilvl="3">
      <w:start w:val="1"/>
      <w:numFmt w:val="decimal"/>
      <w:suff w:val="space"/>
      <w:lvlText w:val="%1.%2.%3.%4 "/>
      <w:lvlJc w:val="left"/>
      <w:pPr>
        <w:ind w:left="851" w:hanging="851"/>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DB86DB9"/>
    <w:multiLevelType w:val="hybridMultilevel"/>
    <w:tmpl w:val="5258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3A2CC0"/>
    <w:multiLevelType w:val="hybridMultilevel"/>
    <w:tmpl w:val="053A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F2617"/>
    <w:multiLevelType w:val="multilevel"/>
    <w:tmpl w:val="7FD6DCEE"/>
    <w:lvl w:ilvl="0">
      <w:start w:val="1"/>
      <w:numFmt w:val="bullet"/>
      <w:pStyle w:val="BulletPoint"/>
      <w:lvlText w:val=""/>
      <w:lvlJc w:val="left"/>
      <w:pPr>
        <w:tabs>
          <w:tab w:val="num" w:pos="340"/>
        </w:tabs>
        <w:ind w:left="340" w:hanging="340"/>
      </w:pPr>
      <w:rPr>
        <w:rFonts w:ascii="Symbol" w:hAnsi="Symbol" w:hint="default"/>
        <w:b w:val="0"/>
        <w:i w:val="0"/>
        <w:color w:val="auto"/>
        <w:sz w:val="24"/>
        <w:szCs w:val="20"/>
      </w:rPr>
    </w:lvl>
    <w:lvl w:ilvl="1">
      <w:start w:val="1"/>
      <w:numFmt w:val="lowerLetter"/>
      <w:pStyle w:val="NumberList1"/>
      <w:lvlText w:val="%2)"/>
      <w:lvlJc w:val="left"/>
      <w:pPr>
        <w:tabs>
          <w:tab w:val="num" w:pos="340"/>
        </w:tabs>
        <w:ind w:left="340" w:hanging="340"/>
      </w:pPr>
      <w:rPr>
        <w:rFonts w:hint="default"/>
      </w:rPr>
    </w:lvl>
    <w:lvl w:ilvl="2">
      <w:start w:val="1"/>
      <w:numFmt w:val="lowerRoman"/>
      <w:pStyle w:val="NumberList2"/>
      <w:lvlText w:val="%3)"/>
      <w:lvlJc w:val="left"/>
      <w:pPr>
        <w:tabs>
          <w:tab w:val="num" w:pos="680"/>
        </w:tabs>
        <w:ind w:left="680" w:hanging="340"/>
      </w:pPr>
      <w:rPr>
        <w:rFonts w:ascii="Arial" w:hAnsi="Arial" w:hint="default"/>
      </w:rPr>
    </w:lvl>
    <w:lvl w:ilvl="3">
      <w:start w:val="1"/>
      <w:numFmt w:val="decimal"/>
      <w:lvlText w:val="(%4)"/>
      <w:lvlJc w:val="left"/>
      <w:pPr>
        <w:tabs>
          <w:tab w:val="num" w:pos="306"/>
        </w:tabs>
        <w:ind w:left="306" w:hanging="360"/>
      </w:pPr>
      <w:rPr>
        <w:rFonts w:hint="default"/>
      </w:rPr>
    </w:lvl>
    <w:lvl w:ilvl="4">
      <w:start w:val="1"/>
      <w:numFmt w:val="lowerLetter"/>
      <w:lvlText w:val="(%5)"/>
      <w:lvlJc w:val="left"/>
      <w:pPr>
        <w:tabs>
          <w:tab w:val="num" w:pos="666"/>
        </w:tabs>
        <w:ind w:left="666" w:hanging="360"/>
      </w:pPr>
      <w:rPr>
        <w:rFonts w:hint="default"/>
      </w:rPr>
    </w:lvl>
    <w:lvl w:ilvl="5">
      <w:start w:val="1"/>
      <w:numFmt w:val="lowerRoman"/>
      <w:lvlText w:val="(%6)"/>
      <w:lvlJc w:val="left"/>
      <w:pPr>
        <w:tabs>
          <w:tab w:val="num" w:pos="1026"/>
        </w:tabs>
        <w:ind w:left="1026" w:hanging="360"/>
      </w:pPr>
      <w:rPr>
        <w:rFonts w:hint="default"/>
      </w:rPr>
    </w:lvl>
    <w:lvl w:ilvl="6">
      <w:start w:val="1"/>
      <w:numFmt w:val="decimal"/>
      <w:lvlText w:val="%7."/>
      <w:lvlJc w:val="left"/>
      <w:pPr>
        <w:tabs>
          <w:tab w:val="num" w:pos="1386"/>
        </w:tabs>
        <w:ind w:left="1386" w:hanging="360"/>
      </w:pPr>
      <w:rPr>
        <w:rFonts w:hint="default"/>
      </w:rPr>
    </w:lvl>
    <w:lvl w:ilvl="7">
      <w:start w:val="1"/>
      <w:numFmt w:val="lowerLetter"/>
      <w:lvlText w:val="%8."/>
      <w:lvlJc w:val="left"/>
      <w:pPr>
        <w:tabs>
          <w:tab w:val="num" w:pos="1746"/>
        </w:tabs>
        <w:ind w:left="1746" w:hanging="360"/>
      </w:pPr>
      <w:rPr>
        <w:rFonts w:hint="default"/>
      </w:rPr>
    </w:lvl>
    <w:lvl w:ilvl="8">
      <w:start w:val="1"/>
      <w:numFmt w:val="lowerRoman"/>
      <w:lvlText w:val="%9."/>
      <w:lvlJc w:val="left"/>
      <w:pPr>
        <w:tabs>
          <w:tab w:val="num" w:pos="2106"/>
        </w:tabs>
        <w:ind w:left="2106" w:hanging="360"/>
      </w:pPr>
      <w:rPr>
        <w:rFonts w:hint="default"/>
      </w:rPr>
    </w:lvl>
  </w:abstractNum>
  <w:abstractNum w:abstractNumId="20" w15:restartNumberingAfterBreak="0">
    <w:nsid w:val="483E271B"/>
    <w:multiLevelType w:val="hybridMultilevel"/>
    <w:tmpl w:val="E586F0EE"/>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7399E"/>
    <w:multiLevelType w:val="hybridMultilevel"/>
    <w:tmpl w:val="3A7C2280"/>
    <w:lvl w:ilvl="0" w:tplc="9A762BA6">
      <w:start w:val="1"/>
      <w:numFmt w:val="decimal"/>
      <w:lvlText w:val="%1."/>
      <w:lvlJc w:val="left"/>
      <w:pPr>
        <w:ind w:left="360" w:hanging="360"/>
      </w:pPr>
      <w:rPr>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042FC8"/>
    <w:multiLevelType w:val="multilevel"/>
    <w:tmpl w:val="9EF4A5E4"/>
    <w:numStyleLink w:val="GTListNumber"/>
  </w:abstractNum>
  <w:abstractNum w:abstractNumId="23" w15:restartNumberingAfterBreak="0">
    <w:nsid w:val="4C436422"/>
    <w:multiLevelType w:val="multilevel"/>
    <w:tmpl w:val="6B168FA0"/>
    <w:lvl w:ilvl="0">
      <w:start w:val="1"/>
      <w:numFmt w:val="decimal"/>
      <w:pStyle w:val="Heading2SoA"/>
      <w:lvlText w:val="%1"/>
      <w:lvlJc w:val="left"/>
      <w:pPr>
        <w:tabs>
          <w:tab w:val="num" w:pos="857"/>
        </w:tabs>
        <w:ind w:left="857" w:hanging="432"/>
      </w:pPr>
      <w:rPr>
        <w:rFonts w:hint="default"/>
      </w:rPr>
    </w:lvl>
    <w:lvl w:ilvl="1">
      <w:start w:val="1"/>
      <w:numFmt w:val="decimal"/>
      <w:lvlText w:val="%1.%2"/>
      <w:lvlJc w:val="left"/>
      <w:pPr>
        <w:tabs>
          <w:tab w:val="num" w:pos="576"/>
        </w:tabs>
        <w:ind w:left="576" w:hanging="576"/>
      </w:pPr>
      <w:rPr>
        <w:rFonts w:ascii="Arial" w:hAnsi="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F4A0038"/>
    <w:multiLevelType w:val="hybridMultilevel"/>
    <w:tmpl w:val="3FCE10B8"/>
    <w:lvl w:ilvl="0" w:tplc="08090001">
      <w:start w:val="1"/>
      <w:numFmt w:val="bullet"/>
      <w:lvlText w:val=""/>
      <w:lvlJc w:val="left"/>
      <w:pPr>
        <w:ind w:left="797" w:hanging="360"/>
      </w:pPr>
      <w:rPr>
        <w:rFonts w:ascii="Symbol" w:hAnsi="Symbol" w:hint="default"/>
      </w:rPr>
    </w:lvl>
    <w:lvl w:ilvl="1" w:tplc="08090003">
      <w:start w:val="1"/>
      <w:numFmt w:val="bullet"/>
      <w:lvlText w:val="o"/>
      <w:lvlJc w:val="left"/>
      <w:pPr>
        <w:ind w:left="1517" w:hanging="360"/>
      </w:pPr>
      <w:rPr>
        <w:rFonts w:ascii="Courier New" w:hAnsi="Courier New" w:cs="Courier New" w:hint="default"/>
      </w:rPr>
    </w:lvl>
    <w:lvl w:ilvl="2" w:tplc="08090005">
      <w:start w:val="1"/>
      <w:numFmt w:val="bullet"/>
      <w:lvlText w:val=""/>
      <w:lvlJc w:val="left"/>
      <w:pPr>
        <w:ind w:left="2237" w:hanging="360"/>
      </w:pPr>
      <w:rPr>
        <w:rFonts w:ascii="Wingdings" w:hAnsi="Wingdings" w:hint="default"/>
      </w:rPr>
    </w:lvl>
    <w:lvl w:ilvl="3" w:tplc="08090001">
      <w:start w:val="1"/>
      <w:numFmt w:val="bullet"/>
      <w:lvlText w:val=""/>
      <w:lvlJc w:val="left"/>
      <w:pPr>
        <w:ind w:left="2957" w:hanging="360"/>
      </w:pPr>
      <w:rPr>
        <w:rFonts w:ascii="Symbol" w:hAnsi="Symbol" w:hint="default"/>
      </w:rPr>
    </w:lvl>
    <w:lvl w:ilvl="4" w:tplc="08090003">
      <w:start w:val="1"/>
      <w:numFmt w:val="bullet"/>
      <w:lvlText w:val="o"/>
      <w:lvlJc w:val="left"/>
      <w:pPr>
        <w:ind w:left="3677" w:hanging="360"/>
      </w:pPr>
      <w:rPr>
        <w:rFonts w:ascii="Courier New" w:hAnsi="Courier New" w:cs="Courier New" w:hint="default"/>
      </w:rPr>
    </w:lvl>
    <w:lvl w:ilvl="5" w:tplc="08090005">
      <w:start w:val="1"/>
      <w:numFmt w:val="bullet"/>
      <w:lvlText w:val=""/>
      <w:lvlJc w:val="left"/>
      <w:pPr>
        <w:ind w:left="4397" w:hanging="360"/>
      </w:pPr>
      <w:rPr>
        <w:rFonts w:ascii="Wingdings" w:hAnsi="Wingdings" w:hint="default"/>
      </w:rPr>
    </w:lvl>
    <w:lvl w:ilvl="6" w:tplc="08090001">
      <w:start w:val="1"/>
      <w:numFmt w:val="bullet"/>
      <w:lvlText w:val=""/>
      <w:lvlJc w:val="left"/>
      <w:pPr>
        <w:ind w:left="5117" w:hanging="360"/>
      </w:pPr>
      <w:rPr>
        <w:rFonts w:ascii="Symbol" w:hAnsi="Symbol" w:hint="default"/>
      </w:rPr>
    </w:lvl>
    <w:lvl w:ilvl="7" w:tplc="08090003">
      <w:start w:val="1"/>
      <w:numFmt w:val="bullet"/>
      <w:lvlText w:val="o"/>
      <w:lvlJc w:val="left"/>
      <w:pPr>
        <w:ind w:left="5837" w:hanging="360"/>
      </w:pPr>
      <w:rPr>
        <w:rFonts w:ascii="Courier New" w:hAnsi="Courier New" w:cs="Courier New" w:hint="default"/>
      </w:rPr>
    </w:lvl>
    <w:lvl w:ilvl="8" w:tplc="08090005">
      <w:start w:val="1"/>
      <w:numFmt w:val="bullet"/>
      <w:lvlText w:val=""/>
      <w:lvlJc w:val="left"/>
      <w:pPr>
        <w:ind w:left="6557" w:hanging="360"/>
      </w:pPr>
      <w:rPr>
        <w:rFonts w:ascii="Wingdings" w:hAnsi="Wingdings" w:hint="default"/>
      </w:rPr>
    </w:lvl>
  </w:abstractNum>
  <w:abstractNum w:abstractNumId="25" w15:restartNumberingAfterBreak="0">
    <w:nsid w:val="4FB05E12"/>
    <w:multiLevelType w:val="hybridMultilevel"/>
    <w:tmpl w:val="0BD09A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62A0FC02">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BD6E2A"/>
    <w:multiLevelType w:val="multilevel"/>
    <w:tmpl w:val="9EF4A5E4"/>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542D798C"/>
    <w:multiLevelType w:val="multilevel"/>
    <w:tmpl w:val="8EA4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6F6870"/>
    <w:multiLevelType w:val="multilevel"/>
    <w:tmpl w:val="B1720270"/>
    <w:lvl w:ilvl="0">
      <w:start w:val="6"/>
      <w:numFmt w:val="bullet"/>
      <w:lvlText w:val=""/>
      <w:lvlJc w:val="left"/>
      <w:pPr>
        <w:tabs>
          <w:tab w:val="num" w:pos="1474"/>
        </w:tabs>
        <w:ind w:left="1474" w:hanging="340"/>
      </w:pPr>
      <w:rPr>
        <w:rFonts w:ascii="Symbol" w:hAnsi="Symbol" w:hint="default"/>
        <w:b w:val="0"/>
        <w:i w:val="0"/>
        <w:color w:val="auto"/>
        <w:sz w:val="24"/>
        <w:szCs w:val="20"/>
      </w:rPr>
    </w:lvl>
    <w:lvl w:ilvl="1">
      <w:start w:val="1"/>
      <w:numFmt w:val="lowerLetter"/>
      <w:lvlText w:val="%2)"/>
      <w:lvlJc w:val="left"/>
      <w:pPr>
        <w:tabs>
          <w:tab w:val="num" w:pos="1474"/>
        </w:tabs>
        <w:ind w:left="1474" w:hanging="340"/>
      </w:pPr>
      <w:rPr>
        <w:rFonts w:hint="default"/>
      </w:rPr>
    </w:lvl>
    <w:lvl w:ilvl="2">
      <w:start w:val="6"/>
      <w:numFmt w:val="lowerRoman"/>
      <w:lvlText w:val="%3)"/>
      <w:lvlJc w:val="left"/>
      <w:pPr>
        <w:tabs>
          <w:tab w:val="num" w:pos="1814"/>
        </w:tabs>
        <w:ind w:left="1814" w:hanging="34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C1153BD"/>
    <w:multiLevelType w:val="hybridMultilevel"/>
    <w:tmpl w:val="F4B68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5A4088"/>
    <w:multiLevelType w:val="multilevel"/>
    <w:tmpl w:val="8FAAD1D8"/>
    <w:lvl w:ilvl="0">
      <w:start w:val="1"/>
      <w:numFmt w:val="bullet"/>
      <w:lvlText w:val=""/>
      <w:lvlJc w:val="left"/>
      <w:pPr>
        <w:tabs>
          <w:tab w:val="num" w:pos="720"/>
        </w:tabs>
        <w:ind w:left="720" w:hanging="363"/>
      </w:pPr>
      <w:rPr>
        <w:rFonts w:ascii="Wingdings" w:hAnsi="Wingdings" w:hint="default"/>
        <w:color w:val="auto"/>
      </w:rPr>
    </w:lvl>
    <w:lvl w:ilvl="1">
      <w:start w:val="1"/>
      <w:numFmt w:val="bullet"/>
      <w:pStyle w:val="BulletLevel2"/>
      <w:lvlText w:val="-"/>
      <w:lvlJc w:val="left"/>
      <w:pPr>
        <w:tabs>
          <w:tab w:val="num" w:pos="1077"/>
        </w:tabs>
        <w:ind w:left="1077" w:hanging="357"/>
      </w:pPr>
      <w:rPr>
        <w:rFonts w:ascii="Calibri" w:hAnsi="Calibri" w:hint="default"/>
        <w:color w:val="333399"/>
      </w:rPr>
    </w:lvl>
    <w:lvl w:ilvl="2">
      <w:start w:val="1"/>
      <w:numFmt w:val="bullet"/>
      <w:pStyle w:val="BulletLevel3"/>
      <w:lvlText w:val=""/>
      <w:lvlJc w:val="left"/>
      <w:pPr>
        <w:tabs>
          <w:tab w:val="num" w:pos="1440"/>
        </w:tabs>
        <w:ind w:left="1440" w:hanging="363"/>
      </w:pPr>
      <w:rPr>
        <w:rFonts w:ascii="Wingdings" w:hAnsi="Wingdings" w:hint="default"/>
        <w:color w:val="E20177"/>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5DD1615D"/>
    <w:multiLevelType w:val="hybridMultilevel"/>
    <w:tmpl w:val="F5A0C60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1217BFE"/>
    <w:multiLevelType w:val="hybridMultilevel"/>
    <w:tmpl w:val="1EFC27F6"/>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3" w15:restartNumberingAfterBreak="0">
    <w:nsid w:val="61722807"/>
    <w:multiLevelType w:val="hybridMultilevel"/>
    <w:tmpl w:val="B7FA6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CD19DE"/>
    <w:multiLevelType w:val="hybridMultilevel"/>
    <w:tmpl w:val="B4C6AE52"/>
    <w:lvl w:ilvl="0" w:tplc="9A762BA6">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3728C3"/>
    <w:multiLevelType w:val="hybridMultilevel"/>
    <w:tmpl w:val="3CDAECDC"/>
    <w:lvl w:ilvl="0" w:tplc="5902F7EA">
      <w:start w:val="1"/>
      <w:numFmt w:val="decimal"/>
      <w:pStyle w:val="EFHeading"/>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B96A0B"/>
    <w:multiLevelType w:val="multilevel"/>
    <w:tmpl w:val="DC7040AE"/>
    <w:lvl w:ilvl="0">
      <w:start w:val="1"/>
      <w:numFmt w:val="decimal"/>
      <w:pStyle w:val="Style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67D2360D"/>
    <w:multiLevelType w:val="hybridMultilevel"/>
    <w:tmpl w:val="9B8611B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CBE7790"/>
    <w:multiLevelType w:val="hybridMultilevel"/>
    <w:tmpl w:val="5DAE38C0"/>
    <w:lvl w:ilvl="0" w:tplc="0809001B">
      <w:start w:val="1"/>
      <w:numFmt w:val="lowerRoman"/>
      <w:lvlText w:val="%1."/>
      <w:lvlJc w:val="right"/>
      <w:pPr>
        <w:ind w:left="720" w:hanging="360"/>
      </w:pPr>
    </w:lvl>
    <w:lvl w:ilvl="1" w:tplc="7F3A72E4">
      <w:start w:val="1"/>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B110D4"/>
    <w:multiLevelType w:val="hybridMultilevel"/>
    <w:tmpl w:val="98C69128"/>
    <w:lvl w:ilvl="0" w:tplc="04090001">
      <w:start w:val="1"/>
      <w:numFmt w:val="bullet"/>
      <w:lvlText w:val=""/>
      <w:lvlJc w:val="left"/>
      <w:pPr>
        <w:ind w:left="927" w:hanging="360"/>
      </w:pPr>
      <w:rPr>
        <w:rFonts w:ascii="Symbol" w:hAnsi="Symbol" w:cs="Symbol" w:hint="default"/>
      </w:rPr>
    </w:lvl>
    <w:lvl w:ilvl="1" w:tplc="04090003">
      <w:start w:val="1"/>
      <w:numFmt w:val="bullet"/>
      <w:lvlText w:val="o"/>
      <w:lvlJc w:val="left"/>
      <w:pPr>
        <w:ind w:left="1582" w:hanging="360"/>
      </w:pPr>
      <w:rPr>
        <w:rFonts w:ascii="Courier New" w:hAnsi="Courier New" w:cs="Courier New" w:hint="default"/>
      </w:rPr>
    </w:lvl>
    <w:lvl w:ilvl="2" w:tplc="720A6C9A">
      <w:numFmt w:val="bullet"/>
      <w:lvlText w:val="•"/>
      <w:lvlJc w:val="left"/>
      <w:pPr>
        <w:ind w:left="2302" w:hanging="360"/>
      </w:pPr>
      <w:rPr>
        <w:rFonts w:ascii="TT5974o00" w:eastAsia="Calibri" w:hAnsi="TT5974o00" w:cs="TT5974o00" w:hint="default"/>
      </w:rPr>
    </w:lvl>
    <w:lvl w:ilvl="3" w:tplc="04090001">
      <w:start w:val="1"/>
      <w:numFmt w:val="bullet"/>
      <w:lvlText w:val=""/>
      <w:lvlJc w:val="left"/>
      <w:pPr>
        <w:ind w:left="3022" w:hanging="360"/>
      </w:pPr>
      <w:rPr>
        <w:rFonts w:ascii="Symbol" w:hAnsi="Symbol" w:cs="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cs="Wingdings" w:hint="default"/>
      </w:rPr>
    </w:lvl>
    <w:lvl w:ilvl="6" w:tplc="04090001">
      <w:start w:val="1"/>
      <w:numFmt w:val="bullet"/>
      <w:lvlText w:val=""/>
      <w:lvlJc w:val="left"/>
      <w:pPr>
        <w:ind w:left="5182" w:hanging="360"/>
      </w:pPr>
      <w:rPr>
        <w:rFonts w:ascii="Symbol" w:hAnsi="Symbol" w:cs="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cs="Wingdings" w:hint="default"/>
      </w:rPr>
    </w:lvl>
  </w:abstractNum>
  <w:abstractNum w:abstractNumId="40" w15:restartNumberingAfterBreak="0">
    <w:nsid w:val="7DEE6677"/>
    <w:multiLevelType w:val="hybridMultilevel"/>
    <w:tmpl w:val="F4B68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19110250">
    <w:abstractNumId w:val="15"/>
  </w:num>
  <w:num w:numId="2" w16cid:durableId="1042243680">
    <w:abstractNumId w:val="23"/>
  </w:num>
  <w:num w:numId="3" w16cid:durableId="17657622">
    <w:abstractNumId w:val="36"/>
  </w:num>
  <w:num w:numId="4" w16cid:durableId="1445686295">
    <w:abstractNumId w:val="1"/>
  </w:num>
  <w:num w:numId="5" w16cid:durableId="1860384804">
    <w:abstractNumId w:val="31"/>
  </w:num>
  <w:num w:numId="6" w16cid:durableId="1983926028">
    <w:abstractNumId w:val="37"/>
  </w:num>
  <w:num w:numId="7" w16cid:durableId="1318799116">
    <w:abstractNumId w:val="4"/>
  </w:num>
  <w:num w:numId="8" w16cid:durableId="1600874411">
    <w:abstractNumId w:val="21"/>
  </w:num>
  <w:num w:numId="9" w16cid:durableId="759255296">
    <w:abstractNumId w:val="0"/>
  </w:num>
  <w:num w:numId="10" w16cid:durableId="2036270282">
    <w:abstractNumId w:val="39"/>
  </w:num>
  <w:num w:numId="11" w16cid:durableId="1566068149">
    <w:abstractNumId w:val="32"/>
  </w:num>
  <w:num w:numId="12" w16cid:durableId="530265142">
    <w:abstractNumId w:val="34"/>
  </w:num>
  <w:num w:numId="13" w16cid:durableId="608973214">
    <w:abstractNumId w:val="40"/>
  </w:num>
  <w:num w:numId="14" w16cid:durableId="517083846">
    <w:abstractNumId w:val="10"/>
  </w:num>
  <w:num w:numId="15" w16cid:durableId="1654681268">
    <w:abstractNumId w:val="33"/>
  </w:num>
  <w:num w:numId="16" w16cid:durableId="1937205110">
    <w:abstractNumId w:val="35"/>
  </w:num>
  <w:num w:numId="17" w16cid:durableId="159002618">
    <w:abstractNumId w:val="29"/>
  </w:num>
  <w:num w:numId="18" w16cid:durableId="1427655401">
    <w:abstractNumId w:val="25"/>
  </w:num>
  <w:num w:numId="19" w16cid:durableId="1688365092">
    <w:abstractNumId w:val="19"/>
  </w:num>
  <w:num w:numId="20" w16cid:durableId="537741576">
    <w:abstractNumId w:val="38"/>
  </w:num>
  <w:num w:numId="21" w16cid:durableId="209533991">
    <w:abstractNumId w:val="20"/>
  </w:num>
  <w:num w:numId="22" w16cid:durableId="752511097">
    <w:abstractNumId w:val="30"/>
  </w:num>
  <w:num w:numId="23" w16cid:durableId="1290551544">
    <w:abstractNumId w:val="16"/>
  </w:num>
  <w:num w:numId="24" w16cid:durableId="56368919">
    <w:abstractNumId w:val="2"/>
  </w:num>
  <w:num w:numId="25" w16cid:durableId="1932663371">
    <w:abstractNumId w:val="13"/>
  </w:num>
  <w:num w:numId="26" w16cid:durableId="671376103">
    <w:abstractNumId w:val="27"/>
  </w:num>
  <w:num w:numId="27" w16cid:durableId="1294871138">
    <w:abstractNumId w:val="8"/>
  </w:num>
  <w:num w:numId="28" w16cid:durableId="937522491">
    <w:abstractNumId w:val="5"/>
  </w:num>
  <w:num w:numId="29" w16cid:durableId="319236796">
    <w:abstractNumId w:val="3"/>
  </w:num>
  <w:num w:numId="30" w16cid:durableId="1557886643">
    <w:abstractNumId w:val="14"/>
  </w:num>
  <w:num w:numId="31" w16cid:durableId="61029068">
    <w:abstractNumId w:val="12"/>
  </w:num>
  <w:num w:numId="32" w16cid:durableId="1531796633">
    <w:abstractNumId w:val="7"/>
  </w:num>
  <w:num w:numId="33" w16cid:durableId="1835880422">
    <w:abstractNumId w:val="24"/>
  </w:num>
  <w:num w:numId="34" w16cid:durableId="1695379471">
    <w:abstractNumId w:val="11"/>
  </w:num>
  <w:num w:numId="35" w16cid:durableId="826016049">
    <w:abstractNumId w:val="17"/>
  </w:num>
  <w:num w:numId="36" w16cid:durableId="812062117">
    <w:abstractNumId w:val="28"/>
  </w:num>
  <w:num w:numId="37" w16cid:durableId="1460369399">
    <w:abstractNumId w:val="26"/>
  </w:num>
  <w:num w:numId="38" w16cid:durableId="341977282">
    <w:abstractNumId w:val="22"/>
  </w:num>
  <w:num w:numId="39" w16cid:durableId="1198161874">
    <w:abstractNumId w:val="18"/>
  </w:num>
  <w:num w:numId="40" w16cid:durableId="467741759">
    <w:abstractNumId w:val="9"/>
  </w:num>
  <w:num w:numId="41" w16cid:durableId="772751865">
    <w:abstractNumId w:val="6"/>
  </w:num>
  <w:num w:numId="42" w16cid:durableId="207388681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8" w:dllVersion="513" w:checkStyle="1"/>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doNotHyphenateCaps/>
  <w:displayHorizontalDrawingGridEvery w:val="0"/>
  <w:displayVerticalDrawingGridEvery w:val="0"/>
  <w:doNotUseMarginsForDrawingGridOrigin/>
  <w:doNotShadeFormData/>
  <w:noPunctuationKerning/>
  <w:characterSpacingControl w:val="doNotCompress"/>
  <w:hdrShapeDefaults>
    <o:shapedefaults v:ext="edit" spidmax="4894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E2"/>
    <w:rsid w:val="00000537"/>
    <w:rsid w:val="000007EB"/>
    <w:rsid w:val="00000F97"/>
    <w:rsid w:val="00001552"/>
    <w:rsid w:val="00001CBC"/>
    <w:rsid w:val="00002190"/>
    <w:rsid w:val="00002431"/>
    <w:rsid w:val="00002432"/>
    <w:rsid w:val="000025CC"/>
    <w:rsid w:val="00002A22"/>
    <w:rsid w:val="00002D00"/>
    <w:rsid w:val="00002FE5"/>
    <w:rsid w:val="00003018"/>
    <w:rsid w:val="00003059"/>
    <w:rsid w:val="00003156"/>
    <w:rsid w:val="0000325C"/>
    <w:rsid w:val="000039C7"/>
    <w:rsid w:val="00004002"/>
    <w:rsid w:val="00004654"/>
    <w:rsid w:val="0000518A"/>
    <w:rsid w:val="000052D6"/>
    <w:rsid w:val="00005415"/>
    <w:rsid w:val="000056B3"/>
    <w:rsid w:val="00005C71"/>
    <w:rsid w:val="00005EE0"/>
    <w:rsid w:val="0000656C"/>
    <w:rsid w:val="00006685"/>
    <w:rsid w:val="00006935"/>
    <w:rsid w:val="00006D38"/>
    <w:rsid w:val="000070CC"/>
    <w:rsid w:val="0000725F"/>
    <w:rsid w:val="00007853"/>
    <w:rsid w:val="00007C2F"/>
    <w:rsid w:val="000104D1"/>
    <w:rsid w:val="0001050F"/>
    <w:rsid w:val="000107A6"/>
    <w:rsid w:val="00010802"/>
    <w:rsid w:val="00010B70"/>
    <w:rsid w:val="00010BBC"/>
    <w:rsid w:val="0001137F"/>
    <w:rsid w:val="000115D2"/>
    <w:rsid w:val="000118CC"/>
    <w:rsid w:val="00011A3C"/>
    <w:rsid w:val="00011B25"/>
    <w:rsid w:val="00011C02"/>
    <w:rsid w:val="000121A5"/>
    <w:rsid w:val="000124C1"/>
    <w:rsid w:val="000127D7"/>
    <w:rsid w:val="000127EF"/>
    <w:rsid w:val="00012951"/>
    <w:rsid w:val="00013106"/>
    <w:rsid w:val="00013131"/>
    <w:rsid w:val="000131C9"/>
    <w:rsid w:val="000132AD"/>
    <w:rsid w:val="000132B4"/>
    <w:rsid w:val="00013433"/>
    <w:rsid w:val="00013B0C"/>
    <w:rsid w:val="00013BAB"/>
    <w:rsid w:val="00013D56"/>
    <w:rsid w:val="0001421D"/>
    <w:rsid w:val="000146C8"/>
    <w:rsid w:val="00014913"/>
    <w:rsid w:val="00014B61"/>
    <w:rsid w:val="00014D03"/>
    <w:rsid w:val="00014E7A"/>
    <w:rsid w:val="00015796"/>
    <w:rsid w:val="000157AF"/>
    <w:rsid w:val="0001581F"/>
    <w:rsid w:val="00015ACC"/>
    <w:rsid w:val="00015B74"/>
    <w:rsid w:val="00015D27"/>
    <w:rsid w:val="0001602D"/>
    <w:rsid w:val="00016225"/>
    <w:rsid w:val="00016320"/>
    <w:rsid w:val="00016555"/>
    <w:rsid w:val="000167B7"/>
    <w:rsid w:val="00017711"/>
    <w:rsid w:val="00017B67"/>
    <w:rsid w:val="00017C0E"/>
    <w:rsid w:val="000204F4"/>
    <w:rsid w:val="000205A8"/>
    <w:rsid w:val="000209A6"/>
    <w:rsid w:val="00020BE1"/>
    <w:rsid w:val="00020D29"/>
    <w:rsid w:val="00020D64"/>
    <w:rsid w:val="0002113B"/>
    <w:rsid w:val="0002119B"/>
    <w:rsid w:val="00021245"/>
    <w:rsid w:val="0002159A"/>
    <w:rsid w:val="000215B2"/>
    <w:rsid w:val="0002195C"/>
    <w:rsid w:val="00021BEC"/>
    <w:rsid w:val="00021EA2"/>
    <w:rsid w:val="000227E0"/>
    <w:rsid w:val="0002280E"/>
    <w:rsid w:val="0002292A"/>
    <w:rsid w:val="0002293E"/>
    <w:rsid w:val="000229A6"/>
    <w:rsid w:val="00022A73"/>
    <w:rsid w:val="00022AB8"/>
    <w:rsid w:val="00022C86"/>
    <w:rsid w:val="00022C91"/>
    <w:rsid w:val="00022CBC"/>
    <w:rsid w:val="00022D4E"/>
    <w:rsid w:val="00022E57"/>
    <w:rsid w:val="0002399F"/>
    <w:rsid w:val="00023A0B"/>
    <w:rsid w:val="00023BB3"/>
    <w:rsid w:val="00023FF9"/>
    <w:rsid w:val="0002407D"/>
    <w:rsid w:val="000245AA"/>
    <w:rsid w:val="000247CD"/>
    <w:rsid w:val="00024949"/>
    <w:rsid w:val="00024DC2"/>
    <w:rsid w:val="00024DCE"/>
    <w:rsid w:val="00024F28"/>
    <w:rsid w:val="00025469"/>
    <w:rsid w:val="00025541"/>
    <w:rsid w:val="00025618"/>
    <w:rsid w:val="000259EA"/>
    <w:rsid w:val="00025A9D"/>
    <w:rsid w:val="00025B69"/>
    <w:rsid w:val="00025E38"/>
    <w:rsid w:val="00026210"/>
    <w:rsid w:val="000264BD"/>
    <w:rsid w:val="000264DE"/>
    <w:rsid w:val="0002685A"/>
    <w:rsid w:val="00026A70"/>
    <w:rsid w:val="00026EC1"/>
    <w:rsid w:val="0002758D"/>
    <w:rsid w:val="0002767E"/>
    <w:rsid w:val="000279BF"/>
    <w:rsid w:val="00027FB7"/>
    <w:rsid w:val="00030208"/>
    <w:rsid w:val="00030398"/>
    <w:rsid w:val="00030638"/>
    <w:rsid w:val="00030669"/>
    <w:rsid w:val="00030685"/>
    <w:rsid w:val="00030711"/>
    <w:rsid w:val="00030769"/>
    <w:rsid w:val="00030EF3"/>
    <w:rsid w:val="00030F91"/>
    <w:rsid w:val="0003111C"/>
    <w:rsid w:val="00031D3E"/>
    <w:rsid w:val="00031E97"/>
    <w:rsid w:val="000321E2"/>
    <w:rsid w:val="00032328"/>
    <w:rsid w:val="0003232E"/>
    <w:rsid w:val="00032950"/>
    <w:rsid w:val="00032DE0"/>
    <w:rsid w:val="000332B2"/>
    <w:rsid w:val="00033321"/>
    <w:rsid w:val="00033399"/>
    <w:rsid w:val="0003342F"/>
    <w:rsid w:val="00033E9F"/>
    <w:rsid w:val="0003466F"/>
    <w:rsid w:val="000346F4"/>
    <w:rsid w:val="00034709"/>
    <w:rsid w:val="00034846"/>
    <w:rsid w:val="0003521D"/>
    <w:rsid w:val="00035347"/>
    <w:rsid w:val="00035858"/>
    <w:rsid w:val="00035C0A"/>
    <w:rsid w:val="00035C6C"/>
    <w:rsid w:val="00036051"/>
    <w:rsid w:val="000361ED"/>
    <w:rsid w:val="00036203"/>
    <w:rsid w:val="00036245"/>
    <w:rsid w:val="00036650"/>
    <w:rsid w:val="0003677A"/>
    <w:rsid w:val="000367F4"/>
    <w:rsid w:val="00036841"/>
    <w:rsid w:val="00036983"/>
    <w:rsid w:val="00036E80"/>
    <w:rsid w:val="00036E93"/>
    <w:rsid w:val="00036F7A"/>
    <w:rsid w:val="00036FED"/>
    <w:rsid w:val="0003709E"/>
    <w:rsid w:val="0003719B"/>
    <w:rsid w:val="000372BF"/>
    <w:rsid w:val="00037756"/>
    <w:rsid w:val="000377E9"/>
    <w:rsid w:val="00037873"/>
    <w:rsid w:val="00037C50"/>
    <w:rsid w:val="00037CB9"/>
    <w:rsid w:val="00037EB3"/>
    <w:rsid w:val="00037F14"/>
    <w:rsid w:val="00040351"/>
    <w:rsid w:val="000403B6"/>
    <w:rsid w:val="00040A1A"/>
    <w:rsid w:val="00041098"/>
    <w:rsid w:val="0004136D"/>
    <w:rsid w:val="000413C6"/>
    <w:rsid w:val="00041408"/>
    <w:rsid w:val="00041A2E"/>
    <w:rsid w:val="00041B6C"/>
    <w:rsid w:val="00041FB8"/>
    <w:rsid w:val="00042218"/>
    <w:rsid w:val="00042303"/>
    <w:rsid w:val="0004244B"/>
    <w:rsid w:val="00042600"/>
    <w:rsid w:val="00042EB8"/>
    <w:rsid w:val="00043011"/>
    <w:rsid w:val="0004342C"/>
    <w:rsid w:val="00043544"/>
    <w:rsid w:val="00044093"/>
    <w:rsid w:val="0004423C"/>
    <w:rsid w:val="000448F5"/>
    <w:rsid w:val="0004551D"/>
    <w:rsid w:val="0004552B"/>
    <w:rsid w:val="000455CF"/>
    <w:rsid w:val="00045ABF"/>
    <w:rsid w:val="00045C21"/>
    <w:rsid w:val="00046117"/>
    <w:rsid w:val="00046123"/>
    <w:rsid w:val="00046806"/>
    <w:rsid w:val="00046C70"/>
    <w:rsid w:val="00046E9B"/>
    <w:rsid w:val="00046EC4"/>
    <w:rsid w:val="00046F2E"/>
    <w:rsid w:val="00047601"/>
    <w:rsid w:val="000476CD"/>
    <w:rsid w:val="000479CD"/>
    <w:rsid w:val="00047BC6"/>
    <w:rsid w:val="00047BD7"/>
    <w:rsid w:val="00047DF0"/>
    <w:rsid w:val="00050103"/>
    <w:rsid w:val="00050A77"/>
    <w:rsid w:val="00050AAF"/>
    <w:rsid w:val="00050F0A"/>
    <w:rsid w:val="00051182"/>
    <w:rsid w:val="000511BC"/>
    <w:rsid w:val="00051319"/>
    <w:rsid w:val="0005158B"/>
    <w:rsid w:val="000517A9"/>
    <w:rsid w:val="0005193E"/>
    <w:rsid w:val="00051A03"/>
    <w:rsid w:val="00051A4F"/>
    <w:rsid w:val="00051DB3"/>
    <w:rsid w:val="00051DD4"/>
    <w:rsid w:val="00051FC0"/>
    <w:rsid w:val="000520D1"/>
    <w:rsid w:val="000528E9"/>
    <w:rsid w:val="000528EB"/>
    <w:rsid w:val="00052ACC"/>
    <w:rsid w:val="00052F28"/>
    <w:rsid w:val="00052FD5"/>
    <w:rsid w:val="00053147"/>
    <w:rsid w:val="000533FA"/>
    <w:rsid w:val="000534DC"/>
    <w:rsid w:val="00053609"/>
    <w:rsid w:val="0005378C"/>
    <w:rsid w:val="000538D0"/>
    <w:rsid w:val="00054314"/>
    <w:rsid w:val="00054340"/>
    <w:rsid w:val="000545D5"/>
    <w:rsid w:val="00054860"/>
    <w:rsid w:val="0005490C"/>
    <w:rsid w:val="00054A70"/>
    <w:rsid w:val="00054CCD"/>
    <w:rsid w:val="00055024"/>
    <w:rsid w:val="000550C3"/>
    <w:rsid w:val="000552D6"/>
    <w:rsid w:val="00055DFD"/>
    <w:rsid w:val="00055E24"/>
    <w:rsid w:val="00055E71"/>
    <w:rsid w:val="00056123"/>
    <w:rsid w:val="0005616E"/>
    <w:rsid w:val="000561EF"/>
    <w:rsid w:val="00056773"/>
    <w:rsid w:val="00056BAF"/>
    <w:rsid w:val="00056D10"/>
    <w:rsid w:val="00056E75"/>
    <w:rsid w:val="00057047"/>
    <w:rsid w:val="0005728C"/>
    <w:rsid w:val="0005734E"/>
    <w:rsid w:val="00057D69"/>
    <w:rsid w:val="00060125"/>
    <w:rsid w:val="00060892"/>
    <w:rsid w:val="000608E1"/>
    <w:rsid w:val="0006090E"/>
    <w:rsid w:val="0006098F"/>
    <w:rsid w:val="00060A22"/>
    <w:rsid w:val="00060C08"/>
    <w:rsid w:val="00060C33"/>
    <w:rsid w:val="00060DCB"/>
    <w:rsid w:val="000615C2"/>
    <w:rsid w:val="000615F6"/>
    <w:rsid w:val="0006178C"/>
    <w:rsid w:val="00061B6F"/>
    <w:rsid w:val="00061B78"/>
    <w:rsid w:val="00061B83"/>
    <w:rsid w:val="00061C46"/>
    <w:rsid w:val="00061D1E"/>
    <w:rsid w:val="00062189"/>
    <w:rsid w:val="00062557"/>
    <w:rsid w:val="0006270A"/>
    <w:rsid w:val="00062B42"/>
    <w:rsid w:val="00062CEF"/>
    <w:rsid w:val="00063486"/>
    <w:rsid w:val="0006350A"/>
    <w:rsid w:val="00063569"/>
    <w:rsid w:val="00063A5C"/>
    <w:rsid w:val="00063B63"/>
    <w:rsid w:val="000640A5"/>
    <w:rsid w:val="000644EC"/>
    <w:rsid w:val="000647B8"/>
    <w:rsid w:val="00064A11"/>
    <w:rsid w:val="00064CF6"/>
    <w:rsid w:val="00064E83"/>
    <w:rsid w:val="00064F78"/>
    <w:rsid w:val="0006526C"/>
    <w:rsid w:val="000653E0"/>
    <w:rsid w:val="00065D64"/>
    <w:rsid w:val="00066317"/>
    <w:rsid w:val="000663FA"/>
    <w:rsid w:val="0006683B"/>
    <w:rsid w:val="0006689B"/>
    <w:rsid w:val="0006697C"/>
    <w:rsid w:val="00066AAB"/>
    <w:rsid w:val="00066E36"/>
    <w:rsid w:val="0006759D"/>
    <w:rsid w:val="000675AE"/>
    <w:rsid w:val="00067694"/>
    <w:rsid w:val="00067809"/>
    <w:rsid w:val="00067886"/>
    <w:rsid w:val="000678CE"/>
    <w:rsid w:val="00067E19"/>
    <w:rsid w:val="00067F0B"/>
    <w:rsid w:val="0007016A"/>
    <w:rsid w:val="000701CE"/>
    <w:rsid w:val="00070290"/>
    <w:rsid w:val="00070299"/>
    <w:rsid w:val="00070366"/>
    <w:rsid w:val="00070483"/>
    <w:rsid w:val="00070635"/>
    <w:rsid w:val="0007098A"/>
    <w:rsid w:val="00070F1A"/>
    <w:rsid w:val="000716F9"/>
    <w:rsid w:val="00071796"/>
    <w:rsid w:val="00071942"/>
    <w:rsid w:val="00071ECA"/>
    <w:rsid w:val="00072DC4"/>
    <w:rsid w:val="0007329D"/>
    <w:rsid w:val="000736DD"/>
    <w:rsid w:val="000738BF"/>
    <w:rsid w:val="000738E4"/>
    <w:rsid w:val="000742F1"/>
    <w:rsid w:val="0007454E"/>
    <w:rsid w:val="00074616"/>
    <w:rsid w:val="00074F14"/>
    <w:rsid w:val="00075094"/>
    <w:rsid w:val="00075332"/>
    <w:rsid w:val="00075581"/>
    <w:rsid w:val="0007566A"/>
    <w:rsid w:val="00075A29"/>
    <w:rsid w:val="00075FA2"/>
    <w:rsid w:val="00075FD6"/>
    <w:rsid w:val="000763A2"/>
    <w:rsid w:val="000763F0"/>
    <w:rsid w:val="000767B5"/>
    <w:rsid w:val="000768C7"/>
    <w:rsid w:val="00076BAB"/>
    <w:rsid w:val="00076C46"/>
    <w:rsid w:val="00076D61"/>
    <w:rsid w:val="00076F32"/>
    <w:rsid w:val="00077914"/>
    <w:rsid w:val="00077FD3"/>
    <w:rsid w:val="000802FA"/>
    <w:rsid w:val="00080312"/>
    <w:rsid w:val="0008042B"/>
    <w:rsid w:val="0008117B"/>
    <w:rsid w:val="00081198"/>
    <w:rsid w:val="000812A6"/>
    <w:rsid w:val="00081880"/>
    <w:rsid w:val="00081A8D"/>
    <w:rsid w:val="00081B14"/>
    <w:rsid w:val="00082028"/>
    <w:rsid w:val="0008206E"/>
    <w:rsid w:val="00082555"/>
    <w:rsid w:val="0008282D"/>
    <w:rsid w:val="00082A87"/>
    <w:rsid w:val="00082EF8"/>
    <w:rsid w:val="00083456"/>
    <w:rsid w:val="00083606"/>
    <w:rsid w:val="00083E33"/>
    <w:rsid w:val="00084061"/>
    <w:rsid w:val="00084464"/>
    <w:rsid w:val="000845AB"/>
    <w:rsid w:val="00084B54"/>
    <w:rsid w:val="00085052"/>
    <w:rsid w:val="0008513C"/>
    <w:rsid w:val="00085915"/>
    <w:rsid w:val="00085D64"/>
    <w:rsid w:val="00085E7B"/>
    <w:rsid w:val="00085FF7"/>
    <w:rsid w:val="00086003"/>
    <w:rsid w:val="00086095"/>
    <w:rsid w:val="000863AB"/>
    <w:rsid w:val="000865B2"/>
    <w:rsid w:val="00086AAF"/>
    <w:rsid w:val="00086D17"/>
    <w:rsid w:val="00087568"/>
    <w:rsid w:val="00087A41"/>
    <w:rsid w:val="00087F00"/>
    <w:rsid w:val="0009012E"/>
    <w:rsid w:val="00090691"/>
    <w:rsid w:val="00090F19"/>
    <w:rsid w:val="00090FA1"/>
    <w:rsid w:val="00091175"/>
    <w:rsid w:val="000913A6"/>
    <w:rsid w:val="00091575"/>
    <w:rsid w:val="0009159D"/>
    <w:rsid w:val="0009186C"/>
    <w:rsid w:val="00091C9A"/>
    <w:rsid w:val="00091CC5"/>
    <w:rsid w:val="00091DE5"/>
    <w:rsid w:val="00091E36"/>
    <w:rsid w:val="00091EFF"/>
    <w:rsid w:val="00092171"/>
    <w:rsid w:val="0009218D"/>
    <w:rsid w:val="0009237A"/>
    <w:rsid w:val="00092423"/>
    <w:rsid w:val="00092640"/>
    <w:rsid w:val="0009287D"/>
    <w:rsid w:val="00092929"/>
    <w:rsid w:val="0009298F"/>
    <w:rsid w:val="00092C65"/>
    <w:rsid w:val="00092C85"/>
    <w:rsid w:val="00093085"/>
    <w:rsid w:val="000930ED"/>
    <w:rsid w:val="00093502"/>
    <w:rsid w:val="000936F3"/>
    <w:rsid w:val="0009370D"/>
    <w:rsid w:val="0009370F"/>
    <w:rsid w:val="00093753"/>
    <w:rsid w:val="000937AA"/>
    <w:rsid w:val="000939B8"/>
    <w:rsid w:val="00093EDD"/>
    <w:rsid w:val="00093F25"/>
    <w:rsid w:val="00093F39"/>
    <w:rsid w:val="00094777"/>
    <w:rsid w:val="00094985"/>
    <w:rsid w:val="00094A8E"/>
    <w:rsid w:val="00094BB8"/>
    <w:rsid w:val="00094F81"/>
    <w:rsid w:val="00095541"/>
    <w:rsid w:val="000955F4"/>
    <w:rsid w:val="0009564F"/>
    <w:rsid w:val="000957D0"/>
    <w:rsid w:val="000957D1"/>
    <w:rsid w:val="000958D8"/>
    <w:rsid w:val="00095ADE"/>
    <w:rsid w:val="00095D59"/>
    <w:rsid w:val="00095DEF"/>
    <w:rsid w:val="000960D9"/>
    <w:rsid w:val="00096173"/>
    <w:rsid w:val="0009635B"/>
    <w:rsid w:val="000965F5"/>
    <w:rsid w:val="000966F4"/>
    <w:rsid w:val="00096766"/>
    <w:rsid w:val="000969ED"/>
    <w:rsid w:val="00096B20"/>
    <w:rsid w:val="00096FC2"/>
    <w:rsid w:val="00097504"/>
    <w:rsid w:val="000976AB"/>
    <w:rsid w:val="00097B2A"/>
    <w:rsid w:val="00097E4E"/>
    <w:rsid w:val="000A0554"/>
    <w:rsid w:val="000A05A2"/>
    <w:rsid w:val="000A0662"/>
    <w:rsid w:val="000A073E"/>
    <w:rsid w:val="000A08B9"/>
    <w:rsid w:val="000A0C58"/>
    <w:rsid w:val="000A11C7"/>
    <w:rsid w:val="000A131D"/>
    <w:rsid w:val="000A15C6"/>
    <w:rsid w:val="000A186C"/>
    <w:rsid w:val="000A19E4"/>
    <w:rsid w:val="000A1CB4"/>
    <w:rsid w:val="000A1F0E"/>
    <w:rsid w:val="000A21C8"/>
    <w:rsid w:val="000A2337"/>
    <w:rsid w:val="000A2470"/>
    <w:rsid w:val="000A268A"/>
    <w:rsid w:val="000A277B"/>
    <w:rsid w:val="000A2B0B"/>
    <w:rsid w:val="000A2B0F"/>
    <w:rsid w:val="000A2B62"/>
    <w:rsid w:val="000A2FD8"/>
    <w:rsid w:val="000A3205"/>
    <w:rsid w:val="000A35E9"/>
    <w:rsid w:val="000A36C2"/>
    <w:rsid w:val="000A3BF6"/>
    <w:rsid w:val="000A3F4B"/>
    <w:rsid w:val="000A3FB8"/>
    <w:rsid w:val="000A402D"/>
    <w:rsid w:val="000A4311"/>
    <w:rsid w:val="000A450D"/>
    <w:rsid w:val="000A47F8"/>
    <w:rsid w:val="000A4B82"/>
    <w:rsid w:val="000A4F9D"/>
    <w:rsid w:val="000A4FA1"/>
    <w:rsid w:val="000A5802"/>
    <w:rsid w:val="000A5818"/>
    <w:rsid w:val="000A63D6"/>
    <w:rsid w:val="000A66F1"/>
    <w:rsid w:val="000A673A"/>
    <w:rsid w:val="000A69EC"/>
    <w:rsid w:val="000A6B27"/>
    <w:rsid w:val="000A718E"/>
    <w:rsid w:val="000A7F8D"/>
    <w:rsid w:val="000B0126"/>
    <w:rsid w:val="000B051C"/>
    <w:rsid w:val="000B0D38"/>
    <w:rsid w:val="000B0E30"/>
    <w:rsid w:val="000B1317"/>
    <w:rsid w:val="000B14EC"/>
    <w:rsid w:val="000B172A"/>
    <w:rsid w:val="000B18B5"/>
    <w:rsid w:val="000B1941"/>
    <w:rsid w:val="000B1E13"/>
    <w:rsid w:val="000B1E68"/>
    <w:rsid w:val="000B1FE3"/>
    <w:rsid w:val="000B2802"/>
    <w:rsid w:val="000B2EC3"/>
    <w:rsid w:val="000B353D"/>
    <w:rsid w:val="000B364D"/>
    <w:rsid w:val="000B3E10"/>
    <w:rsid w:val="000B408E"/>
    <w:rsid w:val="000B4754"/>
    <w:rsid w:val="000B4C87"/>
    <w:rsid w:val="000B4CFE"/>
    <w:rsid w:val="000B51E2"/>
    <w:rsid w:val="000B5616"/>
    <w:rsid w:val="000B59F0"/>
    <w:rsid w:val="000B5B43"/>
    <w:rsid w:val="000B6379"/>
    <w:rsid w:val="000B639E"/>
    <w:rsid w:val="000B67A2"/>
    <w:rsid w:val="000B6A02"/>
    <w:rsid w:val="000B72FC"/>
    <w:rsid w:val="000B731D"/>
    <w:rsid w:val="000B7785"/>
    <w:rsid w:val="000C0036"/>
    <w:rsid w:val="000C0406"/>
    <w:rsid w:val="000C04DE"/>
    <w:rsid w:val="000C07A9"/>
    <w:rsid w:val="000C0850"/>
    <w:rsid w:val="000C0985"/>
    <w:rsid w:val="000C0E08"/>
    <w:rsid w:val="000C0E42"/>
    <w:rsid w:val="000C11AE"/>
    <w:rsid w:val="000C12AD"/>
    <w:rsid w:val="000C146C"/>
    <w:rsid w:val="000C14FA"/>
    <w:rsid w:val="000C18CA"/>
    <w:rsid w:val="000C1BD9"/>
    <w:rsid w:val="000C1C86"/>
    <w:rsid w:val="000C1E45"/>
    <w:rsid w:val="000C21BE"/>
    <w:rsid w:val="000C25D5"/>
    <w:rsid w:val="000C2771"/>
    <w:rsid w:val="000C2BC9"/>
    <w:rsid w:val="000C2CCB"/>
    <w:rsid w:val="000C2D93"/>
    <w:rsid w:val="000C2DCD"/>
    <w:rsid w:val="000C3734"/>
    <w:rsid w:val="000C37FB"/>
    <w:rsid w:val="000C3CF7"/>
    <w:rsid w:val="000C407F"/>
    <w:rsid w:val="000C41E7"/>
    <w:rsid w:val="000C4673"/>
    <w:rsid w:val="000C4701"/>
    <w:rsid w:val="000C4915"/>
    <w:rsid w:val="000C49C2"/>
    <w:rsid w:val="000C4A18"/>
    <w:rsid w:val="000C4DA7"/>
    <w:rsid w:val="000C564A"/>
    <w:rsid w:val="000C577A"/>
    <w:rsid w:val="000C5784"/>
    <w:rsid w:val="000C5FC2"/>
    <w:rsid w:val="000C6121"/>
    <w:rsid w:val="000C6294"/>
    <w:rsid w:val="000C6454"/>
    <w:rsid w:val="000C6697"/>
    <w:rsid w:val="000C693D"/>
    <w:rsid w:val="000C6A1D"/>
    <w:rsid w:val="000C7101"/>
    <w:rsid w:val="000C7353"/>
    <w:rsid w:val="000C7611"/>
    <w:rsid w:val="000C7612"/>
    <w:rsid w:val="000C7744"/>
    <w:rsid w:val="000C7BA6"/>
    <w:rsid w:val="000C7DAB"/>
    <w:rsid w:val="000D02A4"/>
    <w:rsid w:val="000D05E5"/>
    <w:rsid w:val="000D0B21"/>
    <w:rsid w:val="000D0BEE"/>
    <w:rsid w:val="000D1197"/>
    <w:rsid w:val="000D1FE1"/>
    <w:rsid w:val="000D2351"/>
    <w:rsid w:val="000D2399"/>
    <w:rsid w:val="000D23C4"/>
    <w:rsid w:val="000D242A"/>
    <w:rsid w:val="000D258B"/>
    <w:rsid w:val="000D2AB8"/>
    <w:rsid w:val="000D2F10"/>
    <w:rsid w:val="000D304A"/>
    <w:rsid w:val="000D3262"/>
    <w:rsid w:val="000D34F9"/>
    <w:rsid w:val="000D3BEB"/>
    <w:rsid w:val="000D3DEC"/>
    <w:rsid w:val="000D4498"/>
    <w:rsid w:val="000D45A7"/>
    <w:rsid w:val="000D4614"/>
    <w:rsid w:val="000D496A"/>
    <w:rsid w:val="000D49DF"/>
    <w:rsid w:val="000D4A1F"/>
    <w:rsid w:val="000D4BA1"/>
    <w:rsid w:val="000D54D0"/>
    <w:rsid w:val="000D57CD"/>
    <w:rsid w:val="000D57E8"/>
    <w:rsid w:val="000D57FD"/>
    <w:rsid w:val="000D5A47"/>
    <w:rsid w:val="000D5A67"/>
    <w:rsid w:val="000D5C08"/>
    <w:rsid w:val="000D5ECB"/>
    <w:rsid w:val="000D691A"/>
    <w:rsid w:val="000D6A82"/>
    <w:rsid w:val="000D6A89"/>
    <w:rsid w:val="000D712A"/>
    <w:rsid w:val="000D72DF"/>
    <w:rsid w:val="000D7371"/>
    <w:rsid w:val="000D785D"/>
    <w:rsid w:val="000D7A6C"/>
    <w:rsid w:val="000D7B04"/>
    <w:rsid w:val="000D7C3F"/>
    <w:rsid w:val="000E045C"/>
    <w:rsid w:val="000E0817"/>
    <w:rsid w:val="000E113C"/>
    <w:rsid w:val="000E11CA"/>
    <w:rsid w:val="000E1240"/>
    <w:rsid w:val="000E1C2E"/>
    <w:rsid w:val="000E2194"/>
    <w:rsid w:val="000E2232"/>
    <w:rsid w:val="000E2386"/>
    <w:rsid w:val="000E2520"/>
    <w:rsid w:val="000E2856"/>
    <w:rsid w:val="000E2B03"/>
    <w:rsid w:val="000E2B67"/>
    <w:rsid w:val="000E33EF"/>
    <w:rsid w:val="000E3719"/>
    <w:rsid w:val="000E3737"/>
    <w:rsid w:val="000E379D"/>
    <w:rsid w:val="000E3938"/>
    <w:rsid w:val="000E3E6B"/>
    <w:rsid w:val="000E3F19"/>
    <w:rsid w:val="000E432D"/>
    <w:rsid w:val="000E4538"/>
    <w:rsid w:val="000E47FA"/>
    <w:rsid w:val="000E4A2C"/>
    <w:rsid w:val="000E4D1A"/>
    <w:rsid w:val="000E4D66"/>
    <w:rsid w:val="000E5298"/>
    <w:rsid w:val="000E52EF"/>
    <w:rsid w:val="000E5456"/>
    <w:rsid w:val="000E5524"/>
    <w:rsid w:val="000E5CCC"/>
    <w:rsid w:val="000E618B"/>
    <w:rsid w:val="000E65EC"/>
    <w:rsid w:val="000E6770"/>
    <w:rsid w:val="000E6FA3"/>
    <w:rsid w:val="000E7037"/>
    <w:rsid w:val="000E723D"/>
    <w:rsid w:val="000E73A9"/>
    <w:rsid w:val="000E7998"/>
    <w:rsid w:val="000E7AA8"/>
    <w:rsid w:val="000E7CB9"/>
    <w:rsid w:val="000F05EA"/>
    <w:rsid w:val="000F08C0"/>
    <w:rsid w:val="000F092E"/>
    <w:rsid w:val="000F1ABB"/>
    <w:rsid w:val="000F1E9F"/>
    <w:rsid w:val="000F1F66"/>
    <w:rsid w:val="000F216F"/>
    <w:rsid w:val="000F2182"/>
    <w:rsid w:val="000F2689"/>
    <w:rsid w:val="000F27A8"/>
    <w:rsid w:val="000F2C75"/>
    <w:rsid w:val="000F2F73"/>
    <w:rsid w:val="000F33A7"/>
    <w:rsid w:val="000F3482"/>
    <w:rsid w:val="000F349C"/>
    <w:rsid w:val="000F3757"/>
    <w:rsid w:val="000F3A80"/>
    <w:rsid w:val="000F3AC2"/>
    <w:rsid w:val="000F3D3E"/>
    <w:rsid w:val="000F413A"/>
    <w:rsid w:val="000F417A"/>
    <w:rsid w:val="000F511F"/>
    <w:rsid w:val="000F525C"/>
    <w:rsid w:val="000F52FA"/>
    <w:rsid w:val="000F545F"/>
    <w:rsid w:val="000F5532"/>
    <w:rsid w:val="000F5668"/>
    <w:rsid w:val="000F58C2"/>
    <w:rsid w:val="000F59A8"/>
    <w:rsid w:val="000F5AAA"/>
    <w:rsid w:val="000F5E98"/>
    <w:rsid w:val="000F5EC6"/>
    <w:rsid w:val="000F6082"/>
    <w:rsid w:val="000F6259"/>
    <w:rsid w:val="000F6837"/>
    <w:rsid w:val="000F696F"/>
    <w:rsid w:val="000F6C8D"/>
    <w:rsid w:val="000F6D0F"/>
    <w:rsid w:val="000F73CA"/>
    <w:rsid w:val="001005AD"/>
    <w:rsid w:val="00100AE3"/>
    <w:rsid w:val="00100B11"/>
    <w:rsid w:val="00100B16"/>
    <w:rsid w:val="00100D77"/>
    <w:rsid w:val="00100E73"/>
    <w:rsid w:val="00101006"/>
    <w:rsid w:val="00101145"/>
    <w:rsid w:val="00101236"/>
    <w:rsid w:val="001016B2"/>
    <w:rsid w:val="00101831"/>
    <w:rsid w:val="00101A6C"/>
    <w:rsid w:val="00102209"/>
    <w:rsid w:val="00102AAE"/>
    <w:rsid w:val="00103018"/>
    <w:rsid w:val="0010361C"/>
    <w:rsid w:val="0010385E"/>
    <w:rsid w:val="00103E3C"/>
    <w:rsid w:val="00104363"/>
    <w:rsid w:val="0010470C"/>
    <w:rsid w:val="00104838"/>
    <w:rsid w:val="00104F13"/>
    <w:rsid w:val="001052B9"/>
    <w:rsid w:val="001054A9"/>
    <w:rsid w:val="0010581E"/>
    <w:rsid w:val="00105A87"/>
    <w:rsid w:val="00105ACF"/>
    <w:rsid w:val="00105CDE"/>
    <w:rsid w:val="00105E28"/>
    <w:rsid w:val="00105ECE"/>
    <w:rsid w:val="0010670F"/>
    <w:rsid w:val="00106E3D"/>
    <w:rsid w:val="001076D0"/>
    <w:rsid w:val="001076F3"/>
    <w:rsid w:val="00107AB3"/>
    <w:rsid w:val="00107E06"/>
    <w:rsid w:val="00107EB3"/>
    <w:rsid w:val="00107FA7"/>
    <w:rsid w:val="00110899"/>
    <w:rsid w:val="00110A84"/>
    <w:rsid w:val="00110E09"/>
    <w:rsid w:val="00110E8B"/>
    <w:rsid w:val="00111185"/>
    <w:rsid w:val="001114D6"/>
    <w:rsid w:val="001114E3"/>
    <w:rsid w:val="001119FA"/>
    <w:rsid w:val="00111BF3"/>
    <w:rsid w:val="00111E08"/>
    <w:rsid w:val="00112026"/>
    <w:rsid w:val="001120B5"/>
    <w:rsid w:val="0011240D"/>
    <w:rsid w:val="00112713"/>
    <w:rsid w:val="0011271A"/>
    <w:rsid w:val="00112C08"/>
    <w:rsid w:val="00113011"/>
    <w:rsid w:val="001133F0"/>
    <w:rsid w:val="00113455"/>
    <w:rsid w:val="001134C5"/>
    <w:rsid w:val="0011357A"/>
    <w:rsid w:val="00113601"/>
    <w:rsid w:val="0011366E"/>
    <w:rsid w:val="00113858"/>
    <w:rsid w:val="00113AB0"/>
    <w:rsid w:val="00113FE5"/>
    <w:rsid w:val="00113FF7"/>
    <w:rsid w:val="0011414E"/>
    <w:rsid w:val="0011428E"/>
    <w:rsid w:val="0011458C"/>
    <w:rsid w:val="00114CCF"/>
    <w:rsid w:val="00114D57"/>
    <w:rsid w:val="00114DD7"/>
    <w:rsid w:val="001150F5"/>
    <w:rsid w:val="00115140"/>
    <w:rsid w:val="00115164"/>
    <w:rsid w:val="0011542A"/>
    <w:rsid w:val="001156B5"/>
    <w:rsid w:val="001156CC"/>
    <w:rsid w:val="001158C5"/>
    <w:rsid w:val="00115AFE"/>
    <w:rsid w:val="0011657F"/>
    <w:rsid w:val="00116BBA"/>
    <w:rsid w:val="00116DCD"/>
    <w:rsid w:val="00117150"/>
    <w:rsid w:val="001172B4"/>
    <w:rsid w:val="00117932"/>
    <w:rsid w:val="001179A9"/>
    <w:rsid w:val="00117D42"/>
    <w:rsid w:val="00117E13"/>
    <w:rsid w:val="00117F60"/>
    <w:rsid w:val="00117F9D"/>
    <w:rsid w:val="001206FC"/>
    <w:rsid w:val="00120F16"/>
    <w:rsid w:val="00121B86"/>
    <w:rsid w:val="00121B8A"/>
    <w:rsid w:val="00121F64"/>
    <w:rsid w:val="001226BC"/>
    <w:rsid w:val="00122B4D"/>
    <w:rsid w:val="00122D71"/>
    <w:rsid w:val="00122F47"/>
    <w:rsid w:val="00122FB8"/>
    <w:rsid w:val="001233D6"/>
    <w:rsid w:val="001234A1"/>
    <w:rsid w:val="00123726"/>
    <w:rsid w:val="001238E9"/>
    <w:rsid w:val="00123B09"/>
    <w:rsid w:val="00123B61"/>
    <w:rsid w:val="00124036"/>
    <w:rsid w:val="001246E0"/>
    <w:rsid w:val="001251E2"/>
    <w:rsid w:val="001254E7"/>
    <w:rsid w:val="001254EB"/>
    <w:rsid w:val="0012591E"/>
    <w:rsid w:val="001261F2"/>
    <w:rsid w:val="001268C4"/>
    <w:rsid w:val="00126AD0"/>
    <w:rsid w:val="00126C0F"/>
    <w:rsid w:val="00126E2C"/>
    <w:rsid w:val="001270BB"/>
    <w:rsid w:val="00127276"/>
    <w:rsid w:val="001272C5"/>
    <w:rsid w:val="001272E0"/>
    <w:rsid w:val="00127DCD"/>
    <w:rsid w:val="00127F34"/>
    <w:rsid w:val="001302A6"/>
    <w:rsid w:val="00130E25"/>
    <w:rsid w:val="00130FB5"/>
    <w:rsid w:val="00131012"/>
    <w:rsid w:val="00131585"/>
    <w:rsid w:val="001315CA"/>
    <w:rsid w:val="001317D3"/>
    <w:rsid w:val="00131D58"/>
    <w:rsid w:val="00131E8B"/>
    <w:rsid w:val="00132257"/>
    <w:rsid w:val="001323AB"/>
    <w:rsid w:val="001325BE"/>
    <w:rsid w:val="00132FF9"/>
    <w:rsid w:val="001336F9"/>
    <w:rsid w:val="001339D3"/>
    <w:rsid w:val="00133C97"/>
    <w:rsid w:val="00133C9A"/>
    <w:rsid w:val="00133D97"/>
    <w:rsid w:val="00134141"/>
    <w:rsid w:val="0013425B"/>
    <w:rsid w:val="001349DA"/>
    <w:rsid w:val="00134A38"/>
    <w:rsid w:val="00134ED5"/>
    <w:rsid w:val="001354E0"/>
    <w:rsid w:val="0013550E"/>
    <w:rsid w:val="00135768"/>
    <w:rsid w:val="001358D7"/>
    <w:rsid w:val="00136881"/>
    <w:rsid w:val="00136CE0"/>
    <w:rsid w:val="00136DC5"/>
    <w:rsid w:val="001371BC"/>
    <w:rsid w:val="0013764E"/>
    <w:rsid w:val="001379E3"/>
    <w:rsid w:val="00137A3A"/>
    <w:rsid w:val="001400E8"/>
    <w:rsid w:val="00140376"/>
    <w:rsid w:val="001404D3"/>
    <w:rsid w:val="001407C6"/>
    <w:rsid w:val="001407E0"/>
    <w:rsid w:val="00140815"/>
    <w:rsid w:val="00140836"/>
    <w:rsid w:val="00140AAE"/>
    <w:rsid w:val="00140C35"/>
    <w:rsid w:val="00140C69"/>
    <w:rsid w:val="001415B3"/>
    <w:rsid w:val="00141915"/>
    <w:rsid w:val="00141CF1"/>
    <w:rsid w:val="00142065"/>
    <w:rsid w:val="00142786"/>
    <w:rsid w:val="00142D84"/>
    <w:rsid w:val="00142DA7"/>
    <w:rsid w:val="00142DBC"/>
    <w:rsid w:val="00142E63"/>
    <w:rsid w:val="00143287"/>
    <w:rsid w:val="0014329C"/>
    <w:rsid w:val="001435A5"/>
    <w:rsid w:val="0014368B"/>
    <w:rsid w:val="001436AB"/>
    <w:rsid w:val="00143D0A"/>
    <w:rsid w:val="00143EC5"/>
    <w:rsid w:val="0014428F"/>
    <w:rsid w:val="001442D8"/>
    <w:rsid w:val="001445C0"/>
    <w:rsid w:val="00144769"/>
    <w:rsid w:val="00144AA1"/>
    <w:rsid w:val="001451DB"/>
    <w:rsid w:val="00145596"/>
    <w:rsid w:val="0014576B"/>
    <w:rsid w:val="00145906"/>
    <w:rsid w:val="00145A9C"/>
    <w:rsid w:val="00145FE9"/>
    <w:rsid w:val="0014616B"/>
    <w:rsid w:val="001466E1"/>
    <w:rsid w:val="001467F7"/>
    <w:rsid w:val="00146942"/>
    <w:rsid w:val="00146E62"/>
    <w:rsid w:val="00147055"/>
    <w:rsid w:val="00147563"/>
    <w:rsid w:val="00147598"/>
    <w:rsid w:val="00147C83"/>
    <w:rsid w:val="00150062"/>
    <w:rsid w:val="001505E0"/>
    <w:rsid w:val="001505F7"/>
    <w:rsid w:val="00150627"/>
    <w:rsid w:val="00150A25"/>
    <w:rsid w:val="001513B2"/>
    <w:rsid w:val="00151496"/>
    <w:rsid w:val="0015151B"/>
    <w:rsid w:val="0015182E"/>
    <w:rsid w:val="00151EAE"/>
    <w:rsid w:val="001520B9"/>
    <w:rsid w:val="001528A6"/>
    <w:rsid w:val="00152A03"/>
    <w:rsid w:val="00152A73"/>
    <w:rsid w:val="00152CCE"/>
    <w:rsid w:val="00152E94"/>
    <w:rsid w:val="0015331C"/>
    <w:rsid w:val="001533C1"/>
    <w:rsid w:val="001537C2"/>
    <w:rsid w:val="001541D9"/>
    <w:rsid w:val="00154258"/>
    <w:rsid w:val="0015447F"/>
    <w:rsid w:val="00154A2E"/>
    <w:rsid w:val="00154EF8"/>
    <w:rsid w:val="00154F58"/>
    <w:rsid w:val="00155580"/>
    <w:rsid w:val="0015569F"/>
    <w:rsid w:val="00155A2C"/>
    <w:rsid w:val="00155DB2"/>
    <w:rsid w:val="001562EB"/>
    <w:rsid w:val="00156518"/>
    <w:rsid w:val="00156587"/>
    <w:rsid w:val="00156884"/>
    <w:rsid w:val="001568D1"/>
    <w:rsid w:val="00156EAE"/>
    <w:rsid w:val="00156F4F"/>
    <w:rsid w:val="00156F61"/>
    <w:rsid w:val="001571D1"/>
    <w:rsid w:val="00157695"/>
    <w:rsid w:val="00157723"/>
    <w:rsid w:val="00157A67"/>
    <w:rsid w:val="00160EF6"/>
    <w:rsid w:val="00160F85"/>
    <w:rsid w:val="001613B2"/>
    <w:rsid w:val="00161465"/>
    <w:rsid w:val="0016156A"/>
    <w:rsid w:val="00161E81"/>
    <w:rsid w:val="00161FBB"/>
    <w:rsid w:val="001622FE"/>
    <w:rsid w:val="00162446"/>
    <w:rsid w:val="001629DE"/>
    <w:rsid w:val="00162A2C"/>
    <w:rsid w:val="001636ED"/>
    <w:rsid w:val="0016371C"/>
    <w:rsid w:val="0016376D"/>
    <w:rsid w:val="001637A9"/>
    <w:rsid w:val="001639B3"/>
    <w:rsid w:val="00163E75"/>
    <w:rsid w:val="001640DA"/>
    <w:rsid w:val="001644D6"/>
    <w:rsid w:val="00164794"/>
    <w:rsid w:val="001647B3"/>
    <w:rsid w:val="001648E7"/>
    <w:rsid w:val="00164D38"/>
    <w:rsid w:val="00164E4B"/>
    <w:rsid w:val="0016557D"/>
    <w:rsid w:val="001655CD"/>
    <w:rsid w:val="00165E59"/>
    <w:rsid w:val="001661A8"/>
    <w:rsid w:val="0016650E"/>
    <w:rsid w:val="00166531"/>
    <w:rsid w:val="00167760"/>
    <w:rsid w:val="00167D30"/>
    <w:rsid w:val="00167FF2"/>
    <w:rsid w:val="0017005D"/>
    <w:rsid w:val="00170E80"/>
    <w:rsid w:val="00171680"/>
    <w:rsid w:val="001718D9"/>
    <w:rsid w:val="00171C7D"/>
    <w:rsid w:val="00171D76"/>
    <w:rsid w:val="00172331"/>
    <w:rsid w:val="0017235D"/>
    <w:rsid w:val="0017238A"/>
    <w:rsid w:val="001727AF"/>
    <w:rsid w:val="00172854"/>
    <w:rsid w:val="00172868"/>
    <w:rsid w:val="001729C7"/>
    <w:rsid w:val="00172D85"/>
    <w:rsid w:val="00173C7E"/>
    <w:rsid w:val="001740CF"/>
    <w:rsid w:val="001741D5"/>
    <w:rsid w:val="00174AAF"/>
    <w:rsid w:val="00174D50"/>
    <w:rsid w:val="001750D9"/>
    <w:rsid w:val="001758C4"/>
    <w:rsid w:val="001759EE"/>
    <w:rsid w:val="00175C50"/>
    <w:rsid w:val="00175F6D"/>
    <w:rsid w:val="00176681"/>
    <w:rsid w:val="0017671E"/>
    <w:rsid w:val="00176808"/>
    <w:rsid w:val="0017695F"/>
    <w:rsid w:val="00176A63"/>
    <w:rsid w:val="00176FD6"/>
    <w:rsid w:val="00176FF1"/>
    <w:rsid w:val="0017710B"/>
    <w:rsid w:val="001779D1"/>
    <w:rsid w:val="00177BD3"/>
    <w:rsid w:val="00177C15"/>
    <w:rsid w:val="00177C35"/>
    <w:rsid w:val="00177FDE"/>
    <w:rsid w:val="001801A5"/>
    <w:rsid w:val="001801C9"/>
    <w:rsid w:val="00180691"/>
    <w:rsid w:val="00180754"/>
    <w:rsid w:val="001807C0"/>
    <w:rsid w:val="00180B45"/>
    <w:rsid w:val="00181141"/>
    <w:rsid w:val="001812C5"/>
    <w:rsid w:val="0018149E"/>
    <w:rsid w:val="001819DD"/>
    <w:rsid w:val="00181A32"/>
    <w:rsid w:val="00181EE9"/>
    <w:rsid w:val="00181EEC"/>
    <w:rsid w:val="00182078"/>
    <w:rsid w:val="001827E3"/>
    <w:rsid w:val="0018299A"/>
    <w:rsid w:val="00183027"/>
    <w:rsid w:val="001831EB"/>
    <w:rsid w:val="001832A6"/>
    <w:rsid w:val="00183777"/>
    <w:rsid w:val="00183789"/>
    <w:rsid w:val="00183AAC"/>
    <w:rsid w:val="00183D82"/>
    <w:rsid w:val="00183EB2"/>
    <w:rsid w:val="00183F66"/>
    <w:rsid w:val="00184450"/>
    <w:rsid w:val="001844DA"/>
    <w:rsid w:val="001847E6"/>
    <w:rsid w:val="0018483A"/>
    <w:rsid w:val="00184AC2"/>
    <w:rsid w:val="00184CC5"/>
    <w:rsid w:val="00184DF5"/>
    <w:rsid w:val="00184ED2"/>
    <w:rsid w:val="00184F7B"/>
    <w:rsid w:val="0018521E"/>
    <w:rsid w:val="00185236"/>
    <w:rsid w:val="00185319"/>
    <w:rsid w:val="00185505"/>
    <w:rsid w:val="00185544"/>
    <w:rsid w:val="001855C9"/>
    <w:rsid w:val="00185E05"/>
    <w:rsid w:val="0018674F"/>
    <w:rsid w:val="00186C77"/>
    <w:rsid w:val="00186E39"/>
    <w:rsid w:val="0018738B"/>
    <w:rsid w:val="001874E6"/>
    <w:rsid w:val="00187A47"/>
    <w:rsid w:val="00187B0C"/>
    <w:rsid w:val="00187C3F"/>
    <w:rsid w:val="001909C9"/>
    <w:rsid w:val="00190C68"/>
    <w:rsid w:val="00190C88"/>
    <w:rsid w:val="00190CE7"/>
    <w:rsid w:val="00190F5D"/>
    <w:rsid w:val="00190FBC"/>
    <w:rsid w:val="00191407"/>
    <w:rsid w:val="001915D2"/>
    <w:rsid w:val="00191604"/>
    <w:rsid w:val="001917A0"/>
    <w:rsid w:val="00191807"/>
    <w:rsid w:val="00191BF5"/>
    <w:rsid w:val="00191CC3"/>
    <w:rsid w:val="00191F85"/>
    <w:rsid w:val="0019205E"/>
    <w:rsid w:val="0019245F"/>
    <w:rsid w:val="00192BC4"/>
    <w:rsid w:val="00192E24"/>
    <w:rsid w:val="001932C7"/>
    <w:rsid w:val="00193570"/>
    <w:rsid w:val="001938F7"/>
    <w:rsid w:val="00193CFB"/>
    <w:rsid w:val="001940ED"/>
    <w:rsid w:val="00194274"/>
    <w:rsid w:val="001942E8"/>
    <w:rsid w:val="001946CB"/>
    <w:rsid w:val="001948EA"/>
    <w:rsid w:val="00194AC3"/>
    <w:rsid w:val="00194B6A"/>
    <w:rsid w:val="00194BC7"/>
    <w:rsid w:val="00194D6D"/>
    <w:rsid w:val="00194F1D"/>
    <w:rsid w:val="00195B2D"/>
    <w:rsid w:val="00195F68"/>
    <w:rsid w:val="00196254"/>
    <w:rsid w:val="001967D8"/>
    <w:rsid w:val="001969DD"/>
    <w:rsid w:val="00196AE0"/>
    <w:rsid w:val="00196D13"/>
    <w:rsid w:val="00196E5E"/>
    <w:rsid w:val="00196F07"/>
    <w:rsid w:val="00196FC6"/>
    <w:rsid w:val="00197411"/>
    <w:rsid w:val="00197C40"/>
    <w:rsid w:val="00197CB8"/>
    <w:rsid w:val="001A05D1"/>
    <w:rsid w:val="001A0D0E"/>
    <w:rsid w:val="001A11F5"/>
    <w:rsid w:val="001A12A2"/>
    <w:rsid w:val="001A1384"/>
    <w:rsid w:val="001A1567"/>
    <w:rsid w:val="001A172B"/>
    <w:rsid w:val="001A18F3"/>
    <w:rsid w:val="001A1900"/>
    <w:rsid w:val="001A193F"/>
    <w:rsid w:val="001A1ADE"/>
    <w:rsid w:val="001A1CEC"/>
    <w:rsid w:val="001A2360"/>
    <w:rsid w:val="001A2630"/>
    <w:rsid w:val="001A28B9"/>
    <w:rsid w:val="001A2B9C"/>
    <w:rsid w:val="001A2F39"/>
    <w:rsid w:val="001A3219"/>
    <w:rsid w:val="001A355B"/>
    <w:rsid w:val="001A376C"/>
    <w:rsid w:val="001A38A9"/>
    <w:rsid w:val="001A3CBA"/>
    <w:rsid w:val="001A3EA1"/>
    <w:rsid w:val="001A426B"/>
    <w:rsid w:val="001A455C"/>
    <w:rsid w:val="001A49A6"/>
    <w:rsid w:val="001A4A06"/>
    <w:rsid w:val="001A4B1F"/>
    <w:rsid w:val="001A4EDC"/>
    <w:rsid w:val="001A5612"/>
    <w:rsid w:val="001A568C"/>
    <w:rsid w:val="001A58F0"/>
    <w:rsid w:val="001A600A"/>
    <w:rsid w:val="001A6322"/>
    <w:rsid w:val="001A637A"/>
    <w:rsid w:val="001A640C"/>
    <w:rsid w:val="001A6468"/>
    <w:rsid w:val="001A66C6"/>
    <w:rsid w:val="001A6E2C"/>
    <w:rsid w:val="001A6E6F"/>
    <w:rsid w:val="001A6F9F"/>
    <w:rsid w:val="001A7228"/>
    <w:rsid w:val="001A7AD2"/>
    <w:rsid w:val="001A7E41"/>
    <w:rsid w:val="001A7E9D"/>
    <w:rsid w:val="001B0081"/>
    <w:rsid w:val="001B009C"/>
    <w:rsid w:val="001B048D"/>
    <w:rsid w:val="001B0514"/>
    <w:rsid w:val="001B07A5"/>
    <w:rsid w:val="001B0AAC"/>
    <w:rsid w:val="001B0B98"/>
    <w:rsid w:val="001B0EEE"/>
    <w:rsid w:val="001B0F5F"/>
    <w:rsid w:val="001B1160"/>
    <w:rsid w:val="001B148D"/>
    <w:rsid w:val="001B1628"/>
    <w:rsid w:val="001B1BCD"/>
    <w:rsid w:val="001B1C7F"/>
    <w:rsid w:val="001B1E28"/>
    <w:rsid w:val="001B1F83"/>
    <w:rsid w:val="001B1FC2"/>
    <w:rsid w:val="001B2053"/>
    <w:rsid w:val="001B20E2"/>
    <w:rsid w:val="001B267B"/>
    <w:rsid w:val="001B280E"/>
    <w:rsid w:val="001B2930"/>
    <w:rsid w:val="001B2B47"/>
    <w:rsid w:val="001B2C30"/>
    <w:rsid w:val="001B2E8E"/>
    <w:rsid w:val="001B3488"/>
    <w:rsid w:val="001B41B2"/>
    <w:rsid w:val="001B4549"/>
    <w:rsid w:val="001B461B"/>
    <w:rsid w:val="001B46C2"/>
    <w:rsid w:val="001B49FB"/>
    <w:rsid w:val="001B4A1A"/>
    <w:rsid w:val="001B4C76"/>
    <w:rsid w:val="001B4C9B"/>
    <w:rsid w:val="001B4E51"/>
    <w:rsid w:val="001B4FCE"/>
    <w:rsid w:val="001B5191"/>
    <w:rsid w:val="001B5394"/>
    <w:rsid w:val="001B53D1"/>
    <w:rsid w:val="001B5C3D"/>
    <w:rsid w:val="001B600B"/>
    <w:rsid w:val="001B602B"/>
    <w:rsid w:val="001B6102"/>
    <w:rsid w:val="001B6B9C"/>
    <w:rsid w:val="001B6F04"/>
    <w:rsid w:val="001B72EF"/>
    <w:rsid w:val="001B73B4"/>
    <w:rsid w:val="001B772C"/>
    <w:rsid w:val="001B7951"/>
    <w:rsid w:val="001B7D3D"/>
    <w:rsid w:val="001B7FE2"/>
    <w:rsid w:val="001C0223"/>
    <w:rsid w:val="001C0457"/>
    <w:rsid w:val="001C0910"/>
    <w:rsid w:val="001C0995"/>
    <w:rsid w:val="001C0A67"/>
    <w:rsid w:val="001C0ACA"/>
    <w:rsid w:val="001C0E25"/>
    <w:rsid w:val="001C1685"/>
    <w:rsid w:val="001C16B6"/>
    <w:rsid w:val="001C1992"/>
    <w:rsid w:val="001C1D42"/>
    <w:rsid w:val="001C1E99"/>
    <w:rsid w:val="001C1EF1"/>
    <w:rsid w:val="001C22F8"/>
    <w:rsid w:val="001C3239"/>
    <w:rsid w:val="001C3425"/>
    <w:rsid w:val="001C35FE"/>
    <w:rsid w:val="001C36AE"/>
    <w:rsid w:val="001C3A43"/>
    <w:rsid w:val="001C4360"/>
    <w:rsid w:val="001C4B7A"/>
    <w:rsid w:val="001C4BFA"/>
    <w:rsid w:val="001C552B"/>
    <w:rsid w:val="001C5563"/>
    <w:rsid w:val="001C559C"/>
    <w:rsid w:val="001C55C0"/>
    <w:rsid w:val="001C5C6E"/>
    <w:rsid w:val="001C5F17"/>
    <w:rsid w:val="001C6085"/>
    <w:rsid w:val="001C62E9"/>
    <w:rsid w:val="001C669C"/>
    <w:rsid w:val="001C69CF"/>
    <w:rsid w:val="001C71D8"/>
    <w:rsid w:val="001C7350"/>
    <w:rsid w:val="001C796C"/>
    <w:rsid w:val="001D00EF"/>
    <w:rsid w:val="001D0137"/>
    <w:rsid w:val="001D03D3"/>
    <w:rsid w:val="001D0AD9"/>
    <w:rsid w:val="001D0CC0"/>
    <w:rsid w:val="001D164B"/>
    <w:rsid w:val="001D1827"/>
    <w:rsid w:val="001D19BE"/>
    <w:rsid w:val="001D1BEF"/>
    <w:rsid w:val="001D1DB5"/>
    <w:rsid w:val="001D2364"/>
    <w:rsid w:val="001D2607"/>
    <w:rsid w:val="001D2BFA"/>
    <w:rsid w:val="001D2E95"/>
    <w:rsid w:val="001D3200"/>
    <w:rsid w:val="001D34D0"/>
    <w:rsid w:val="001D3558"/>
    <w:rsid w:val="001D373B"/>
    <w:rsid w:val="001D3746"/>
    <w:rsid w:val="001D3A05"/>
    <w:rsid w:val="001D3AAA"/>
    <w:rsid w:val="001D3B20"/>
    <w:rsid w:val="001D3BBD"/>
    <w:rsid w:val="001D3EFA"/>
    <w:rsid w:val="001D400F"/>
    <w:rsid w:val="001D4257"/>
    <w:rsid w:val="001D4426"/>
    <w:rsid w:val="001D46F9"/>
    <w:rsid w:val="001D478D"/>
    <w:rsid w:val="001D4792"/>
    <w:rsid w:val="001D51D6"/>
    <w:rsid w:val="001D54A1"/>
    <w:rsid w:val="001D59F4"/>
    <w:rsid w:val="001D5A42"/>
    <w:rsid w:val="001D5BAC"/>
    <w:rsid w:val="001D5BB8"/>
    <w:rsid w:val="001D5D87"/>
    <w:rsid w:val="001D5E7E"/>
    <w:rsid w:val="001D5EED"/>
    <w:rsid w:val="001D5EF4"/>
    <w:rsid w:val="001D5F3D"/>
    <w:rsid w:val="001D6784"/>
    <w:rsid w:val="001D6DF6"/>
    <w:rsid w:val="001D6E44"/>
    <w:rsid w:val="001D6E9C"/>
    <w:rsid w:val="001D6EC8"/>
    <w:rsid w:val="001D722B"/>
    <w:rsid w:val="001D72FC"/>
    <w:rsid w:val="001D7BFB"/>
    <w:rsid w:val="001D7F74"/>
    <w:rsid w:val="001E04ED"/>
    <w:rsid w:val="001E0E57"/>
    <w:rsid w:val="001E0ECE"/>
    <w:rsid w:val="001E0FEE"/>
    <w:rsid w:val="001E1116"/>
    <w:rsid w:val="001E113F"/>
    <w:rsid w:val="001E14C2"/>
    <w:rsid w:val="001E1A3E"/>
    <w:rsid w:val="001E1EE8"/>
    <w:rsid w:val="001E2344"/>
    <w:rsid w:val="001E2376"/>
    <w:rsid w:val="001E2523"/>
    <w:rsid w:val="001E2534"/>
    <w:rsid w:val="001E26F6"/>
    <w:rsid w:val="001E2C9B"/>
    <w:rsid w:val="001E2DB3"/>
    <w:rsid w:val="001E3090"/>
    <w:rsid w:val="001E3499"/>
    <w:rsid w:val="001E4743"/>
    <w:rsid w:val="001E4C17"/>
    <w:rsid w:val="001E4F3F"/>
    <w:rsid w:val="001E55C4"/>
    <w:rsid w:val="001E5B96"/>
    <w:rsid w:val="001E5F9F"/>
    <w:rsid w:val="001E6137"/>
    <w:rsid w:val="001E6144"/>
    <w:rsid w:val="001E6430"/>
    <w:rsid w:val="001E685C"/>
    <w:rsid w:val="001E7096"/>
    <w:rsid w:val="001E780C"/>
    <w:rsid w:val="001E7E4C"/>
    <w:rsid w:val="001F0704"/>
    <w:rsid w:val="001F0A10"/>
    <w:rsid w:val="001F0A41"/>
    <w:rsid w:val="001F0B65"/>
    <w:rsid w:val="001F0CAC"/>
    <w:rsid w:val="001F18A3"/>
    <w:rsid w:val="001F2261"/>
    <w:rsid w:val="001F2306"/>
    <w:rsid w:val="001F25AD"/>
    <w:rsid w:val="001F2A31"/>
    <w:rsid w:val="001F2B03"/>
    <w:rsid w:val="001F2D6B"/>
    <w:rsid w:val="001F3263"/>
    <w:rsid w:val="001F3357"/>
    <w:rsid w:val="001F34BD"/>
    <w:rsid w:val="001F361B"/>
    <w:rsid w:val="001F36A7"/>
    <w:rsid w:val="001F3AF2"/>
    <w:rsid w:val="001F3D00"/>
    <w:rsid w:val="001F3DC4"/>
    <w:rsid w:val="001F4321"/>
    <w:rsid w:val="001F437C"/>
    <w:rsid w:val="001F43A4"/>
    <w:rsid w:val="001F456C"/>
    <w:rsid w:val="001F4727"/>
    <w:rsid w:val="001F472C"/>
    <w:rsid w:val="001F4883"/>
    <w:rsid w:val="001F4BEB"/>
    <w:rsid w:val="001F505B"/>
    <w:rsid w:val="001F520D"/>
    <w:rsid w:val="001F52AE"/>
    <w:rsid w:val="001F5346"/>
    <w:rsid w:val="001F58CA"/>
    <w:rsid w:val="001F5B0F"/>
    <w:rsid w:val="001F5B87"/>
    <w:rsid w:val="001F636A"/>
    <w:rsid w:val="001F64B7"/>
    <w:rsid w:val="001F6BDA"/>
    <w:rsid w:val="001F6CEF"/>
    <w:rsid w:val="001F6ED9"/>
    <w:rsid w:val="001F7770"/>
    <w:rsid w:val="001F7AFD"/>
    <w:rsid w:val="001F7CA9"/>
    <w:rsid w:val="001F7CDA"/>
    <w:rsid w:val="001F7E0A"/>
    <w:rsid w:val="001F7F8A"/>
    <w:rsid w:val="002000B8"/>
    <w:rsid w:val="002002E7"/>
    <w:rsid w:val="002009E1"/>
    <w:rsid w:val="00200A1D"/>
    <w:rsid w:val="00200A6C"/>
    <w:rsid w:val="00200EF9"/>
    <w:rsid w:val="00201028"/>
    <w:rsid w:val="00201453"/>
    <w:rsid w:val="00201A4E"/>
    <w:rsid w:val="00201BEE"/>
    <w:rsid w:val="002022C4"/>
    <w:rsid w:val="002024F2"/>
    <w:rsid w:val="00202923"/>
    <w:rsid w:val="002029D6"/>
    <w:rsid w:val="00202A62"/>
    <w:rsid w:val="00202AA8"/>
    <w:rsid w:val="00203007"/>
    <w:rsid w:val="002032A2"/>
    <w:rsid w:val="002034A3"/>
    <w:rsid w:val="002034DE"/>
    <w:rsid w:val="002036BB"/>
    <w:rsid w:val="00203885"/>
    <w:rsid w:val="00203941"/>
    <w:rsid w:val="00203D04"/>
    <w:rsid w:val="00203E6A"/>
    <w:rsid w:val="00203FC6"/>
    <w:rsid w:val="00204044"/>
    <w:rsid w:val="00204078"/>
    <w:rsid w:val="0020418F"/>
    <w:rsid w:val="0020454C"/>
    <w:rsid w:val="002045E9"/>
    <w:rsid w:val="00204A6B"/>
    <w:rsid w:val="00205695"/>
    <w:rsid w:val="00205789"/>
    <w:rsid w:val="0020585D"/>
    <w:rsid w:val="00205913"/>
    <w:rsid w:val="00205B98"/>
    <w:rsid w:val="00206175"/>
    <w:rsid w:val="0020626A"/>
    <w:rsid w:val="002062F7"/>
    <w:rsid w:val="00206934"/>
    <w:rsid w:val="00206BAD"/>
    <w:rsid w:val="00206ECF"/>
    <w:rsid w:val="00206F12"/>
    <w:rsid w:val="00207064"/>
    <w:rsid w:val="002075C3"/>
    <w:rsid w:val="00207C35"/>
    <w:rsid w:val="00207EDC"/>
    <w:rsid w:val="00207F3C"/>
    <w:rsid w:val="0021054F"/>
    <w:rsid w:val="00210933"/>
    <w:rsid w:val="00210AE4"/>
    <w:rsid w:val="00210C2F"/>
    <w:rsid w:val="00210CF4"/>
    <w:rsid w:val="00210D67"/>
    <w:rsid w:val="0021101F"/>
    <w:rsid w:val="00211023"/>
    <w:rsid w:val="00211D4D"/>
    <w:rsid w:val="00211ED1"/>
    <w:rsid w:val="00212640"/>
    <w:rsid w:val="00212792"/>
    <w:rsid w:val="002129D0"/>
    <w:rsid w:val="00212D5A"/>
    <w:rsid w:val="002135D6"/>
    <w:rsid w:val="002136B7"/>
    <w:rsid w:val="002137B5"/>
    <w:rsid w:val="00213F44"/>
    <w:rsid w:val="002140C8"/>
    <w:rsid w:val="0021427F"/>
    <w:rsid w:val="002145B6"/>
    <w:rsid w:val="00214824"/>
    <w:rsid w:val="002149BA"/>
    <w:rsid w:val="00214E60"/>
    <w:rsid w:val="00214E8B"/>
    <w:rsid w:val="00215075"/>
    <w:rsid w:val="00215128"/>
    <w:rsid w:val="002153DE"/>
    <w:rsid w:val="00215732"/>
    <w:rsid w:val="00215769"/>
    <w:rsid w:val="00215793"/>
    <w:rsid w:val="0021587E"/>
    <w:rsid w:val="002158A9"/>
    <w:rsid w:val="00215B29"/>
    <w:rsid w:val="00215F29"/>
    <w:rsid w:val="00215F86"/>
    <w:rsid w:val="00216503"/>
    <w:rsid w:val="002170AF"/>
    <w:rsid w:val="00217436"/>
    <w:rsid w:val="002174CC"/>
    <w:rsid w:val="0021767B"/>
    <w:rsid w:val="00217C30"/>
    <w:rsid w:val="00220782"/>
    <w:rsid w:val="00220A4E"/>
    <w:rsid w:val="00220C18"/>
    <w:rsid w:val="00220F45"/>
    <w:rsid w:val="0022106A"/>
    <w:rsid w:val="00221316"/>
    <w:rsid w:val="0022133C"/>
    <w:rsid w:val="00221458"/>
    <w:rsid w:val="002217BE"/>
    <w:rsid w:val="00221834"/>
    <w:rsid w:val="00222223"/>
    <w:rsid w:val="00222A22"/>
    <w:rsid w:val="00222EE2"/>
    <w:rsid w:val="0022304A"/>
    <w:rsid w:val="00223084"/>
    <w:rsid w:val="00223708"/>
    <w:rsid w:val="00223834"/>
    <w:rsid w:val="00223D46"/>
    <w:rsid w:val="00224233"/>
    <w:rsid w:val="002242FC"/>
    <w:rsid w:val="002250D5"/>
    <w:rsid w:val="0022548C"/>
    <w:rsid w:val="002254B7"/>
    <w:rsid w:val="00225505"/>
    <w:rsid w:val="00225758"/>
    <w:rsid w:val="002257A3"/>
    <w:rsid w:val="00225E9E"/>
    <w:rsid w:val="002260C7"/>
    <w:rsid w:val="0022631E"/>
    <w:rsid w:val="00226450"/>
    <w:rsid w:val="002269DE"/>
    <w:rsid w:val="00226B83"/>
    <w:rsid w:val="00226DAF"/>
    <w:rsid w:val="00226E85"/>
    <w:rsid w:val="00227383"/>
    <w:rsid w:val="00227A59"/>
    <w:rsid w:val="00227EAD"/>
    <w:rsid w:val="00230015"/>
    <w:rsid w:val="00230110"/>
    <w:rsid w:val="00230811"/>
    <w:rsid w:val="0023087F"/>
    <w:rsid w:val="002309D7"/>
    <w:rsid w:val="00230AB0"/>
    <w:rsid w:val="00230F7A"/>
    <w:rsid w:val="002311FD"/>
    <w:rsid w:val="00231206"/>
    <w:rsid w:val="00231427"/>
    <w:rsid w:val="00231586"/>
    <w:rsid w:val="0023160D"/>
    <w:rsid w:val="002320FC"/>
    <w:rsid w:val="00232200"/>
    <w:rsid w:val="0023223D"/>
    <w:rsid w:val="002323A5"/>
    <w:rsid w:val="0023244C"/>
    <w:rsid w:val="0023258D"/>
    <w:rsid w:val="00232653"/>
    <w:rsid w:val="002327AB"/>
    <w:rsid w:val="00232B9C"/>
    <w:rsid w:val="00232E5C"/>
    <w:rsid w:val="00232FFA"/>
    <w:rsid w:val="00233267"/>
    <w:rsid w:val="00233428"/>
    <w:rsid w:val="002334C5"/>
    <w:rsid w:val="002334DB"/>
    <w:rsid w:val="0023376B"/>
    <w:rsid w:val="00233877"/>
    <w:rsid w:val="0023395E"/>
    <w:rsid w:val="00233B26"/>
    <w:rsid w:val="00234075"/>
    <w:rsid w:val="002341CA"/>
    <w:rsid w:val="00234792"/>
    <w:rsid w:val="002349F4"/>
    <w:rsid w:val="00234AFE"/>
    <w:rsid w:val="00234C90"/>
    <w:rsid w:val="00234FF4"/>
    <w:rsid w:val="002353E8"/>
    <w:rsid w:val="002355C8"/>
    <w:rsid w:val="002355F9"/>
    <w:rsid w:val="00235A5D"/>
    <w:rsid w:val="00235E71"/>
    <w:rsid w:val="00235EFF"/>
    <w:rsid w:val="00236069"/>
    <w:rsid w:val="00236218"/>
    <w:rsid w:val="00236388"/>
    <w:rsid w:val="0023681F"/>
    <w:rsid w:val="00236A1E"/>
    <w:rsid w:val="00236CC5"/>
    <w:rsid w:val="00236EB2"/>
    <w:rsid w:val="00237074"/>
    <w:rsid w:val="0023723B"/>
    <w:rsid w:val="002372EA"/>
    <w:rsid w:val="00237450"/>
    <w:rsid w:val="002374C9"/>
    <w:rsid w:val="00237623"/>
    <w:rsid w:val="002376B6"/>
    <w:rsid w:val="002379CA"/>
    <w:rsid w:val="00237C11"/>
    <w:rsid w:val="00240003"/>
    <w:rsid w:val="0024005C"/>
    <w:rsid w:val="002403B0"/>
    <w:rsid w:val="00240525"/>
    <w:rsid w:val="00240584"/>
    <w:rsid w:val="002405CD"/>
    <w:rsid w:val="0024072F"/>
    <w:rsid w:val="00240779"/>
    <w:rsid w:val="00240A71"/>
    <w:rsid w:val="00240C10"/>
    <w:rsid w:val="00240C60"/>
    <w:rsid w:val="00240CEA"/>
    <w:rsid w:val="00240D77"/>
    <w:rsid w:val="002411CE"/>
    <w:rsid w:val="00241245"/>
    <w:rsid w:val="00241340"/>
    <w:rsid w:val="002415DC"/>
    <w:rsid w:val="00241A04"/>
    <w:rsid w:val="00241B89"/>
    <w:rsid w:val="00241BF9"/>
    <w:rsid w:val="00241BFE"/>
    <w:rsid w:val="00241EC7"/>
    <w:rsid w:val="0024213B"/>
    <w:rsid w:val="00242A98"/>
    <w:rsid w:val="00242C40"/>
    <w:rsid w:val="00242C63"/>
    <w:rsid w:val="00242CBA"/>
    <w:rsid w:val="00242EAB"/>
    <w:rsid w:val="00242F93"/>
    <w:rsid w:val="0024342D"/>
    <w:rsid w:val="00243808"/>
    <w:rsid w:val="00243BC7"/>
    <w:rsid w:val="00243E60"/>
    <w:rsid w:val="00243E6B"/>
    <w:rsid w:val="00243F3A"/>
    <w:rsid w:val="00244545"/>
    <w:rsid w:val="002445E2"/>
    <w:rsid w:val="002449AF"/>
    <w:rsid w:val="00244A68"/>
    <w:rsid w:val="00244C1C"/>
    <w:rsid w:val="00244C5C"/>
    <w:rsid w:val="00244F0C"/>
    <w:rsid w:val="00245073"/>
    <w:rsid w:val="002452C0"/>
    <w:rsid w:val="00245933"/>
    <w:rsid w:val="00245F2B"/>
    <w:rsid w:val="00245F9E"/>
    <w:rsid w:val="00245FD6"/>
    <w:rsid w:val="00246152"/>
    <w:rsid w:val="00246176"/>
    <w:rsid w:val="00246831"/>
    <w:rsid w:val="00246E9A"/>
    <w:rsid w:val="00247667"/>
    <w:rsid w:val="002500A6"/>
    <w:rsid w:val="00250176"/>
    <w:rsid w:val="0025034A"/>
    <w:rsid w:val="00250381"/>
    <w:rsid w:val="002509A2"/>
    <w:rsid w:val="002509D6"/>
    <w:rsid w:val="00250A43"/>
    <w:rsid w:val="00250A87"/>
    <w:rsid w:val="00250F81"/>
    <w:rsid w:val="002513CA"/>
    <w:rsid w:val="002514D3"/>
    <w:rsid w:val="002514D9"/>
    <w:rsid w:val="002515A1"/>
    <w:rsid w:val="002515C3"/>
    <w:rsid w:val="002515F3"/>
    <w:rsid w:val="0025162E"/>
    <w:rsid w:val="0025170F"/>
    <w:rsid w:val="002522BB"/>
    <w:rsid w:val="00252848"/>
    <w:rsid w:val="00252896"/>
    <w:rsid w:val="00252BC1"/>
    <w:rsid w:val="0025319D"/>
    <w:rsid w:val="002533DA"/>
    <w:rsid w:val="002537B0"/>
    <w:rsid w:val="002537D9"/>
    <w:rsid w:val="00253986"/>
    <w:rsid w:val="00253AB2"/>
    <w:rsid w:val="00253AD1"/>
    <w:rsid w:val="00253DD9"/>
    <w:rsid w:val="00253E03"/>
    <w:rsid w:val="00254081"/>
    <w:rsid w:val="002543EF"/>
    <w:rsid w:val="0025456E"/>
    <w:rsid w:val="00254D7F"/>
    <w:rsid w:val="00255078"/>
    <w:rsid w:val="002551DA"/>
    <w:rsid w:val="00255B75"/>
    <w:rsid w:val="00255F14"/>
    <w:rsid w:val="00255FF5"/>
    <w:rsid w:val="00256348"/>
    <w:rsid w:val="002575FA"/>
    <w:rsid w:val="00257EC6"/>
    <w:rsid w:val="002603D7"/>
    <w:rsid w:val="00260948"/>
    <w:rsid w:val="0026096A"/>
    <w:rsid w:val="00260C16"/>
    <w:rsid w:val="00260C30"/>
    <w:rsid w:val="00260C59"/>
    <w:rsid w:val="00260D63"/>
    <w:rsid w:val="00260F6E"/>
    <w:rsid w:val="0026124E"/>
    <w:rsid w:val="00261703"/>
    <w:rsid w:val="00262397"/>
    <w:rsid w:val="00262484"/>
    <w:rsid w:val="0026260C"/>
    <w:rsid w:val="002626E8"/>
    <w:rsid w:val="00263655"/>
    <w:rsid w:val="00263773"/>
    <w:rsid w:val="00263D75"/>
    <w:rsid w:val="002644E2"/>
    <w:rsid w:val="0026466B"/>
    <w:rsid w:val="002649C9"/>
    <w:rsid w:val="00264B4F"/>
    <w:rsid w:val="00265B2A"/>
    <w:rsid w:val="00265BAB"/>
    <w:rsid w:val="00265D77"/>
    <w:rsid w:val="00265EBD"/>
    <w:rsid w:val="00266692"/>
    <w:rsid w:val="00266715"/>
    <w:rsid w:val="00266C80"/>
    <w:rsid w:val="00266D22"/>
    <w:rsid w:val="00266DD9"/>
    <w:rsid w:val="00267561"/>
    <w:rsid w:val="002677F3"/>
    <w:rsid w:val="00267B91"/>
    <w:rsid w:val="00267CAE"/>
    <w:rsid w:val="00270409"/>
    <w:rsid w:val="00270543"/>
    <w:rsid w:val="002707C4"/>
    <w:rsid w:val="00270864"/>
    <w:rsid w:val="0027094A"/>
    <w:rsid w:val="00270B38"/>
    <w:rsid w:val="00270D38"/>
    <w:rsid w:val="00270DB4"/>
    <w:rsid w:val="00270F6E"/>
    <w:rsid w:val="002711A0"/>
    <w:rsid w:val="00271BE9"/>
    <w:rsid w:val="00272052"/>
    <w:rsid w:val="002721FE"/>
    <w:rsid w:val="00272391"/>
    <w:rsid w:val="002728C3"/>
    <w:rsid w:val="00272B43"/>
    <w:rsid w:val="00272FE8"/>
    <w:rsid w:val="0027300B"/>
    <w:rsid w:val="0027337E"/>
    <w:rsid w:val="0027364E"/>
    <w:rsid w:val="0027374B"/>
    <w:rsid w:val="00273CAC"/>
    <w:rsid w:val="00273EB5"/>
    <w:rsid w:val="00274230"/>
    <w:rsid w:val="00274401"/>
    <w:rsid w:val="0027479D"/>
    <w:rsid w:val="002747C9"/>
    <w:rsid w:val="0027483A"/>
    <w:rsid w:val="002748EC"/>
    <w:rsid w:val="00274DCE"/>
    <w:rsid w:val="0027526E"/>
    <w:rsid w:val="002752BA"/>
    <w:rsid w:val="002752DF"/>
    <w:rsid w:val="00275659"/>
    <w:rsid w:val="00275AB8"/>
    <w:rsid w:val="00275C11"/>
    <w:rsid w:val="00275ECA"/>
    <w:rsid w:val="00276553"/>
    <w:rsid w:val="002765A6"/>
    <w:rsid w:val="00276684"/>
    <w:rsid w:val="00276C69"/>
    <w:rsid w:val="00276EF2"/>
    <w:rsid w:val="002770EF"/>
    <w:rsid w:val="002773EF"/>
    <w:rsid w:val="0027757D"/>
    <w:rsid w:val="0027772D"/>
    <w:rsid w:val="002778AD"/>
    <w:rsid w:val="00277EF1"/>
    <w:rsid w:val="0028027A"/>
    <w:rsid w:val="002802AE"/>
    <w:rsid w:val="00280CFF"/>
    <w:rsid w:val="00280FD5"/>
    <w:rsid w:val="0028102C"/>
    <w:rsid w:val="0028107B"/>
    <w:rsid w:val="00281172"/>
    <w:rsid w:val="0028145B"/>
    <w:rsid w:val="002816EA"/>
    <w:rsid w:val="0028178A"/>
    <w:rsid w:val="002818D2"/>
    <w:rsid w:val="00281BBF"/>
    <w:rsid w:val="00282053"/>
    <w:rsid w:val="002821EE"/>
    <w:rsid w:val="002825B3"/>
    <w:rsid w:val="002825C9"/>
    <w:rsid w:val="00282F03"/>
    <w:rsid w:val="002837E0"/>
    <w:rsid w:val="00283959"/>
    <w:rsid w:val="0028485C"/>
    <w:rsid w:val="00285202"/>
    <w:rsid w:val="00285233"/>
    <w:rsid w:val="0028545A"/>
    <w:rsid w:val="002859E4"/>
    <w:rsid w:val="00286458"/>
    <w:rsid w:val="002865AD"/>
    <w:rsid w:val="0028671D"/>
    <w:rsid w:val="00286917"/>
    <w:rsid w:val="002869CC"/>
    <w:rsid w:val="00286A08"/>
    <w:rsid w:val="00286BB6"/>
    <w:rsid w:val="00286E89"/>
    <w:rsid w:val="0028726E"/>
    <w:rsid w:val="002872D5"/>
    <w:rsid w:val="00287445"/>
    <w:rsid w:val="00287B3A"/>
    <w:rsid w:val="00287D11"/>
    <w:rsid w:val="00287ED7"/>
    <w:rsid w:val="00287EDB"/>
    <w:rsid w:val="002900B5"/>
    <w:rsid w:val="0029037E"/>
    <w:rsid w:val="002905C8"/>
    <w:rsid w:val="002908EF"/>
    <w:rsid w:val="002909B5"/>
    <w:rsid w:val="00290AA9"/>
    <w:rsid w:val="00290B55"/>
    <w:rsid w:val="00291162"/>
    <w:rsid w:val="002912A5"/>
    <w:rsid w:val="00291458"/>
    <w:rsid w:val="0029162E"/>
    <w:rsid w:val="00291AFC"/>
    <w:rsid w:val="00291C53"/>
    <w:rsid w:val="00291DB5"/>
    <w:rsid w:val="002921FF"/>
    <w:rsid w:val="00292307"/>
    <w:rsid w:val="002925AD"/>
    <w:rsid w:val="002926E8"/>
    <w:rsid w:val="0029297C"/>
    <w:rsid w:val="00292D0D"/>
    <w:rsid w:val="00292F88"/>
    <w:rsid w:val="00293340"/>
    <w:rsid w:val="0029361D"/>
    <w:rsid w:val="00293B03"/>
    <w:rsid w:val="00294FFB"/>
    <w:rsid w:val="002950D8"/>
    <w:rsid w:val="002951C9"/>
    <w:rsid w:val="00295420"/>
    <w:rsid w:val="0029588C"/>
    <w:rsid w:val="00295F4A"/>
    <w:rsid w:val="002962D9"/>
    <w:rsid w:val="00296430"/>
    <w:rsid w:val="002965B9"/>
    <w:rsid w:val="00296642"/>
    <w:rsid w:val="002967FE"/>
    <w:rsid w:val="00296851"/>
    <w:rsid w:val="00296B32"/>
    <w:rsid w:val="00296D73"/>
    <w:rsid w:val="00296F01"/>
    <w:rsid w:val="0029711E"/>
    <w:rsid w:val="00297294"/>
    <w:rsid w:val="00297334"/>
    <w:rsid w:val="00297440"/>
    <w:rsid w:val="002974C3"/>
    <w:rsid w:val="0029755B"/>
    <w:rsid w:val="002976A2"/>
    <w:rsid w:val="00297F7C"/>
    <w:rsid w:val="002A0185"/>
    <w:rsid w:val="002A0449"/>
    <w:rsid w:val="002A0AB6"/>
    <w:rsid w:val="002A0AD2"/>
    <w:rsid w:val="002A0FEC"/>
    <w:rsid w:val="002A10B8"/>
    <w:rsid w:val="002A1112"/>
    <w:rsid w:val="002A14DE"/>
    <w:rsid w:val="002A1590"/>
    <w:rsid w:val="002A1660"/>
    <w:rsid w:val="002A16E3"/>
    <w:rsid w:val="002A19FE"/>
    <w:rsid w:val="002A1B27"/>
    <w:rsid w:val="002A1DF3"/>
    <w:rsid w:val="002A225F"/>
    <w:rsid w:val="002A23DF"/>
    <w:rsid w:val="002A2C3A"/>
    <w:rsid w:val="002A2F72"/>
    <w:rsid w:val="002A2F83"/>
    <w:rsid w:val="002A2F8A"/>
    <w:rsid w:val="002A30F6"/>
    <w:rsid w:val="002A33FF"/>
    <w:rsid w:val="002A3603"/>
    <w:rsid w:val="002A3667"/>
    <w:rsid w:val="002A3A2B"/>
    <w:rsid w:val="002A3B4E"/>
    <w:rsid w:val="002A3C33"/>
    <w:rsid w:val="002A3D84"/>
    <w:rsid w:val="002A3E70"/>
    <w:rsid w:val="002A41AB"/>
    <w:rsid w:val="002A437F"/>
    <w:rsid w:val="002A451B"/>
    <w:rsid w:val="002A4B82"/>
    <w:rsid w:val="002A4DAE"/>
    <w:rsid w:val="002A4F39"/>
    <w:rsid w:val="002A5007"/>
    <w:rsid w:val="002A50C6"/>
    <w:rsid w:val="002A556E"/>
    <w:rsid w:val="002A5702"/>
    <w:rsid w:val="002A570C"/>
    <w:rsid w:val="002A5863"/>
    <w:rsid w:val="002A5F50"/>
    <w:rsid w:val="002A5F98"/>
    <w:rsid w:val="002A619F"/>
    <w:rsid w:val="002A6C5D"/>
    <w:rsid w:val="002A6C7D"/>
    <w:rsid w:val="002A6E40"/>
    <w:rsid w:val="002A6F52"/>
    <w:rsid w:val="002A738E"/>
    <w:rsid w:val="002A76A2"/>
    <w:rsid w:val="002A78DC"/>
    <w:rsid w:val="002A7C57"/>
    <w:rsid w:val="002A7E08"/>
    <w:rsid w:val="002A7E6F"/>
    <w:rsid w:val="002B09B6"/>
    <w:rsid w:val="002B0C52"/>
    <w:rsid w:val="002B0CE9"/>
    <w:rsid w:val="002B0E2E"/>
    <w:rsid w:val="002B14C1"/>
    <w:rsid w:val="002B15B4"/>
    <w:rsid w:val="002B15EE"/>
    <w:rsid w:val="002B1FA8"/>
    <w:rsid w:val="002B23C2"/>
    <w:rsid w:val="002B26A2"/>
    <w:rsid w:val="002B27D7"/>
    <w:rsid w:val="002B2D9D"/>
    <w:rsid w:val="002B3BC6"/>
    <w:rsid w:val="002B438D"/>
    <w:rsid w:val="002B4AEB"/>
    <w:rsid w:val="002B5536"/>
    <w:rsid w:val="002B5754"/>
    <w:rsid w:val="002B5817"/>
    <w:rsid w:val="002B5DE0"/>
    <w:rsid w:val="002B5F99"/>
    <w:rsid w:val="002B65B5"/>
    <w:rsid w:val="002B672C"/>
    <w:rsid w:val="002B687C"/>
    <w:rsid w:val="002B693F"/>
    <w:rsid w:val="002B6AEF"/>
    <w:rsid w:val="002B6B39"/>
    <w:rsid w:val="002B6CA5"/>
    <w:rsid w:val="002B728F"/>
    <w:rsid w:val="002B7477"/>
    <w:rsid w:val="002B777C"/>
    <w:rsid w:val="002B793A"/>
    <w:rsid w:val="002B7CF4"/>
    <w:rsid w:val="002B7D2F"/>
    <w:rsid w:val="002B7DD3"/>
    <w:rsid w:val="002C0217"/>
    <w:rsid w:val="002C0407"/>
    <w:rsid w:val="002C0644"/>
    <w:rsid w:val="002C0829"/>
    <w:rsid w:val="002C12AD"/>
    <w:rsid w:val="002C1756"/>
    <w:rsid w:val="002C19C3"/>
    <w:rsid w:val="002C1FCC"/>
    <w:rsid w:val="002C2454"/>
    <w:rsid w:val="002C261A"/>
    <w:rsid w:val="002C2B64"/>
    <w:rsid w:val="002C3765"/>
    <w:rsid w:val="002C3BF1"/>
    <w:rsid w:val="002C3FFD"/>
    <w:rsid w:val="002C40BE"/>
    <w:rsid w:val="002C42F9"/>
    <w:rsid w:val="002C4446"/>
    <w:rsid w:val="002C45F3"/>
    <w:rsid w:val="002C4A07"/>
    <w:rsid w:val="002C55BB"/>
    <w:rsid w:val="002C589A"/>
    <w:rsid w:val="002C5B32"/>
    <w:rsid w:val="002C5B6F"/>
    <w:rsid w:val="002C6034"/>
    <w:rsid w:val="002C6A6A"/>
    <w:rsid w:val="002C6ABA"/>
    <w:rsid w:val="002C6B40"/>
    <w:rsid w:val="002C6F53"/>
    <w:rsid w:val="002C7202"/>
    <w:rsid w:val="002C72BC"/>
    <w:rsid w:val="002C7632"/>
    <w:rsid w:val="002C7926"/>
    <w:rsid w:val="002C7BB6"/>
    <w:rsid w:val="002C7C2A"/>
    <w:rsid w:val="002C7EFD"/>
    <w:rsid w:val="002D01C7"/>
    <w:rsid w:val="002D0332"/>
    <w:rsid w:val="002D03AA"/>
    <w:rsid w:val="002D04B1"/>
    <w:rsid w:val="002D09F4"/>
    <w:rsid w:val="002D1195"/>
    <w:rsid w:val="002D172E"/>
    <w:rsid w:val="002D1D23"/>
    <w:rsid w:val="002D21F4"/>
    <w:rsid w:val="002D2467"/>
    <w:rsid w:val="002D2792"/>
    <w:rsid w:val="002D27F1"/>
    <w:rsid w:val="002D28B0"/>
    <w:rsid w:val="002D2917"/>
    <w:rsid w:val="002D2B2E"/>
    <w:rsid w:val="002D306B"/>
    <w:rsid w:val="002D3104"/>
    <w:rsid w:val="002D3507"/>
    <w:rsid w:val="002D3740"/>
    <w:rsid w:val="002D3844"/>
    <w:rsid w:val="002D3E51"/>
    <w:rsid w:val="002D3F05"/>
    <w:rsid w:val="002D3FCA"/>
    <w:rsid w:val="002D4045"/>
    <w:rsid w:val="002D40EC"/>
    <w:rsid w:val="002D46D7"/>
    <w:rsid w:val="002D57AB"/>
    <w:rsid w:val="002D6253"/>
    <w:rsid w:val="002D635E"/>
    <w:rsid w:val="002D6540"/>
    <w:rsid w:val="002D68B2"/>
    <w:rsid w:val="002D6911"/>
    <w:rsid w:val="002D69A0"/>
    <w:rsid w:val="002D6AA9"/>
    <w:rsid w:val="002D7E4F"/>
    <w:rsid w:val="002D7F8A"/>
    <w:rsid w:val="002E01DD"/>
    <w:rsid w:val="002E0208"/>
    <w:rsid w:val="002E021B"/>
    <w:rsid w:val="002E0555"/>
    <w:rsid w:val="002E0732"/>
    <w:rsid w:val="002E09FC"/>
    <w:rsid w:val="002E0D73"/>
    <w:rsid w:val="002E0F59"/>
    <w:rsid w:val="002E0F84"/>
    <w:rsid w:val="002E1001"/>
    <w:rsid w:val="002E132B"/>
    <w:rsid w:val="002E168B"/>
    <w:rsid w:val="002E1815"/>
    <w:rsid w:val="002E1F44"/>
    <w:rsid w:val="002E2236"/>
    <w:rsid w:val="002E2AE4"/>
    <w:rsid w:val="002E3B2D"/>
    <w:rsid w:val="002E3E04"/>
    <w:rsid w:val="002E3E77"/>
    <w:rsid w:val="002E416C"/>
    <w:rsid w:val="002E423F"/>
    <w:rsid w:val="002E430E"/>
    <w:rsid w:val="002E4B3F"/>
    <w:rsid w:val="002E4EBF"/>
    <w:rsid w:val="002E4F32"/>
    <w:rsid w:val="002E54B1"/>
    <w:rsid w:val="002E5516"/>
    <w:rsid w:val="002E57B4"/>
    <w:rsid w:val="002E59B4"/>
    <w:rsid w:val="002E5FFD"/>
    <w:rsid w:val="002E624A"/>
    <w:rsid w:val="002E6E8F"/>
    <w:rsid w:val="002E71EA"/>
    <w:rsid w:val="002E7374"/>
    <w:rsid w:val="002E7586"/>
    <w:rsid w:val="002E767D"/>
    <w:rsid w:val="002E78C9"/>
    <w:rsid w:val="002E7BDB"/>
    <w:rsid w:val="002E7C2E"/>
    <w:rsid w:val="002E7E29"/>
    <w:rsid w:val="002E7F28"/>
    <w:rsid w:val="002E7F2D"/>
    <w:rsid w:val="002F01DD"/>
    <w:rsid w:val="002F02AF"/>
    <w:rsid w:val="002F0593"/>
    <w:rsid w:val="002F05D4"/>
    <w:rsid w:val="002F07DA"/>
    <w:rsid w:val="002F0D37"/>
    <w:rsid w:val="002F0D9B"/>
    <w:rsid w:val="002F0EC6"/>
    <w:rsid w:val="002F0ED8"/>
    <w:rsid w:val="002F1110"/>
    <w:rsid w:val="002F17EC"/>
    <w:rsid w:val="002F1B5E"/>
    <w:rsid w:val="002F1F11"/>
    <w:rsid w:val="002F20C3"/>
    <w:rsid w:val="002F21DA"/>
    <w:rsid w:val="002F2379"/>
    <w:rsid w:val="002F2A9C"/>
    <w:rsid w:val="002F2F71"/>
    <w:rsid w:val="002F3234"/>
    <w:rsid w:val="002F3995"/>
    <w:rsid w:val="002F3B61"/>
    <w:rsid w:val="002F3D96"/>
    <w:rsid w:val="002F4012"/>
    <w:rsid w:val="002F408D"/>
    <w:rsid w:val="002F42C6"/>
    <w:rsid w:val="002F4557"/>
    <w:rsid w:val="002F466C"/>
    <w:rsid w:val="002F4768"/>
    <w:rsid w:val="002F4A4C"/>
    <w:rsid w:val="002F4C80"/>
    <w:rsid w:val="002F4D99"/>
    <w:rsid w:val="002F4D9C"/>
    <w:rsid w:val="002F4F6F"/>
    <w:rsid w:val="002F51C9"/>
    <w:rsid w:val="002F5456"/>
    <w:rsid w:val="002F57AB"/>
    <w:rsid w:val="002F57F4"/>
    <w:rsid w:val="002F5825"/>
    <w:rsid w:val="002F6A15"/>
    <w:rsid w:val="002F6A91"/>
    <w:rsid w:val="002F6C2D"/>
    <w:rsid w:val="002F6E29"/>
    <w:rsid w:val="002F76FD"/>
    <w:rsid w:val="002F77D5"/>
    <w:rsid w:val="002F791F"/>
    <w:rsid w:val="002F7E36"/>
    <w:rsid w:val="002F7EB8"/>
    <w:rsid w:val="002F7FDB"/>
    <w:rsid w:val="00300875"/>
    <w:rsid w:val="00300CF4"/>
    <w:rsid w:val="00300D1D"/>
    <w:rsid w:val="00300DCD"/>
    <w:rsid w:val="003013F8"/>
    <w:rsid w:val="00301636"/>
    <w:rsid w:val="0030163F"/>
    <w:rsid w:val="00301776"/>
    <w:rsid w:val="00301D8D"/>
    <w:rsid w:val="003022CE"/>
    <w:rsid w:val="00302521"/>
    <w:rsid w:val="0030253E"/>
    <w:rsid w:val="00302D2E"/>
    <w:rsid w:val="00303030"/>
    <w:rsid w:val="0030356B"/>
    <w:rsid w:val="00303570"/>
    <w:rsid w:val="003036FD"/>
    <w:rsid w:val="00303875"/>
    <w:rsid w:val="003039BE"/>
    <w:rsid w:val="00303E06"/>
    <w:rsid w:val="00303EAF"/>
    <w:rsid w:val="00304154"/>
    <w:rsid w:val="003042F4"/>
    <w:rsid w:val="0030436A"/>
    <w:rsid w:val="00304559"/>
    <w:rsid w:val="003048A7"/>
    <w:rsid w:val="00304A4E"/>
    <w:rsid w:val="00304D0D"/>
    <w:rsid w:val="00304E07"/>
    <w:rsid w:val="00304E0F"/>
    <w:rsid w:val="00304FB0"/>
    <w:rsid w:val="0030534C"/>
    <w:rsid w:val="003055DA"/>
    <w:rsid w:val="003056EC"/>
    <w:rsid w:val="00305A68"/>
    <w:rsid w:val="00305E6E"/>
    <w:rsid w:val="003061AB"/>
    <w:rsid w:val="003068B1"/>
    <w:rsid w:val="00306A93"/>
    <w:rsid w:val="00306C11"/>
    <w:rsid w:val="00306FED"/>
    <w:rsid w:val="0030722C"/>
    <w:rsid w:val="003078E4"/>
    <w:rsid w:val="0030792A"/>
    <w:rsid w:val="00307949"/>
    <w:rsid w:val="00307BA2"/>
    <w:rsid w:val="00307E8E"/>
    <w:rsid w:val="00310254"/>
    <w:rsid w:val="003104B1"/>
    <w:rsid w:val="00310A6C"/>
    <w:rsid w:val="00311496"/>
    <w:rsid w:val="0031152E"/>
    <w:rsid w:val="00311AC9"/>
    <w:rsid w:val="00311C25"/>
    <w:rsid w:val="00311EC2"/>
    <w:rsid w:val="00312471"/>
    <w:rsid w:val="003128FB"/>
    <w:rsid w:val="00312CAC"/>
    <w:rsid w:val="003130B1"/>
    <w:rsid w:val="0031315F"/>
    <w:rsid w:val="003131CE"/>
    <w:rsid w:val="003132C7"/>
    <w:rsid w:val="00313346"/>
    <w:rsid w:val="00313A09"/>
    <w:rsid w:val="00313A15"/>
    <w:rsid w:val="00313C32"/>
    <w:rsid w:val="00313DB9"/>
    <w:rsid w:val="00313FBC"/>
    <w:rsid w:val="0031436D"/>
    <w:rsid w:val="00314451"/>
    <w:rsid w:val="003145F9"/>
    <w:rsid w:val="00314806"/>
    <w:rsid w:val="003149A1"/>
    <w:rsid w:val="00314A6B"/>
    <w:rsid w:val="00314C0C"/>
    <w:rsid w:val="00314F99"/>
    <w:rsid w:val="0031503F"/>
    <w:rsid w:val="00315259"/>
    <w:rsid w:val="003152C7"/>
    <w:rsid w:val="003154CB"/>
    <w:rsid w:val="0031580F"/>
    <w:rsid w:val="00315CD8"/>
    <w:rsid w:val="00315DBD"/>
    <w:rsid w:val="0031611F"/>
    <w:rsid w:val="0031635A"/>
    <w:rsid w:val="003165DA"/>
    <w:rsid w:val="00316BDE"/>
    <w:rsid w:val="00316C90"/>
    <w:rsid w:val="00316D3C"/>
    <w:rsid w:val="00317169"/>
    <w:rsid w:val="0031719A"/>
    <w:rsid w:val="003171DE"/>
    <w:rsid w:val="003175AC"/>
    <w:rsid w:val="0031783B"/>
    <w:rsid w:val="00317DB8"/>
    <w:rsid w:val="0032053F"/>
    <w:rsid w:val="00321704"/>
    <w:rsid w:val="00321B1F"/>
    <w:rsid w:val="00321C02"/>
    <w:rsid w:val="00321CA8"/>
    <w:rsid w:val="00322059"/>
    <w:rsid w:val="0032232B"/>
    <w:rsid w:val="003225DC"/>
    <w:rsid w:val="00322B9C"/>
    <w:rsid w:val="00322DF4"/>
    <w:rsid w:val="00323543"/>
    <w:rsid w:val="0032354F"/>
    <w:rsid w:val="00323B88"/>
    <w:rsid w:val="00323D67"/>
    <w:rsid w:val="00323FE1"/>
    <w:rsid w:val="00324647"/>
    <w:rsid w:val="00324773"/>
    <w:rsid w:val="00324A80"/>
    <w:rsid w:val="00324F18"/>
    <w:rsid w:val="003251BE"/>
    <w:rsid w:val="0032535F"/>
    <w:rsid w:val="00325459"/>
    <w:rsid w:val="003259F0"/>
    <w:rsid w:val="00325B29"/>
    <w:rsid w:val="00325D5C"/>
    <w:rsid w:val="0032602E"/>
    <w:rsid w:val="003261D4"/>
    <w:rsid w:val="0032702C"/>
    <w:rsid w:val="003273DC"/>
    <w:rsid w:val="003276FA"/>
    <w:rsid w:val="00327AA2"/>
    <w:rsid w:val="00327D87"/>
    <w:rsid w:val="00327DBD"/>
    <w:rsid w:val="00330046"/>
    <w:rsid w:val="00330065"/>
    <w:rsid w:val="003300CF"/>
    <w:rsid w:val="00330531"/>
    <w:rsid w:val="0033091C"/>
    <w:rsid w:val="003309E7"/>
    <w:rsid w:val="00330D1D"/>
    <w:rsid w:val="00330EC2"/>
    <w:rsid w:val="00331289"/>
    <w:rsid w:val="0033128B"/>
    <w:rsid w:val="003312BF"/>
    <w:rsid w:val="00331736"/>
    <w:rsid w:val="00331D7F"/>
    <w:rsid w:val="00331E25"/>
    <w:rsid w:val="00332512"/>
    <w:rsid w:val="00332874"/>
    <w:rsid w:val="00332A87"/>
    <w:rsid w:val="00332D73"/>
    <w:rsid w:val="00333207"/>
    <w:rsid w:val="0033339A"/>
    <w:rsid w:val="003336C8"/>
    <w:rsid w:val="003337F2"/>
    <w:rsid w:val="00333E69"/>
    <w:rsid w:val="003346EF"/>
    <w:rsid w:val="003353E0"/>
    <w:rsid w:val="003355AD"/>
    <w:rsid w:val="00336013"/>
    <w:rsid w:val="00336387"/>
    <w:rsid w:val="0033649E"/>
    <w:rsid w:val="003369A5"/>
    <w:rsid w:val="00336B87"/>
    <w:rsid w:val="00336F61"/>
    <w:rsid w:val="003374D0"/>
    <w:rsid w:val="00337752"/>
    <w:rsid w:val="0033787F"/>
    <w:rsid w:val="00337981"/>
    <w:rsid w:val="00337A1A"/>
    <w:rsid w:val="00337BB4"/>
    <w:rsid w:val="00337C91"/>
    <w:rsid w:val="003400E2"/>
    <w:rsid w:val="0034057B"/>
    <w:rsid w:val="003405A4"/>
    <w:rsid w:val="00340BFD"/>
    <w:rsid w:val="00340CD2"/>
    <w:rsid w:val="0034113A"/>
    <w:rsid w:val="00341265"/>
    <w:rsid w:val="003413F5"/>
    <w:rsid w:val="00341676"/>
    <w:rsid w:val="00341E39"/>
    <w:rsid w:val="00341E57"/>
    <w:rsid w:val="00341FE5"/>
    <w:rsid w:val="003420C2"/>
    <w:rsid w:val="00342143"/>
    <w:rsid w:val="0034219C"/>
    <w:rsid w:val="00342450"/>
    <w:rsid w:val="00342DBC"/>
    <w:rsid w:val="003430C5"/>
    <w:rsid w:val="0034328D"/>
    <w:rsid w:val="00343646"/>
    <w:rsid w:val="00343940"/>
    <w:rsid w:val="00343BDF"/>
    <w:rsid w:val="00344368"/>
    <w:rsid w:val="003444FA"/>
    <w:rsid w:val="00344524"/>
    <w:rsid w:val="0034486A"/>
    <w:rsid w:val="003449D1"/>
    <w:rsid w:val="00344A49"/>
    <w:rsid w:val="00344F37"/>
    <w:rsid w:val="00344F3E"/>
    <w:rsid w:val="00345174"/>
    <w:rsid w:val="0034535B"/>
    <w:rsid w:val="0034547F"/>
    <w:rsid w:val="00345663"/>
    <w:rsid w:val="0034575F"/>
    <w:rsid w:val="003457B4"/>
    <w:rsid w:val="003457F3"/>
    <w:rsid w:val="003459B4"/>
    <w:rsid w:val="00345A9D"/>
    <w:rsid w:val="00345DDA"/>
    <w:rsid w:val="00345E1D"/>
    <w:rsid w:val="003465AF"/>
    <w:rsid w:val="003466B3"/>
    <w:rsid w:val="00346918"/>
    <w:rsid w:val="00346A38"/>
    <w:rsid w:val="00346BF4"/>
    <w:rsid w:val="00346D33"/>
    <w:rsid w:val="00346E9F"/>
    <w:rsid w:val="00346F07"/>
    <w:rsid w:val="00347271"/>
    <w:rsid w:val="003472A7"/>
    <w:rsid w:val="0034731F"/>
    <w:rsid w:val="00347617"/>
    <w:rsid w:val="00347711"/>
    <w:rsid w:val="00347909"/>
    <w:rsid w:val="003479EE"/>
    <w:rsid w:val="00347A4D"/>
    <w:rsid w:val="00347AC2"/>
    <w:rsid w:val="00347FCA"/>
    <w:rsid w:val="0035018A"/>
    <w:rsid w:val="003504D8"/>
    <w:rsid w:val="00350622"/>
    <w:rsid w:val="00350968"/>
    <w:rsid w:val="00350B69"/>
    <w:rsid w:val="00351246"/>
    <w:rsid w:val="003513B7"/>
    <w:rsid w:val="00351553"/>
    <w:rsid w:val="0035155C"/>
    <w:rsid w:val="00351862"/>
    <w:rsid w:val="00352133"/>
    <w:rsid w:val="003523A5"/>
    <w:rsid w:val="00352730"/>
    <w:rsid w:val="003528A2"/>
    <w:rsid w:val="00352F57"/>
    <w:rsid w:val="00353389"/>
    <w:rsid w:val="00353951"/>
    <w:rsid w:val="00353A69"/>
    <w:rsid w:val="00353F6F"/>
    <w:rsid w:val="0035401C"/>
    <w:rsid w:val="00354239"/>
    <w:rsid w:val="0035436D"/>
    <w:rsid w:val="00354456"/>
    <w:rsid w:val="00354499"/>
    <w:rsid w:val="003546B3"/>
    <w:rsid w:val="003546BB"/>
    <w:rsid w:val="003546E9"/>
    <w:rsid w:val="0035493C"/>
    <w:rsid w:val="00354B2A"/>
    <w:rsid w:val="00354E77"/>
    <w:rsid w:val="00354FB3"/>
    <w:rsid w:val="00354FEB"/>
    <w:rsid w:val="0035513D"/>
    <w:rsid w:val="00355213"/>
    <w:rsid w:val="003553D9"/>
    <w:rsid w:val="0035542D"/>
    <w:rsid w:val="00355CBB"/>
    <w:rsid w:val="00355F39"/>
    <w:rsid w:val="00356141"/>
    <w:rsid w:val="00356483"/>
    <w:rsid w:val="0035653A"/>
    <w:rsid w:val="003565F7"/>
    <w:rsid w:val="00356CB4"/>
    <w:rsid w:val="00356E40"/>
    <w:rsid w:val="00356F52"/>
    <w:rsid w:val="00357271"/>
    <w:rsid w:val="0035744D"/>
    <w:rsid w:val="0035748C"/>
    <w:rsid w:val="003577D5"/>
    <w:rsid w:val="00357E38"/>
    <w:rsid w:val="003605BF"/>
    <w:rsid w:val="00360DC3"/>
    <w:rsid w:val="00360F6C"/>
    <w:rsid w:val="0036159C"/>
    <w:rsid w:val="00361D0E"/>
    <w:rsid w:val="00361F16"/>
    <w:rsid w:val="0036201E"/>
    <w:rsid w:val="003620E8"/>
    <w:rsid w:val="00362197"/>
    <w:rsid w:val="003624AD"/>
    <w:rsid w:val="00362B9E"/>
    <w:rsid w:val="00362C51"/>
    <w:rsid w:val="00362F28"/>
    <w:rsid w:val="003633BA"/>
    <w:rsid w:val="00363526"/>
    <w:rsid w:val="00363570"/>
    <w:rsid w:val="0036381D"/>
    <w:rsid w:val="00363D50"/>
    <w:rsid w:val="00364367"/>
    <w:rsid w:val="003649F6"/>
    <w:rsid w:val="00364C63"/>
    <w:rsid w:val="00364CA5"/>
    <w:rsid w:val="00364E63"/>
    <w:rsid w:val="00364ED0"/>
    <w:rsid w:val="00365009"/>
    <w:rsid w:val="003650D3"/>
    <w:rsid w:val="003652C1"/>
    <w:rsid w:val="0036540B"/>
    <w:rsid w:val="003654B2"/>
    <w:rsid w:val="003654D8"/>
    <w:rsid w:val="00365715"/>
    <w:rsid w:val="00365BE8"/>
    <w:rsid w:val="00365D9C"/>
    <w:rsid w:val="00367162"/>
    <w:rsid w:val="003676B8"/>
    <w:rsid w:val="00367BDD"/>
    <w:rsid w:val="00367F5C"/>
    <w:rsid w:val="00367FCD"/>
    <w:rsid w:val="00370312"/>
    <w:rsid w:val="0037042E"/>
    <w:rsid w:val="003707E4"/>
    <w:rsid w:val="00370967"/>
    <w:rsid w:val="00370ABF"/>
    <w:rsid w:val="003710FD"/>
    <w:rsid w:val="00371148"/>
    <w:rsid w:val="00371339"/>
    <w:rsid w:val="003713F2"/>
    <w:rsid w:val="00371560"/>
    <w:rsid w:val="003715BD"/>
    <w:rsid w:val="0037185D"/>
    <w:rsid w:val="00371C7A"/>
    <w:rsid w:val="00371F79"/>
    <w:rsid w:val="0037288C"/>
    <w:rsid w:val="0037294E"/>
    <w:rsid w:val="00372A40"/>
    <w:rsid w:val="00372AEC"/>
    <w:rsid w:val="003731ED"/>
    <w:rsid w:val="00373273"/>
    <w:rsid w:val="00373483"/>
    <w:rsid w:val="003734A4"/>
    <w:rsid w:val="003735FF"/>
    <w:rsid w:val="00373821"/>
    <w:rsid w:val="003738BF"/>
    <w:rsid w:val="00373A5A"/>
    <w:rsid w:val="00373ACA"/>
    <w:rsid w:val="00373C23"/>
    <w:rsid w:val="00373C4F"/>
    <w:rsid w:val="00373CA8"/>
    <w:rsid w:val="00373DDB"/>
    <w:rsid w:val="00373E84"/>
    <w:rsid w:val="003742D1"/>
    <w:rsid w:val="003743EF"/>
    <w:rsid w:val="00374AE9"/>
    <w:rsid w:val="003752C8"/>
    <w:rsid w:val="003753B4"/>
    <w:rsid w:val="003757A2"/>
    <w:rsid w:val="00375C04"/>
    <w:rsid w:val="00375F98"/>
    <w:rsid w:val="003763C0"/>
    <w:rsid w:val="00376459"/>
    <w:rsid w:val="003767B8"/>
    <w:rsid w:val="00376C1A"/>
    <w:rsid w:val="00376EB2"/>
    <w:rsid w:val="0037780A"/>
    <w:rsid w:val="00377969"/>
    <w:rsid w:val="00377AC9"/>
    <w:rsid w:val="00377E23"/>
    <w:rsid w:val="00377E73"/>
    <w:rsid w:val="0038004D"/>
    <w:rsid w:val="00380115"/>
    <w:rsid w:val="00380287"/>
    <w:rsid w:val="00380301"/>
    <w:rsid w:val="0038073D"/>
    <w:rsid w:val="00380957"/>
    <w:rsid w:val="00380A05"/>
    <w:rsid w:val="00380AB5"/>
    <w:rsid w:val="00380FC7"/>
    <w:rsid w:val="00381048"/>
    <w:rsid w:val="003810B1"/>
    <w:rsid w:val="003815DA"/>
    <w:rsid w:val="003819E5"/>
    <w:rsid w:val="00381C96"/>
    <w:rsid w:val="00382DE1"/>
    <w:rsid w:val="00383106"/>
    <w:rsid w:val="003837BC"/>
    <w:rsid w:val="003837E5"/>
    <w:rsid w:val="003839B4"/>
    <w:rsid w:val="00383C34"/>
    <w:rsid w:val="00383DA6"/>
    <w:rsid w:val="00383F60"/>
    <w:rsid w:val="003848BE"/>
    <w:rsid w:val="00384BA1"/>
    <w:rsid w:val="00384E1D"/>
    <w:rsid w:val="003851C6"/>
    <w:rsid w:val="003856A0"/>
    <w:rsid w:val="00385B76"/>
    <w:rsid w:val="00385F17"/>
    <w:rsid w:val="00385F2E"/>
    <w:rsid w:val="003860FA"/>
    <w:rsid w:val="00386322"/>
    <w:rsid w:val="00386CFA"/>
    <w:rsid w:val="00386D7F"/>
    <w:rsid w:val="00386EA0"/>
    <w:rsid w:val="003874FE"/>
    <w:rsid w:val="003876D2"/>
    <w:rsid w:val="00387CEB"/>
    <w:rsid w:val="003908AA"/>
    <w:rsid w:val="00390A5C"/>
    <w:rsid w:val="00390AC3"/>
    <w:rsid w:val="00390B5A"/>
    <w:rsid w:val="00390F4A"/>
    <w:rsid w:val="00390FCD"/>
    <w:rsid w:val="003913A4"/>
    <w:rsid w:val="0039174E"/>
    <w:rsid w:val="00391B3B"/>
    <w:rsid w:val="00391CD3"/>
    <w:rsid w:val="0039212C"/>
    <w:rsid w:val="00392397"/>
    <w:rsid w:val="003929A0"/>
    <w:rsid w:val="003930F4"/>
    <w:rsid w:val="003934EF"/>
    <w:rsid w:val="00393595"/>
    <w:rsid w:val="003935AA"/>
    <w:rsid w:val="00393A8B"/>
    <w:rsid w:val="00393B0C"/>
    <w:rsid w:val="00393B69"/>
    <w:rsid w:val="00393BDB"/>
    <w:rsid w:val="00393CEA"/>
    <w:rsid w:val="003941A4"/>
    <w:rsid w:val="003943EC"/>
    <w:rsid w:val="003945EF"/>
    <w:rsid w:val="00394660"/>
    <w:rsid w:val="003946F6"/>
    <w:rsid w:val="003947CF"/>
    <w:rsid w:val="0039498C"/>
    <w:rsid w:val="00394A3B"/>
    <w:rsid w:val="00394AE7"/>
    <w:rsid w:val="00394C3E"/>
    <w:rsid w:val="00394F75"/>
    <w:rsid w:val="00395921"/>
    <w:rsid w:val="00395B8B"/>
    <w:rsid w:val="00395CE7"/>
    <w:rsid w:val="00395F15"/>
    <w:rsid w:val="0039658B"/>
    <w:rsid w:val="003966BA"/>
    <w:rsid w:val="003967A4"/>
    <w:rsid w:val="0039741D"/>
    <w:rsid w:val="003A0619"/>
    <w:rsid w:val="003A0620"/>
    <w:rsid w:val="003A08B5"/>
    <w:rsid w:val="003A09A3"/>
    <w:rsid w:val="003A0B78"/>
    <w:rsid w:val="003A141E"/>
    <w:rsid w:val="003A14FA"/>
    <w:rsid w:val="003A1562"/>
    <w:rsid w:val="003A19F3"/>
    <w:rsid w:val="003A1D96"/>
    <w:rsid w:val="003A2516"/>
    <w:rsid w:val="003A266E"/>
    <w:rsid w:val="003A281B"/>
    <w:rsid w:val="003A2AA7"/>
    <w:rsid w:val="003A2DEC"/>
    <w:rsid w:val="003A2E1E"/>
    <w:rsid w:val="003A2FF3"/>
    <w:rsid w:val="003A347E"/>
    <w:rsid w:val="003A38AC"/>
    <w:rsid w:val="003A4658"/>
    <w:rsid w:val="003A4832"/>
    <w:rsid w:val="003A4BC4"/>
    <w:rsid w:val="003A500A"/>
    <w:rsid w:val="003A546C"/>
    <w:rsid w:val="003A5747"/>
    <w:rsid w:val="003A5931"/>
    <w:rsid w:val="003A599D"/>
    <w:rsid w:val="003A59AB"/>
    <w:rsid w:val="003A5B82"/>
    <w:rsid w:val="003A5C8A"/>
    <w:rsid w:val="003A5DBD"/>
    <w:rsid w:val="003A612B"/>
    <w:rsid w:val="003A6275"/>
    <w:rsid w:val="003A6493"/>
    <w:rsid w:val="003A6576"/>
    <w:rsid w:val="003A69AB"/>
    <w:rsid w:val="003A6B69"/>
    <w:rsid w:val="003A6FDA"/>
    <w:rsid w:val="003A7258"/>
    <w:rsid w:val="003A7777"/>
    <w:rsid w:val="003A7CC0"/>
    <w:rsid w:val="003A7E96"/>
    <w:rsid w:val="003B0024"/>
    <w:rsid w:val="003B0124"/>
    <w:rsid w:val="003B0157"/>
    <w:rsid w:val="003B029D"/>
    <w:rsid w:val="003B037D"/>
    <w:rsid w:val="003B0398"/>
    <w:rsid w:val="003B0683"/>
    <w:rsid w:val="003B0FF1"/>
    <w:rsid w:val="003B10BD"/>
    <w:rsid w:val="003B146B"/>
    <w:rsid w:val="003B1948"/>
    <w:rsid w:val="003B1B3B"/>
    <w:rsid w:val="003B1F60"/>
    <w:rsid w:val="003B1FD9"/>
    <w:rsid w:val="003B20C8"/>
    <w:rsid w:val="003B2219"/>
    <w:rsid w:val="003B27F2"/>
    <w:rsid w:val="003B2982"/>
    <w:rsid w:val="003B2DDA"/>
    <w:rsid w:val="003B2E40"/>
    <w:rsid w:val="003B2E53"/>
    <w:rsid w:val="003B30F8"/>
    <w:rsid w:val="003B33BB"/>
    <w:rsid w:val="003B389B"/>
    <w:rsid w:val="003B3934"/>
    <w:rsid w:val="003B421F"/>
    <w:rsid w:val="003B42B9"/>
    <w:rsid w:val="003B44C5"/>
    <w:rsid w:val="003B451F"/>
    <w:rsid w:val="003B4791"/>
    <w:rsid w:val="003B4F5C"/>
    <w:rsid w:val="003B50AC"/>
    <w:rsid w:val="003B5508"/>
    <w:rsid w:val="003B5AC8"/>
    <w:rsid w:val="003B5B06"/>
    <w:rsid w:val="003B602F"/>
    <w:rsid w:val="003B606F"/>
    <w:rsid w:val="003B60B9"/>
    <w:rsid w:val="003B6150"/>
    <w:rsid w:val="003B61DA"/>
    <w:rsid w:val="003B676F"/>
    <w:rsid w:val="003B6783"/>
    <w:rsid w:val="003B6E4C"/>
    <w:rsid w:val="003B6EDE"/>
    <w:rsid w:val="003B7203"/>
    <w:rsid w:val="003B74E2"/>
    <w:rsid w:val="003B76A1"/>
    <w:rsid w:val="003B79DF"/>
    <w:rsid w:val="003B7A34"/>
    <w:rsid w:val="003B7BEA"/>
    <w:rsid w:val="003B7DE0"/>
    <w:rsid w:val="003C0453"/>
    <w:rsid w:val="003C061A"/>
    <w:rsid w:val="003C0647"/>
    <w:rsid w:val="003C0B60"/>
    <w:rsid w:val="003C0CBF"/>
    <w:rsid w:val="003C0E0B"/>
    <w:rsid w:val="003C0EBC"/>
    <w:rsid w:val="003C1891"/>
    <w:rsid w:val="003C1AC2"/>
    <w:rsid w:val="003C1ADA"/>
    <w:rsid w:val="003C1E3E"/>
    <w:rsid w:val="003C2300"/>
    <w:rsid w:val="003C2365"/>
    <w:rsid w:val="003C2742"/>
    <w:rsid w:val="003C2810"/>
    <w:rsid w:val="003C2E41"/>
    <w:rsid w:val="003C2FFB"/>
    <w:rsid w:val="003C310D"/>
    <w:rsid w:val="003C321A"/>
    <w:rsid w:val="003C32CF"/>
    <w:rsid w:val="003C354E"/>
    <w:rsid w:val="003C38D7"/>
    <w:rsid w:val="003C3A23"/>
    <w:rsid w:val="003C3C0B"/>
    <w:rsid w:val="003C3FA4"/>
    <w:rsid w:val="003C3FEA"/>
    <w:rsid w:val="003C4497"/>
    <w:rsid w:val="003C4A75"/>
    <w:rsid w:val="003C4D18"/>
    <w:rsid w:val="003C4D64"/>
    <w:rsid w:val="003C4E44"/>
    <w:rsid w:val="003C4ED8"/>
    <w:rsid w:val="003C50BE"/>
    <w:rsid w:val="003C50CD"/>
    <w:rsid w:val="003C54F8"/>
    <w:rsid w:val="003C572C"/>
    <w:rsid w:val="003C5A43"/>
    <w:rsid w:val="003C6485"/>
    <w:rsid w:val="003C6622"/>
    <w:rsid w:val="003C6B84"/>
    <w:rsid w:val="003C717C"/>
    <w:rsid w:val="003C71C4"/>
    <w:rsid w:val="003C74BD"/>
    <w:rsid w:val="003C7961"/>
    <w:rsid w:val="003C7C83"/>
    <w:rsid w:val="003D01BA"/>
    <w:rsid w:val="003D0306"/>
    <w:rsid w:val="003D0614"/>
    <w:rsid w:val="003D130F"/>
    <w:rsid w:val="003D149D"/>
    <w:rsid w:val="003D14CD"/>
    <w:rsid w:val="003D1791"/>
    <w:rsid w:val="003D1B85"/>
    <w:rsid w:val="003D1D1A"/>
    <w:rsid w:val="003D1FF8"/>
    <w:rsid w:val="003D20FB"/>
    <w:rsid w:val="003D22A8"/>
    <w:rsid w:val="003D239A"/>
    <w:rsid w:val="003D25A0"/>
    <w:rsid w:val="003D2A73"/>
    <w:rsid w:val="003D2A83"/>
    <w:rsid w:val="003D2AEE"/>
    <w:rsid w:val="003D3457"/>
    <w:rsid w:val="003D350A"/>
    <w:rsid w:val="003D3564"/>
    <w:rsid w:val="003D37B2"/>
    <w:rsid w:val="003D39B0"/>
    <w:rsid w:val="003D3DBA"/>
    <w:rsid w:val="003D408D"/>
    <w:rsid w:val="003D4298"/>
    <w:rsid w:val="003D4495"/>
    <w:rsid w:val="003D4942"/>
    <w:rsid w:val="003D4BF7"/>
    <w:rsid w:val="003D4C18"/>
    <w:rsid w:val="003D4F26"/>
    <w:rsid w:val="003D4F5D"/>
    <w:rsid w:val="003D540F"/>
    <w:rsid w:val="003D54D6"/>
    <w:rsid w:val="003D5657"/>
    <w:rsid w:val="003D5771"/>
    <w:rsid w:val="003D5ABF"/>
    <w:rsid w:val="003D5AE1"/>
    <w:rsid w:val="003D5DE3"/>
    <w:rsid w:val="003D6081"/>
    <w:rsid w:val="003D6333"/>
    <w:rsid w:val="003D637E"/>
    <w:rsid w:val="003D63F9"/>
    <w:rsid w:val="003D6D61"/>
    <w:rsid w:val="003D717B"/>
    <w:rsid w:val="003D71B4"/>
    <w:rsid w:val="003D72A8"/>
    <w:rsid w:val="003D75C8"/>
    <w:rsid w:val="003D766F"/>
    <w:rsid w:val="003D77A6"/>
    <w:rsid w:val="003D77F6"/>
    <w:rsid w:val="003D7830"/>
    <w:rsid w:val="003D783B"/>
    <w:rsid w:val="003D7D8C"/>
    <w:rsid w:val="003D7E2F"/>
    <w:rsid w:val="003D7EC5"/>
    <w:rsid w:val="003D7FD7"/>
    <w:rsid w:val="003E02B3"/>
    <w:rsid w:val="003E0592"/>
    <w:rsid w:val="003E05D8"/>
    <w:rsid w:val="003E0678"/>
    <w:rsid w:val="003E06AF"/>
    <w:rsid w:val="003E0A07"/>
    <w:rsid w:val="003E0A2F"/>
    <w:rsid w:val="003E0EFC"/>
    <w:rsid w:val="003E1219"/>
    <w:rsid w:val="003E1270"/>
    <w:rsid w:val="003E147A"/>
    <w:rsid w:val="003E1836"/>
    <w:rsid w:val="003E1889"/>
    <w:rsid w:val="003E1A74"/>
    <w:rsid w:val="003E1D73"/>
    <w:rsid w:val="003E24D6"/>
    <w:rsid w:val="003E2890"/>
    <w:rsid w:val="003E28BF"/>
    <w:rsid w:val="003E2C61"/>
    <w:rsid w:val="003E2E1A"/>
    <w:rsid w:val="003E30DC"/>
    <w:rsid w:val="003E3401"/>
    <w:rsid w:val="003E353A"/>
    <w:rsid w:val="003E362C"/>
    <w:rsid w:val="003E3669"/>
    <w:rsid w:val="003E37BB"/>
    <w:rsid w:val="003E3977"/>
    <w:rsid w:val="003E39D3"/>
    <w:rsid w:val="003E3A75"/>
    <w:rsid w:val="003E3AD5"/>
    <w:rsid w:val="003E433F"/>
    <w:rsid w:val="003E4A9C"/>
    <w:rsid w:val="003E4D7C"/>
    <w:rsid w:val="003E4E64"/>
    <w:rsid w:val="003E4FF7"/>
    <w:rsid w:val="003E5174"/>
    <w:rsid w:val="003E524F"/>
    <w:rsid w:val="003E5A74"/>
    <w:rsid w:val="003E6022"/>
    <w:rsid w:val="003E620D"/>
    <w:rsid w:val="003E6859"/>
    <w:rsid w:val="003E6988"/>
    <w:rsid w:val="003E6A50"/>
    <w:rsid w:val="003E6BB0"/>
    <w:rsid w:val="003E6D6D"/>
    <w:rsid w:val="003E6DD5"/>
    <w:rsid w:val="003E6ED8"/>
    <w:rsid w:val="003E7248"/>
    <w:rsid w:val="003E728A"/>
    <w:rsid w:val="003E7D85"/>
    <w:rsid w:val="003F0E65"/>
    <w:rsid w:val="003F109D"/>
    <w:rsid w:val="003F122F"/>
    <w:rsid w:val="003F1312"/>
    <w:rsid w:val="003F1DFD"/>
    <w:rsid w:val="003F1E1A"/>
    <w:rsid w:val="003F1F7B"/>
    <w:rsid w:val="003F21B1"/>
    <w:rsid w:val="003F29B6"/>
    <w:rsid w:val="003F2A01"/>
    <w:rsid w:val="003F2B1F"/>
    <w:rsid w:val="003F2B54"/>
    <w:rsid w:val="003F2CE7"/>
    <w:rsid w:val="003F3017"/>
    <w:rsid w:val="003F3221"/>
    <w:rsid w:val="003F3641"/>
    <w:rsid w:val="003F377C"/>
    <w:rsid w:val="003F397D"/>
    <w:rsid w:val="003F3A2A"/>
    <w:rsid w:val="003F3B7D"/>
    <w:rsid w:val="003F3ED7"/>
    <w:rsid w:val="003F4078"/>
    <w:rsid w:val="003F46C8"/>
    <w:rsid w:val="003F4B70"/>
    <w:rsid w:val="003F4BA3"/>
    <w:rsid w:val="003F4C57"/>
    <w:rsid w:val="003F4F82"/>
    <w:rsid w:val="003F4F8B"/>
    <w:rsid w:val="003F54E3"/>
    <w:rsid w:val="003F585D"/>
    <w:rsid w:val="003F5904"/>
    <w:rsid w:val="003F5EF7"/>
    <w:rsid w:val="003F5FCA"/>
    <w:rsid w:val="003F6162"/>
    <w:rsid w:val="003F64CF"/>
    <w:rsid w:val="003F64FB"/>
    <w:rsid w:val="003F658A"/>
    <w:rsid w:val="003F6623"/>
    <w:rsid w:val="003F6934"/>
    <w:rsid w:val="003F6A37"/>
    <w:rsid w:val="003F6AB5"/>
    <w:rsid w:val="003F6B0A"/>
    <w:rsid w:val="003F6BF5"/>
    <w:rsid w:val="003F6D94"/>
    <w:rsid w:val="003F6FE7"/>
    <w:rsid w:val="003F7247"/>
    <w:rsid w:val="003F73B0"/>
    <w:rsid w:val="003F77B4"/>
    <w:rsid w:val="003F7DF3"/>
    <w:rsid w:val="003F7EE7"/>
    <w:rsid w:val="003F7F28"/>
    <w:rsid w:val="00400499"/>
    <w:rsid w:val="00400627"/>
    <w:rsid w:val="00400637"/>
    <w:rsid w:val="004006CA"/>
    <w:rsid w:val="00400D2E"/>
    <w:rsid w:val="00400E2F"/>
    <w:rsid w:val="0040103E"/>
    <w:rsid w:val="0040125E"/>
    <w:rsid w:val="004015D9"/>
    <w:rsid w:val="00401724"/>
    <w:rsid w:val="00401738"/>
    <w:rsid w:val="0040199C"/>
    <w:rsid w:val="00401B52"/>
    <w:rsid w:val="00402B0B"/>
    <w:rsid w:val="00402C26"/>
    <w:rsid w:val="00402E2D"/>
    <w:rsid w:val="00403149"/>
    <w:rsid w:val="00403417"/>
    <w:rsid w:val="00403861"/>
    <w:rsid w:val="00403EC8"/>
    <w:rsid w:val="00403EEE"/>
    <w:rsid w:val="00403F94"/>
    <w:rsid w:val="00403F98"/>
    <w:rsid w:val="00404148"/>
    <w:rsid w:val="0040424D"/>
    <w:rsid w:val="00404681"/>
    <w:rsid w:val="0040470C"/>
    <w:rsid w:val="00404B65"/>
    <w:rsid w:val="00404C16"/>
    <w:rsid w:val="00404F60"/>
    <w:rsid w:val="00404FA2"/>
    <w:rsid w:val="00405087"/>
    <w:rsid w:val="004053F1"/>
    <w:rsid w:val="00405452"/>
    <w:rsid w:val="0040585C"/>
    <w:rsid w:val="00405AD9"/>
    <w:rsid w:val="004069D7"/>
    <w:rsid w:val="00406B89"/>
    <w:rsid w:val="00406DD0"/>
    <w:rsid w:val="0040702A"/>
    <w:rsid w:val="00407D11"/>
    <w:rsid w:val="00410045"/>
    <w:rsid w:val="0041013F"/>
    <w:rsid w:val="00410380"/>
    <w:rsid w:val="00410A16"/>
    <w:rsid w:val="00410D4F"/>
    <w:rsid w:val="00411695"/>
    <w:rsid w:val="00411C2D"/>
    <w:rsid w:val="00411D87"/>
    <w:rsid w:val="00411E46"/>
    <w:rsid w:val="00411F1A"/>
    <w:rsid w:val="0041222C"/>
    <w:rsid w:val="0041236A"/>
    <w:rsid w:val="00412381"/>
    <w:rsid w:val="00412560"/>
    <w:rsid w:val="00412A4D"/>
    <w:rsid w:val="00412AB6"/>
    <w:rsid w:val="00412DE7"/>
    <w:rsid w:val="00413285"/>
    <w:rsid w:val="0041373B"/>
    <w:rsid w:val="00413863"/>
    <w:rsid w:val="00413A4A"/>
    <w:rsid w:val="00413D59"/>
    <w:rsid w:val="00414167"/>
    <w:rsid w:val="0041426D"/>
    <w:rsid w:val="00414CDB"/>
    <w:rsid w:val="00414F6A"/>
    <w:rsid w:val="00415031"/>
    <w:rsid w:val="004150F5"/>
    <w:rsid w:val="004152C0"/>
    <w:rsid w:val="004153A6"/>
    <w:rsid w:val="0041546E"/>
    <w:rsid w:val="0041581E"/>
    <w:rsid w:val="00415D00"/>
    <w:rsid w:val="00415F1D"/>
    <w:rsid w:val="004161EB"/>
    <w:rsid w:val="0041640A"/>
    <w:rsid w:val="004164A9"/>
    <w:rsid w:val="0041704B"/>
    <w:rsid w:val="004173FB"/>
    <w:rsid w:val="00417964"/>
    <w:rsid w:val="00417D89"/>
    <w:rsid w:val="00417E30"/>
    <w:rsid w:val="004201DD"/>
    <w:rsid w:val="0042025E"/>
    <w:rsid w:val="004206B4"/>
    <w:rsid w:val="00420759"/>
    <w:rsid w:val="00420B43"/>
    <w:rsid w:val="00420FFE"/>
    <w:rsid w:val="00421406"/>
    <w:rsid w:val="0042150B"/>
    <w:rsid w:val="00421802"/>
    <w:rsid w:val="00421C6E"/>
    <w:rsid w:val="0042207D"/>
    <w:rsid w:val="0042208B"/>
    <w:rsid w:val="00422446"/>
    <w:rsid w:val="004226C6"/>
    <w:rsid w:val="00422D0E"/>
    <w:rsid w:val="004232CF"/>
    <w:rsid w:val="0042353A"/>
    <w:rsid w:val="00424195"/>
    <w:rsid w:val="00424237"/>
    <w:rsid w:val="00424A9B"/>
    <w:rsid w:val="00424F23"/>
    <w:rsid w:val="00425735"/>
    <w:rsid w:val="004258C9"/>
    <w:rsid w:val="00425C42"/>
    <w:rsid w:val="00425D12"/>
    <w:rsid w:val="004262B0"/>
    <w:rsid w:val="004266FB"/>
    <w:rsid w:val="00427299"/>
    <w:rsid w:val="00427877"/>
    <w:rsid w:val="00427EEB"/>
    <w:rsid w:val="004300DB"/>
    <w:rsid w:val="00430266"/>
    <w:rsid w:val="00430381"/>
    <w:rsid w:val="004304C1"/>
    <w:rsid w:val="004305DC"/>
    <w:rsid w:val="0043075F"/>
    <w:rsid w:val="00430ABC"/>
    <w:rsid w:val="0043170B"/>
    <w:rsid w:val="00431CA1"/>
    <w:rsid w:val="00431FC3"/>
    <w:rsid w:val="00432231"/>
    <w:rsid w:val="004323D2"/>
    <w:rsid w:val="004327BF"/>
    <w:rsid w:val="004327C9"/>
    <w:rsid w:val="00432979"/>
    <w:rsid w:val="00432E4B"/>
    <w:rsid w:val="004330D6"/>
    <w:rsid w:val="004332E8"/>
    <w:rsid w:val="004339BE"/>
    <w:rsid w:val="004339F7"/>
    <w:rsid w:val="00433B19"/>
    <w:rsid w:val="00433CEF"/>
    <w:rsid w:val="00434249"/>
    <w:rsid w:val="004346A5"/>
    <w:rsid w:val="00435238"/>
    <w:rsid w:val="00435367"/>
    <w:rsid w:val="004358F6"/>
    <w:rsid w:val="00435937"/>
    <w:rsid w:val="00435A8F"/>
    <w:rsid w:val="00435BD8"/>
    <w:rsid w:val="00435C51"/>
    <w:rsid w:val="00435E89"/>
    <w:rsid w:val="0043615E"/>
    <w:rsid w:val="004365F2"/>
    <w:rsid w:val="0043674B"/>
    <w:rsid w:val="00436CE7"/>
    <w:rsid w:val="00436EF7"/>
    <w:rsid w:val="004370A1"/>
    <w:rsid w:val="00437743"/>
    <w:rsid w:val="00437ADB"/>
    <w:rsid w:val="00437BF3"/>
    <w:rsid w:val="00437EAA"/>
    <w:rsid w:val="00440AE2"/>
    <w:rsid w:val="00440B1C"/>
    <w:rsid w:val="00440F98"/>
    <w:rsid w:val="00441043"/>
    <w:rsid w:val="00441631"/>
    <w:rsid w:val="00441820"/>
    <w:rsid w:val="0044187B"/>
    <w:rsid w:val="004418C5"/>
    <w:rsid w:val="00442647"/>
    <w:rsid w:val="00442A32"/>
    <w:rsid w:val="00442AD8"/>
    <w:rsid w:val="00442B03"/>
    <w:rsid w:val="00442FCD"/>
    <w:rsid w:val="00443100"/>
    <w:rsid w:val="0044373F"/>
    <w:rsid w:val="00443855"/>
    <w:rsid w:val="00443AC9"/>
    <w:rsid w:val="00443D85"/>
    <w:rsid w:val="00443E28"/>
    <w:rsid w:val="0044417B"/>
    <w:rsid w:val="004443BC"/>
    <w:rsid w:val="00444927"/>
    <w:rsid w:val="00444D40"/>
    <w:rsid w:val="00444D54"/>
    <w:rsid w:val="00444E6E"/>
    <w:rsid w:val="00444EB3"/>
    <w:rsid w:val="004450AE"/>
    <w:rsid w:val="00445349"/>
    <w:rsid w:val="00445366"/>
    <w:rsid w:val="0044585F"/>
    <w:rsid w:val="00445E80"/>
    <w:rsid w:val="00445F2C"/>
    <w:rsid w:val="004460EB"/>
    <w:rsid w:val="00446419"/>
    <w:rsid w:val="00446595"/>
    <w:rsid w:val="00446ECB"/>
    <w:rsid w:val="004472BD"/>
    <w:rsid w:val="004476FC"/>
    <w:rsid w:val="004477E5"/>
    <w:rsid w:val="004479AE"/>
    <w:rsid w:val="004479DB"/>
    <w:rsid w:val="00447A66"/>
    <w:rsid w:val="00447B44"/>
    <w:rsid w:val="00447BE0"/>
    <w:rsid w:val="00447C98"/>
    <w:rsid w:val="00447CF4"/>
    <w:rsid w:val="00447FF5"/>
    <w:rsid w:val="0045000A"/>
    <w:rsid w:val="00450142"/>
    <w:rsid w:val="004509A6"/>
    <w:rsid w:val="00450A55"/>
    <w:rsid w:val="00450B40"/>
    <w:rsid w:val="0045116D"/>
    <w:rsid w:val="00451391"/>
    <w:rsid w:val="00451829"/>
    <w:rsid w:val="00451C8F"/>
    <w:rsid w:val="00451E6C"/>
    <w:rsid w:val="004523DC"/>
    <w:rsid w:val="00452454"/>
    <w:rsid w:val="00452ACE"/>
    <w:rsid w:val="00452B31"/>
    <w:rsid w:val="00452B67"/>
    <w:rsid w:val="00452B73"/>
    <w:rsid w:val="00452E56"/>
    <w:rsid w:val="004533DB"/>
    <w:rsid w:val="00453744"/>
    <w:rsid w:val="0045397B"/>
    <w:rsid w:val="0045413C"/>
    <w:rsid w:val="0045448F"/>
    <w:rsid w:val="004544B0"/>
    <w:rsid w:val="004545F1"/>
    <w:rsid w:val="00454851"/>
    <w:rsid w:val="00454966"/>
    <w:rsid w:val="004549E5"/>
    <w:rsid w:val="00454D6D"/>
    <w:rsid w:val="00454DE4"/>
    <w:rsid w:val="00455269"/>
    <w:rsid w:val="00455486"/>
    <w:rsid w:val="0045549B"/>
    <w:rsid w:val="0045550E"/>
    <w:rsid w:val="004557B1"/>
    <w:rsid w:val="00455843"/>
    <w:rsid w:val="0045592C"/>
    <w:rsid w:val="0045642A"/>
    <w:rsid w:val="004564B6"/>
    <w:rsid w:val="004566FB"/>
    <w:rsid w:val="00456CAF"/>
    <w:rsid w:val="00457077"/>
    <w:rsid w:val="0045709B"/>
    <w:rsid w:val="004570B3"/>
    <w:rsid w:val="004576A7"/>
    <w:rsid w:val="00457877"/>
    <w:rsid w:val="0045795E"/>
    <w:rsid w:val="00457A0E"/>
    <w:rsid w:val="00457A4E"/>
    <w:rsid w:val="00457BF2"/>
    <w:rsid w:val="00460292"/>
    <w:rsid w:val="00460ADA"/>
    <w:rsid w:val="00460B5D"/>
    <w:rsid w:val="00460DF5"/>
    <w:rsid w:val="00460E22"/>
    <w:rsid w:val="0046110E"/>
    <w:rsid w:val="0046156F"/>
    <w:rsid w:val="004615F9"/>
    <w:rsid w:val="00461C9C"/>
    <w:rsid w:val="00461ED5"/>
    <w:rsid w:val="00461F5B"/>
    <w:rsid w:val="0046243B"/>
    <w:rsid w:val="00462773"/>
    <w:rsid w:val="0046280D"/>
    <w:rsid w:val="00462ABB"/>
    <w:rsid w:val="00462B53"/>
    <w:rsid w:val="00462DC0"/>
    <w:rsid w:val="0046328B"/>
    <w:rsid w:val="00463653"/>
    <w:rsid w:val="00463869"/>
    <w:rsid w:val="00463A49"/>
    <w:rsid w:val="00463CF2"/>
    <w:rsid w:val="00463D3E"/>
    <w:rsid w:val="00464004"/>
    <w:rsid w:val="00464612"/>
    <w:rsid w:val="004647DB"/>
    <w:rsid w:val="004648F2"/>
    <w:rsid w:val="00464A0A"/>
    <w:rsid w:val="00464A51"/>
    <w:rsid w:val="004652C9"/>
    <w:rsid w:val="00465B11"/>
    <w:rsid w:val="00465BDA"/>
    <w:rsid w:val="00465F36"/>
    <w:rsid w:val="00466202"/>
    <w:rsid w:val="00466647"/>
    <w:rsid w:val="00466A23"/>
    <w:rsid w:val="00466A32"/>
    <w:rsid w:val="00466B75"/>
    <w:rsid w:val="00466DC1"/>
    <w:rsid w:val="004671D9"/>
    <w:rsid w:val="00467268"/>
    <w:rsid w:val="004679BB"/>
    <w:rsid w:val="00467A16"/>
    <w:rsid w:val="00467ACB"/>
    <w:rsid w:val="00470002"/>
    <w:rsid w:val="00470687"/>
    <w:rsid w:val="004708EE"/>
    <w:rsid w:val="00471491"/>
    <w:rsid w:val="004718CD"/>
    <w:rsid w:val="0047196B"/>
    <w:rsid w:val="00471E50"/>
    <w:rsid w:val="0047209A"/>
    <w:rsid w:val="00472442"/>
    <w:rsid w:val="004729C5"/>
    <w:rsid w:val="00472B65"/>
    <w:rsid w:val="0047302E"/>
    <w:rsid w:val="004730EC"/>
    <w:rsid w:val="00473399"/>
    <w:rsid w:val="004735C7"/>
    <w:rsid w:val="004735F0"/>
    <w:rsid w:val="00473711"/>
    <w:rsid w:val="0047373C"/>
    <w:rsid w:val="0047391F"/>
    <w:rsid w:val="00473A52"/>
    <w:rsid w:val="00473FB0"/>
    <w:rsid w:val="0047409D"/>
    <w:rsid w:val="00474B1C"/>
    <w:rsid w:val="00475394"/>
    <w:rsid w:val="00475684"/>
    <w:rsid w:val="004756EA"/>
    <w:rsid w:val="00475C42"/>
    <w:rsid w:val="00476660"/>
    <w:rsid w:val="00476778"/>
    <w:rsid w:val="00476AF0"/>
    <w:rsid w:val="00476BDC"/>
    <w:rsid w:val="00476C77"/>
    <w:rsid w:val="00476F82"/>
    <w:rsid w:val="004771A4"/>
    <w:rsid w:val="00477659"/>
    <w:rsid w:val="00477678"/>
    <w:rsid w:val="00477A3B"/>
    <w:rsid w:val="00480E6B"/>
    <w:rsid w:val="004814E5"/>
    <w:rsid w:val="0048160E"/>
    <w:rsid w:val="004818C0"/>
    <w:rsid w:val="00481AA5"/>
    <w:rsid w:val="00481C43"/>
    <w:rsid w:val="00481C71"/>
    <w:rsid w:val="00481EF2"/>
    <w:rsid w:val="0048204C"/>
    <w:rsid w:val="004822A4"/>
    <w:rsid w:val="0048276B"/>
    <w:rsid w:val="00482F12"/>
    <w:rsid w:val="004839DD"/>
    <w:rsid w:val="00483AF8"/>
    <w:rsid w:val="00483CA4"/>
    <w:rsid w:val="00483CBE"/>
    <w:rsid w:val="00483E44"/>
    <w:rsid w:val="00483EAF"/>
    <w:rsid w:val="004842C5"/>
    <w:rsid w:val="0048432C"/>
    <w:rsid w:val="00484582"/>
    <w:rsid w:val="00484AF3"/>
    <w:rsid w:val="00484B1B"/>
    <w:rsid w:val="00484FB6"/>
    <w:rsid w:val="00484FE8"/>
    <w:rsid w:val="004853A6"/>
    <w:rsid w:val="00485477"/>
    <w:rsid w:val="004856EE"/>
    <w:rsid w:val="004857E9"/>
    <w:rsid w:val="004858E9"/>
    <w:rsid w:val="00485F03"/>
    <w:rsid w:val="00485F8B"/>
    <w:rsid w:val="00486183"/>
    <w:rsid w:val="00486631"/>
    <w:rsid w:val="00486699"/>
    <w:rsid w:val="00486802"/>
    <w:rsid w:val="0048706F"/>
    <w:rsid w:val="00487199"/>
    <w:rsid w:val="0048726D"/>
    <w:rsid w:val="004874A5"/>
    <w:rsid w:val="00487D84"/>
    <w:rsid w:val="00487DD3"/>
    <w:rsid w:val="004904D7"/>
    <w:rsid w:val="004906F3"/>
    <w:rsid w:val="004911F4"/>
    <w:rsid w:val="0049140B"/>
    <w:rsid w:val="00491505"/>
    <w:rsid w:val="0049153B"/>
    <w:rsid w:val="0049188C"/>
    <w:rsid w:val="004918F9"/>
    <w:rsid w:val="00491D73"/>
    <w:rsid w:val="0049215B"/>
    <w:rsid w:val="004922FF"/>
    <w:rsid w:val="004925FC"/>
    <w:rsid w:val="0049282F"/>
    <w:rsid w:val="00492851"/>
    <w:rsid w:val="00492C4C"/>
    <w:rsid w:val="0049329D"/>
    <w:rsid w:val="004933A2"/>
    <w:rsid w:val="00493A79"/>
    <w:rsid w:val="00493BD0"/>
    <w:rsid w:val="00493C66"/>
    <w:rsid w:val="0049407D"/>
    <w:rsid w:val="00494636"/>
    <w:rsid w:val="00494677"/>
    <w:rsid w:val="00494AD3"/>
    <w:rsid w:val="00494FAD"/>
    <w:rsid w:val="004951BC"/>
    <w:rsid w:val="00495225"/>
    <w:rsid w:val="00495321"/>
    <w:rsid w:val="00495560"/>
    <w:rsid w:val="004957EB"/>
    <w:rsid w:val="0049588F"/>
    <w:rsid w:val="004958AA"/>
    <w:rsid w:val="00495960"/>
    <w:rsid w:val="00495B20"/>
    <w:rsid w:val="00495C34"/>
    <w:rsid w:val="00495E49"/>
    <w:rsid w:val="0049613D"/>
    <w:rsid w:val="004962EE"/>
    <w:rsid w:val="00496752"/>
    <w:rsid w:val="00496A1D"/>
    <w:rsid w:val="00496B61"/>
    <w:rsid w:val="00496E93"/>
    <w:rsid w:val="00496ECD"/>
    <w:rsid w:val="00497790"/>
    <w:rsid w:val="00497A46"/>
    <w:rsid w:val="00497AA7"/>
    <w:rsid w:val="00497CD9"/>
    <w:rsid w:val="00497FB9"/>
    <w:rsid w:val="00497FC9"/>
    <w:rsid w:val="004A00D7"/>
    <w:rsid w:val="004A0514"/>
    <w:rsid w:val="004A05BB"/>
    <w:rsid w:val="004A0633"/>
    <w:rsid w:val="004A066A"/>
    <w:rsid w:val="004A07BF"/>
    <w:rsid w:val="004A0860"/>
    <w:rsid w:val="004A0A60"/>
    <w:rsid w:val="004A1268"/>
    <w:rsid w:val="004A1AF3"/>
    <w:rsid w:val="004A1B7A"/>
    <w:rsid w:val="004A1E42"/>
    <w:rsid w:val="004A2469"/>
    <w:rsid w:val="004A3046"/>
    <w:rsid w:val="004A31A7"/>
    <w:rsid w:val="004A3311"/>
    <w:rsid w:val="004A37DF"/>
    <w:rsid w:val="004A38F8"/>
    <w:rsid w:val="004A39C9"/>
    <w:rsid w:val="004A3B4B"/>
    <w:rsid w:val="004A3FD4"/>
    <w:rsid w:val="004A3FF8"/>
    <w:rsid w:val="004A44FF"/>
    <w:rsid w:val="004A4E0F"/>
    <w:rsid w:val="004A4EB9"/>
    <w:rsid w:val="004A5023"/>
    <w:rsid w:val="004A52B4"/>
    <w:rsid w:val="004A54D8"/>
    <w:rsid w:val="004A55D7"/>
    <w:rsid w:val="004A5836"/>
    <w:rsid w:val="004A5C21"/>
    <w:rsid w:val="004A5C4E"/>
    <w:rsid w:val="004A6052"/>
    <w:rsid w:val="004A6218"/>
    <w:rsid w:val="004A65EB"/>
    <w:rsid w:val="004A66DE"/>
    <w:rsid w:val="004A6955"/>
    <w:rsid w:val="004A6DC4"/>
    <w:rsid w:val="004A709A"/>
    <w:rsid w:val="004A7138"/>
    <w:rsid w:val="004A7240"/>
    <w:rsid w:val="004A7246"/>
    <w:rsid w:val="004A76DA"/>
    <w:rsid w:val="004A7A2B"/>
    <w:rsid w:val="004B0395"/>
    <w:rsid w:val="004B04EC"/>
    <w:rsid w:val="004B07F7"/>
    <w:rsid w:val="004B0817"/>
    <w:rsid w:val="004B0A1D"/>
    <w:rsid w:val="004B0EAB"/>
    <w:rsid w:val="004B1216"/>
    <w:rsid w:val="004B1882"/>
    <w:rsid w:val="004B1BDD"/>
    <w:rsid w:val="004B1D29"/>
    <w:rsid w:val="004B1D93"/>
    <w:rsid w:val="004B1ECD"/>
    <w:rsid w:val="004B2313"/>
    <w:rsid w:val="004B2439"/>
    <w:rsid w:val="004B2843"/>
    <w:rsid w:val="004B287A"/>
    <w:rsid w:val="004B2DBC"/>
    <w:rsid w:val="004B31A6"/>
    <w:rsid w:val="004B3A06"/>
    <w:rsid w:val="004B3F8E"/>
    <w:rsid w:val="004B3FE8"/>
    <w:rsid w:val="004B3FF4"/>
    <w:rsid w:val="004B4C90"/>
    <w:rsid w:val="004B4CA5"/>
    <w:rsid w:val="004B4D51"/>
    <w:rsid w:val="004B53CA"/>
    <w:rsid w:val="004B53D6"/>
    <w:rsid w:val="004B5680"/>
    <w:rsid w:val="004B5682"/>
    <w:rsid w:val="004B5A68"/>
    <w:rsid w:val="004B5A99"/>
    <w:rsid w:val="004B5BCB"/>
    <w:rsid w:val="004B6299"/>
    <w:rsid w:val="004B6361"/>
    <w:rsid w:val="004B675C"/>
    <w:rsid w:val="004B676E"/>
    <w:rsid w:val="004B6876"/>
    <w:rsid w:val="004B6D42"/>
    <w:rsid w:val="004B6DD7"/>
    <w:rsid w:val="004B7255"/>
    <w:rsid w:val="004B7500"/>
    <w:rsid w:val="004B7683"/>
    <w:rsid w:val="004B7737"/>
    <w:rsid w:val="004B7A97"/>
    <w:rsid w:val="004B7B5C"/>
    <w:rsid w:val="004C05AC"/>
    <w:rsid w:val="004C0A76"/>
    <w:rsid w:val="004C0B2D"/>
    <w:rsid w:val="004C0B5C"/>
    <w:rsid w:val="004C0CF6"/>
    <w:rsid w:val="004C0DE6"/>
    <w:rsid w:val="004C0E47"/>
    <w:rsid w:val="004C1050"/>
    <w:rsid w:val="004C1274"/>
    <w:rsid w:val="004C149A"/>
    <w:rsid w:val="004C181C"/>
    <w:rsid w:val="004C19D7"/>
    <w:rsid w:val="004C19FE"/>
    <w:rsid w:val="004C1A42"/>
    <w:rsid w:val="004C1ADA"/>
    <w:rsid w:val="004C1E3E"/>
    <w:rsid w:val="004C1E9F"/>
    <w:rsid w:val="004C1ED8"/>
    <w:rsid w:val="004C2087"/>
    <w:rsid w:val="004C20BF"/>
    <w:rsid w:val="004C20CB"/>
    <w:rsid w:val="004C2957"/>
    <w:rsid w:val="004C2F8A"/>
    <w:rsid w:val="004C3004"/>
    <w:rsid w:val="004C31CD"/>
    <w:rsid w:val="004C359E"/>
    <w:rsid w:val="004C3C39"/>
    <w:rsid w:val="004C3C95"/>
    <w:rsid w:val="004C43BF"/>
    <w:rsid w:val="004C44FB"/>
    <w:rsid w:val="004C4AD1"/>
    <w:rsid w:val="004C4AF9"/>
    <w:rsid w:val="004C51C9"/>
    <w:rsid w:val="004C548D"/>
    <w:rsid w:val="004C54A6"/>
    <w:rsid w:val="004C54FA"/>
    <w:rsid w:val="004C575C"/>
    <w:rsid w:val="004C5E4C"/>
    <w:rsid w:val="004C603F"/>
    <w:rsid w:val="004C6091"/>
    <w:rsid w:val="004C61CA"/>
    <w:rsid w:val="004C68C3"/>
    <w:rsid w:val="004C6A6B"/>
    <w:rsid w:val="004C6E98"/>
    <w:rsid w:val="004C6F3D"/>
    <w:rsid w:val="004C7291"/>
    <w:rsid w:val="004C73EC"/>
    <w:rsid w:val="004C7411"/>
    <w:rsid w:val="004C782F"/>
    <w:rsid w:val="004C7B22"/>
    <w:rsid w:val="004D00D4"/>
    <w:rsid w:val="004D08E0"/>
    <w:rsid w:val="004D0AA5"/>
    <w:rsid w:val="004D0EC1"/>
    <w:rsid w:val="004D12C3"/>
    <w:rsid w:val="004D139F"/>
    <w:rsid w:val="004D18E8"/>
    <w:rsid w:val="004D192C"/>
    <w:rsid w:val="004D1B60"/>
    <w:rsid w:val="004D1B95"/>
    <w:rsid w:val="004D1D3B"/>
    <w:rsid w:val="004D1DB3"/>
    <w:rsid w:val="004D1EFC"/>
    <w:rsid w:val="004D2023"/>
    <w:rsid w:val="004D22DC"/>
    <w:rsid w:val="004D238F"/>
    <w:rsid w:val="004D254F"/>
    <w:rsid w:val="004D2697"/>
    <w:rsid w:val="004D26BF"/>
    <w:rsid w:val="004D283D"/>
    <w:rsid w:val="004D3467"/>
    <w:rsid w:val="004D3553"/>
    <w:rsid w:val="004D3627"/>
    <w:rsid w:val="004D3659"/>
    <w:rsid w:val="004D393E"/>
    <w:rsid w:val="004D39BF"/>
    <w:rsid w:val="004D3BEE"/>
    <w:rsid w:val="004D3C49"/>
    <w:rsid w:val="004D3D79"/>
    <w:rsid w:val="004D3E86"/>
    <w:rsid w:val="004D3FC0"/>
    <w:rsid w:val="004D444A"/>
    <w:rsid w:val="004D47AB"/>
    <w:rsid w:val="004D4849"/>
    <w:rsid w:val="004D4954"/>
    <w:rsid w:val="004D4DAE"/>
    <w:rsid w:val="004D526B"/>
    <w:rsid w:val="004D5708"/>
    <w:rsid w:val="004D5A48"/>
    <w:rsid w:val="004D5BA8"/>
    <w:rsid w:val="004D5CBD"/>
    <w:rsid w:val="004D5D3E"/>
    <w:rsid w:val="004D63F2"/>
    <w:rsid w:val="004D6856"/>
    <w:rsid w:val="004D6B74"/>
    <w:rsid w:val="004D703B"/>
    <w:rsid w:val="004D739F"/>
    <w:rsid w:val="004D76F1"/>
    <w:rsid w:val="004D7737"/>
    <w:rsid w:val="004D793A"/>
    <w:rsid w:val="004D7AC0"/>
    <w:rsid w:val="004D7C8B"/>
    <w:rsid w:val="004D7D8C"/>
    <w:rsid w:val="004D7E00"/>
    <w:rsid w:val="004E0063"/>
    <w:rsid w:val="004E00B0"/>
    <w:rsid w:val="004E0122"/>
    <w:rsid w:val="004E048E"/>
    <w:rsid w:val="004E04EC"/>
    <w:rsid w:val="004E065F"/>
    <w:rsid w:val="004E0D00"/>
    <w:rsid w:val="004E1270"/>
    <w:rsid w:val="004E1465"/>
    <w:rsid w:val="004E15DB"/>
    <w:rsid w:val="004E15EC"/>
    <w:rsid w:val="004E1EE8"/>
    <w:rsid w:val="004E20AD"/>
    <w:rsid w:val="004E22D3"/>
    <w:rsid w:val="004E2348"/>
    <w:rsid w:val="004E2975"/>
    <w:rsid w:val="004E2B55"/>
    <w:rsid w:val="004E2C26"/>
    <w:rsid w:val="004E2CC6"/>
    <w:rsid w:val="004E2DC3"/>
    <w:rsid w:val="004E2EF9"/>
    <w:rsid w:val="004E2F80"/>
    <w:rsid w:val="004E30FF"/>
    <w:rsid w:val="004E3239"/>
    <w:rsid w:val="004E3540"/>
    <w:rsid w:val="004E37BC"/>
    <w:rsid w:val="004E3DF7"/>
    <w:rsid w:val="004E3FD3"/>
    <w:rsid w:val="004E40FE"/>
    <w:rsid w:val="004E415D"/>
    <w:rsid w:val="004E459C"/>
    <w:rsid w:val="004E45AA"/>
    <w:rsid w:val="004E4A27"/>
    <w:rsid w:val="004E4CD3"/>
    <w:rsid w:val="004E4CF9"/>
    <w:rsid w:val="004E4D6A"/>
    <w:rsid w:val="004E4E42"/>
    <w:rsid w:val="004E4EE5"/>
    <w:rsid w:val="004E5776"/>
    <w:rsid w:val="004E5ED5"/>
    <w:rsid w:val="004E6375"/>
    <w:rsid w:val="004E6493"/>
    <w:rsid w:val="004E6505"/>
    <w:rsid w:val="004E6800"/>
    <w:rsid w:val="004E6BD5"/>
    <w:rsid w:val="004E6C5A"/>
    <w:rsid w:val="004E6E07"/>
    <w:rsid w:val="004E76D7"/>
    <w:rsid w:val="004E7A92"/>
    <w:rsid w:val="004E7AEF"/>
    <w:rsid w:val="004E7DA6"/>
    <w:rsid w:val="004E7EDE"/>
    <w:rsid w:val="004F00BA"/>
    <w:rsid w:val="004F02BE"/>
    <w:rsid w:val="004F043C"/>
    <w:rsid w:val="004F060F"/>
    <w:rsid w:val="004F06C0"/>
    <w:rsid w:val="004F089E"/>
    <w:rsid w:val="004F08D4"/>
    <w:rsid w:val="004F1231"/>
    <w:rsid w:val="004F14EE"/>
    <w:rsid w:val="004F15D7"/>
    <w:rsid w:val="004F163B"/>
    <w:rsid w:val="004F184A"/>
    <w:rsid w:val="004F1B4A"/>
    <w:rsid w:val="004F1EC6"/>
    <w:rsid w:val="004F1F09"/>
    <w:rsid w:val="004F22D6"/>
    <w:rsid w:val="004F28DE"/>
    <w:rsid w:val="004F2A39"/>
    <w:rsid w:val="004F2BB1"/>
    <w:rsid w:val="004F2C4B"/>
    <w:rsid w:val="004F2F71"/>
    <w:rsid w:val="004F3691"/>
    <w:rsid w:val="004F38F8"/>
    <w:rsid w:val="004F3942"/>
    <w:rsid w:val="004F3B2D"/>
    <w:rsid w:val="004F3C5E"/>
    <w:rsid w:val="004F3F64"/>
    <w:rsid w:val="004F4396"/>
    <w:rsid w:val="004F44BF"/>
    <w:rsid w:val="004F459C"/>
    <w:rsid w:val="004F4DA9"/>
    <w:rsid w:val="004F4FAE"/>
    <w:rsid w:val="004F5238"/>
    <w:rsid w:val="004F52D2"/>
    <w:rsid w:val="004F5379"/>
    <w:rsid w:val="004F53F8"/>
    <w:rsid w:val="004F5B6B"/>
    <w:rsid w:val="004F6164"/>
    <w:rsid w:val="004F645D"/>
    <w:rsid w:val="004F65F1"/>
    <w:rsid w:val="004F67A7"/>
    <w:rsid w:val="004F7571"/>
    <w:rsid w:val="004F7CBB"/>
    <w:rsid w:val="004F7E8F"/>
    <w:rsid w:val="005000A6"/>
    <w:rsid w:val="005005C2"/>
    <w:rsid w:val="00500704"/>
    <w:rsid w:val="0050073D"/>
    <w:rsid w:val="00500DD4"/>
    <w:rsid w:val="00500ED3"/>
    <w:rsid w:val="00500F92"/>
    <w:rsid w:val="00501208"/>
    <w:rsid w:val="005017B9"/>
    <w:rsid w:val="00501AA3"/>
    <w:rsid w:val="00501E61"/>
    <w:rsid w:val="00501EC6"/>
    <w:rsid w:val="00501FBE"/>
    <w:rsid w:val="00501FD4"/>
    <w:rsid w:val="00502018"/>
    <w:rsid w:val="005024CC"/>
    <w:rsid w:val="005026AB"/>
    <w:rsid w:val="00502946"/>
    <w:rsid w:val="00503077"/>
    <w:rsid w:val="0050309F"/>
    <w:rsid w:val="00503497"/>
    <w:rsid w:val="005037A4"/>
    <w:rsid w:val="0050394F"/>
    <w:rsid w:val="00503B16"/>
    <w:rsid w:val="00503B1C"/>
    <w:rsid w:val="005040D8"/>
    <w:rsid w:val="0050427D"/>
    <w:rsid w:val="00504297"/>
    <w:rsid w:val="005042BA"/>
    <w:rsid w:val="0050432F"/>
    <w:rsid w:val="0050438D"/>
    <w:rsid w:val="0050459E"/>
    <w:rsid w:val="00504875"/>
    <w:rsid w:val="00504A6A"/>
    <w:rsid w:val="00504C14"/>
    <w:rsid w:val="00504D31"/>
    <w:rsid w:val="00504DB4"/>
    <w:rsid w:val="00504E82"/>
    <w:rsid w:val="005056BE"/>
    <w:rsid w:val="005057E9"/>
    <w:rsid w:val="00506051"/>
    <w:rsid w:val="00506396"/>
    <w:rsid w:val="005069D2"/>
    <w:rsid w:val="005069F9"/>
    <w:rsid w:val="00506FFD"/>
    <w:rsid w:val="0050710C"/>
    <w:rsid w:val="005076E8"/>
    <w:rsid w:val="005077AC"/>
    <w:rsid w:val="00507949"/>
    <w:rsid w:val="00507C05"/>
    <w:rsid w:val="005100FB"/>
    <w:rsid w:val="005102F8"/>
    <w:rsid w:val="00510518"/>
    <w:rsid w:val="00510790"/>
    <w:rsid w:val="00510BA2"/>
    <w:rsid w:val="00510F8C"/>
    <w:rsid w:val="00511618"/>
    <w:rsid w:val="00511843"/>
    <w:rsid w:val="00511A9F"/>
    <w:rsid w:val="005120F4"/>
    <w:rsid w:val="00512340"/>
    <w:rsid w:val="005123E2"/>
    <w:rsid w:val="005128E0"/>
    <w:rsid w:val="00512ACB"/>
    <w:rsid w:val="005133ED"/>
    <w:rsid w:val="0051342D"/>
    <w:rsid w:val="005134A1"/>
    <w:rsid w:val="0051360D"/>
    <w:rsid w:val="00513910"/>
    <w:rsid w:val="00513CE4"/>
    <w:rsid w:val="00514381"/>
    <w:rsid w:val="00514A94"/>
    <w:rsid w:val="00514B08"/>
    <w:rsid w:val="00514CD7"/>
    <w:rsid w:val="00514D80"/>
    <w:rsid w:val="00514E4B"/>
    <w:rsid w:val="005153FB"/>
    <w:rsid w:val="005154DD"/>
    <w:rsid w:val="0051572E"/>
    <w:rsid w:val="00515BB8"/>
    <w:rsid w:val="00515E3B"/>
    <w:rsid w:val="00515E3E"/>
    <w:rsid w:val="00516016"/>
    <w:rsid w:val="005160CB"/>
    <w:rsid w:val="0051624A"/>
    <w:rsid w:val="00517CD7"/>
    <w:rsid w:val="00517D16"/>
    <w:rsid w:val="00517F1B"/>
    <w:rsid w:val="00517FE6"/>
    <w:rsid w:val="0052029E"/>
    <w:rsid w:val="005202FE"/>
    <w:rsid w:val="00520315"/>
    <w:rsid w:val="00520719"/>
    <w:rsid w:val="005209D6"/>
    <w:rsid w:val="0052113A"/>
    <w:rsid w:val="00521187"/>
    <w:rsid w:val="0052158E"/>
    <w:rsid w:val="00521BBF"/>
    <w:rsid w:val="00522326"/>
    <w:rsid w:val="00522496"/>
    <w:rsid w:val="00522544"/>
    <w:rsid w:val="005226B9"/>
    <w:rsid w:val="00522726"/>
    <w:rsid w:val="00522F98"/>
    <w:rsid w:val="00522FAB"/>
    <w:rsid w:val="005230A9"/>
    <w:rsid w:val="0052347F"/>
    <w:rsid w:val="005239E9"/>
    <w:rsid w:val="00523DB9"/>
    <w:rsid w:val="00523FC0"/>
    <w:rsid w:val="00524176"/>
    <w:rsid w:val="005241AC"/>
    <w:rsid w:val="00524B24"/>
    <w:rsid w:val="0052545A"/>
    <w:rsid w:val="005255D5"/>
    <w:rsid w:val="0052568B"/>
    <w:rsid w:val="0052579C"/>
    <w:rsid w:val="005257F5"/>
    <w:rsid w:val="0052592E"/>
    <w:rsid w:val="00525959"/>
    <w:rsid w:val="00525B69"/>
    <w:rsid w:val="00526170"/>
    <w:rsid w:val="0052671D"/>
    <w:rsid w:val="00526B6C"/>
    <w:rsid w:val="005276A5"/>
    <w:rsid w:val="00527A53"/>
    <w:rsid w:val="00527CB9"/>
    <w:rsid w:val="00527F48"/>
    <w:rsid w:val="0053034F"/>
    <w:rsid w:val="005304C3"/>
    <w:rsid w:val="00530550"/>
    <w:rsid w:val="00530913"/>
    <w:rsid w:val="00530C1B"/>
    <w:rsid w:val="00530F5F"/>
    <w:rsid w:val="00530FA9"/>
    <w:rsid w:val="005312FC"/>
    <w:rsid w:val="00531325"/>
    <w:rsid w:val="00531757"/>
    <w:rsid w:val="00531A1D"/>
    <w:rsid w:val="00531DA4"/>
    <w:rsid w:val="00532836"/>
    <w:rsid w:val="00532DF8"/>
    <w:rsid w:val="00532E11"/>
    <w:rsid w:val="00532ED2"/>
    <w:rsid w:val="00532FE8"/>
    <w:rsid w:val="00533B81"/>
    <w:rsid w:val="00533BA3"/>
    <w:rsid w:val="00534151"/>
    <w:rsid w:val="00534549"/>
    <w:rsid w:val="005349E5"/>
    <w:rsid w:val="00534C1E"/>
    <w:rsid w:val="00534F1E"/>
    <w:rsid w:val="00534F6B"/>
    <w:rsid w:val="00535179"/>
    <w:rsid w:val="00535901"/>
    <w:rsid w:val="00535AE3"/>
    <w:rsid w:val="005362F3"/>
    <w:rsid w:val="00536373"/>
    <w:rsid w:val="0053639B"/>
    <w:rsid w:val="005363CA"/>
    <w:rsid w:val="00536B8C"/>
    <w:rsid w:val="00536E24"/>
    <w:rsid w:val="0053714E"/>
    <w:rsid w:val="005374F5"/>
    <w:rsid w:val="00537518"/>
    <w:rsid w:val="00537914"/>
    <w:rsid w:val="00537AD4"/>
    <w:rsid w:val="00537C77"/>
    <w:rsid w:val="00537CA7"/>
    <w:rsid w:val="00537CBA"/>
    <w:rsid w:val="00537E84"/>
    <w:rsid w:val="00540627"/>
    <w:rsid w:val="00540C73"/>
    <w:rsid w:val="00540DB6"/>
    <w:rsid w:val="00540DEC"/>
    <w:rsid w:val="00541249"/>
    <w:rsid w:val="00541472"/>
    <w:rsid w:val="00541474"/>
    <w:rsid w:val="005414A0"/>
    <w:rsid w:val="00541557"/>
    <w:rsid w:val="00541FE9"/>
    <w:rsid w:val="00542112"/>
    <w:rsid w:val="0054220F"/>
    <w:rsid w:val="005422F5"/>
    <w:rsid w:val="005429AD"/>
    <w:rsid w:val="00542A7D"/>
    <w:rsid w:val="00542EA0"/>
    <w:rsid w:val="0054319B"/>
    <w:rsid w:val="0054407F"/>
    <w:rsid w:val="00544228"/>
    <w:rsid w:val="005446C1"/>
    <w:rsid w:val="0054470F"/>
    <w:rsid w:val="00544ACA"/>
    <w:rsid w:val="00544AFF"/>
    <w:rsid w:val="00544E65"/>
    <w:rsid w:val="00544FDB"/>
    <w:rsid w:val="00545071"/>
    <w:rsid w:val="0054519C"/>
    <w:rsid w:val="00545393"/>
    <w:rsid w:val="00545465"/>
    <w:rsid w:val="00545618"/>
    <w:rsid w:val="00545C32"/>
    <w:rsid w:val="005464BE"/>
    <w:rsid w:val="00546866"/>
    <w:rsid w:val="00546A67"/>
    <w:rsid w:val="00546AAE"/>
    <w:rsid w:val="00546FEE"/>
    <w:rsid w:val="00547226"/>
    <w:rsid w:val="00547876"/>
    <w:rsid w:val="00550041"/>
    <w:rsid w:val="00551457"/>
    <w:rsid w:val="005518A9"/>
    <w:rsid w:val="00551C84"/>
    <w:rsid w:val="00552377"/>
    <w:rsid w:val="0055273A"/>
    <w:rsid w:val="0055277E"/>
    <w:rsid w:val="00553090"/>
    <w:rsid w:val="0055379E"/>
    <w:rsid w:val="0055398C"/>
    <w:rsid w:val="00553BD5"/>
    <w:rsid w:val="00554198"/>
    <w:rsid w:val="0055460E"/>
    <w:rsid w:val="0055490F"/>
    <w:rsid w:val="00554DA0"/>
    <w:rsid w:val="00554ED8"/>
    <w:rsid w:val="00555087"/>
    <w:rsid w:val="00555A9D"/>
    <w:rsid w:val="00555B56"/>
    <w:rsid w:val="00555D86"/>
    <w:rsid w:val="00556240"/>
    <w:rsid w:val="005563E8"/>
    <w:rsid w:val="00556A45"/>
    <w:rsid w:val="00556D5C"/>
    <w:rsid w:val="00556E25"/>
    <w:rsid w:val="00557140"/>
    <w:rsid w:val="0055717C"/>
    <w:rsid w:val="005576A2"/>
    <w:rsid w:val="0055792B"/>
    <w:rsid w:val="00557A10"/>
    <w:rsid w:val="00557E9F"/>
    <w:rsid w:val="00557F3D"/>
    <w:rsid w:val="005604A2"/>
    <w:rsid w:val="005608F1"/>
    <w:rsid w:val="005609BF"/>
    <w:rsid w:val="00560A1E"/>
    <w:rsid w:val="00560D82"/>
    <w:rsid w:val="00560E78"/>
    <w:rsid w:val="00560F4D"/>
    <w:rsid w:val="00561555"/>
    <w:rsid w:val="005617C5"/>
    <w:rsid w:val="00561D86"/>
    <w:rsid w:val="005621D7"/>
    <w:rsid w:val="005623EB"/>
    <w:rsid w:val="00562693"/>
    <w:rsid w:val="0056276E"/>
    <w:rsid w:val="00562CCB"/>
    <w:rsid w:val="00562F39"/>
    <w:rsid w:val="0056335F"/>
    <w:rsid w:val="00563B8D"/>
    <w:rsid w:val="00564028"/>
    <w:rsid w:val="00564243"/>
    <w:rsid w:val="00564706"/>
    <w:rsid w:val="00564741"/>
    <w:rsid w:val="005650B4"/>
    <w:rsid w:val="0056525A"/>
    <w:rsid w:val="0056538E"/>
    <w:rsid w:val="00565453"/>
    <w:rsid w:val="0056558B"/>
    <w:rsid w:val="00565726"/>
    <w:rsid w:val="00565758"/>
    <w:rsid w:val="00565997"/>
    <w:rsid w:val="00565D34"/>
    <w:rsid w:val="00565D4B"/>
    <w:rsid w:val="00565E23"/>
    <w:rsid w:val="00565EF2"/>
    <w:rsid w:val="00566148"/>
    <w:rsid w:val="005662DE"/>
    <w:rsid w:val="0056635B"/>
    <w:rsid w:val="005669AC"/>
    <w:rsid w:val="005669F1"/>
    <w:rsid w:val="00566FBD"/>
    <w:rsid w:val="00567390"/>
    <w:rsid w:val="00567474"/>
    <w:rsid w:val="005676B7"/>
    <w:rsid w:val="005677FD"/>
    <w:rsid w:val="00567B3B"/>
    <w:rsid w:val="00567C67"/>
    <w:rsid w:val="00567F00"/>
    <w:rsid w:val="00570956"/>
    <w:rsid w:val="00570A25"/>
    <w:rsid w:val="00570B08"/>
    <w:rsid w:val="00570BB4"/>
    <w:rsid w:val="00570F8E"/>
    <w:rsid w:val="00571124"/>
    <w:rsid w:val="005715A8"/>
    <w:rsid w:val="005719A0"/>
    <w:rsid w:val="00571C02"/>
    <w:rsid w:val="00572129"/>
    <w:rsid w:val="0057216F"/>
    <w:rsid w:val="00572304"/>
    <w:rsid w:val="0057282B"/>
    <w:rsid w:val="00573109"/>
    <w:rsid w:val="005733CD"/>
    <w:rsid w:val="00573698"/>
    <w:rsid w:val="00573977"/>
    <w:rsid w:val="00573F3F"/>
    <w:rsid w:val="0057429C"/>
    <w:rsid w:val="005744B3"/>
    <w:rsid w:val="005744D8"/>
    <w:rsid w:val="0057475E"/>
    <w:rsid w:val="00574B60"/>
    <w:rsid w:val="00574C47"/>
    <w:rsid w:val="00574C89"/>
    <w:rsid w:val="00574FCF"/>
    <w:rsid w:val="00575037"/>
    <w:rsid w:val="00575106"/>
    <w:rsid w:val="00575409"/>
    <w:rsid w:val="005755B6"/>
    <w:rsid w:val="00575717"/>
    <w:rsid w:val="00575D9D"/>
    <w:rsid w:val="0057612D"/>
    <w:rsid w:val="005761A9"/>
    <w:rsid w:val="00576508"/>
    <w:rsid w:val="00576538"/>
    <w:rsid w:val="00576682"/>
    <w:rsid w:val="00577027"/>
    <w:rsid w:val="005774B5"/>
    <w:rsid w:val="005775AE"/>
    <w:rsid w:val="005775D1"/>
    <w:rsid w:val="0057773A"/>
    <w:rsid w:val="0057780F"/>
    <w:rsid w:val="00577C51"/>
    <w:rsid w:val="00577F3D"/>
    <w:rsid w:val="0058033F"/>
    <w:rsid w:val="00580498"/>
    <w:rsid w:val="005804FC"/>
    <w:rsid w:val="005805BF"/>
    <w:rsid w:val="0058060B"/>
    <w:rsid w:val="00580B3B"/>
    <w:rsid w:val="00580B3E"/>
    <w:rsid w:val="00580B62"/>
    <w:rsid w:val="00581113"/>
    <w:rsid w:val="005815F3"/>
    <w:rsid w:val="005816D5"/>
    <w:rsid w:val="005818F2"/>
    <w:rsid w:val="00581AF4"/>
    <w:rsid w:val="00582139"/>
    <w:rsid w:val="005821BB"/>
    <w:rsid w:val="005822EC"/>
    <w:rsid w:val="00582336"/>
    <w:rsid w:val="005824DD"/>
    <w:rsid w:val="00582555"/>
    <w:rsid w:val="005827AE"/>
    <w:rsid w:val="0058293C"/>
    <w:rsid w:val="00582AB9"/>
    <w:rsid w:val="00583008"/>
    <w:rsid w:val="00583207"/>
    <w:rsid w:val="0058322B"/>
    <w:rsid w:val="00583272"/>
    <w:rsid w:val="005835F2"/>
    <w:rsid w:val="005836EA"/>
    <w:rsid w:val="00583C56"/>
    <w:rsid w:val="00583CD7"/>
    <w:rsid w:val="00583D82"/>
    <w:rsid w:val="00583DB2"/>
    <w:rsid w:val="00583DD8"/>
    <w:rsid w:val="005845DF"/>
    <w:rsid w:val="005847CD"/>
    <w:rsid w:val="0058483E"/>
    <w:rsid w:val="00584BD8"/>
    <w:rsid w:val="00585221"/>
    <w:rsid w:val="0058535E"/>
    <w:rsid w:val="005855CA"/>
    <w:rsid w:val="0058567E"/>
    <w:rsid w:val="005856C9"/>
    <w:rsid w:val="00585A57"/>
    <w:rsid w:val="00585E12"/>
    <w:rsid w:val="00586193"/>
    <w:rsid w:val="005861C8"/>
    <w:rsid w:val="00586208"/>
    <w:rsid w:val="0058620C"/>
    <w:rsid w:val="0058637D"/>
    <w:rsid w:val="0058695E"/>
    <w:rsid w:val="00586C49"/>
    <w:rsid w:val="00586FC6"/>
    <w:rsid w:val="00587875"/>
    <w:rsid w:val="00587F6F"/>
    <w:rsid w:val="00587FB0"/>
    <w:rsid w:val="0059003F"/>
    <w:rsid w:val="005902CD"/>
    <w:rsid w:val="0059062F"/>
    <w:rsid w:val="00590827"/>
    <w:rsid w:val="0059084B"/>
    <w:rsid w:val="005908BF"/>
    <w:rsid w:val="00590A24"/>
    <w:rsid w:val="00590A87"/>
    <w:rsid w:val="00590AD4"/>
    <w:rsid w:val="00590B97"/>
    <w:rsid w:val="0059146C"/>
    <w:rsid w:val="00591505"/>
    <w:rsid w:val="00591F36"/>
    <w:rsid w:val="0059208D"/>
    <w:rsid w:val="00592B26"/>
    <w:rsid w:val="005930C7"/>
    <w:rsid w:val="005933A3"/>
    <w:rsid w:val="00593591"/>
    <w:rsid w:val="00593C8F"/>
    <w:rsid w:val="005941EF"/>
    <w:rsid w:val="005942DE"/>
    <w:rsid w:val="00594A4D"/>
    <w:rsid w:val="00594CB9"/>
    <w:rsid w:val="00594E31"/>
    <w:rsid w:val="00594E67"/>
    <w:rsid w:val="005951AA"/>
    <w:rsid w:val="00595CB5"/>
    <w:rsid w:val="00595E6E"/>
    <w:rsid w:val="005963DF"/>
    <w:rsid w:val="005966E2"/>
    <w:rsid w:val="0059674D"/>
    <w:rsid w:val="00596C47"/>
    <w:rsid w:val="00596CB2"/>
    <w:rsid w:val="00597422"/>
    <w:rsid w:val="00597784"/>
    <w:rsid w:val="00597BB1"/>
    <w:rsid w:val="005A02E2"/>
    <w:rsid w:val="005A0319"/>
    <w:rsid w:val="005A071F"/>
    <w:rsid w:val="005A0A7A"/>
    <w:rsid w:val="005A0AA7"/>
    <w:rsid w:val="005A0F33"/>
    <w:rsid w:val="005A147E"/>
    <w:rsid w:val="005A18B6"/>
    <w:rsid w:val="005A2096"/>
    <w:rsid w:val="005A21A9"/>
    <w:rsid w:val="005A220E"/>
    <w:rsid w:val="005A24C0"/>
    <w:rsid w:val="005A2801"/>
    <w:rsid w:val="005A288B"/>
    <w:rsid w:val="005A29C2"/>
    <w:rsid w:val="005A2B21"/>
    <w:rsid w:val="005A325D"/>
    <w:rsid w:val="005A332D"/>
    <w:rsid w:val="005A376F"/>
    <w:rsid w:val="005A3879"/>
    <w:rsid w:val="005A3BB1"/>
    <w:rsid w:val="005A3CF0"/>
    <w:rsid w:val="005A3D3E"/>
    <w:rsid w:val="005A43E1"/>
    <w:rsid w:val="005A457F"/>
    <w:rsid w:val="005A4D3B"/>
    <w:rsid w:val="005A5574"/>
    <w:rsid w:val="005A59C9"/>
    <w:rsid w:val="005A636D"/>
    <w:rsid w:val="005A6853"/>
    <w:rsid w:val="005A6FAE"/>
    <w:rsid w:val="005A7080"/>
    <w:rsid w:val="005A7169"/>
    <w:rsid w:val="005A7568"/>
    <w:rsid w:val="005A784B"/>
    <w:rsid w:val="005A7884"/>
    <w:rsid w:val="005A7C1C"/>
    <w:rsid w:val="005A7C3A"/>
    <w:rsid w:val="005B02F2"/>
    <w:rsid w:val="005B03CB"/>
    <w:rsid w:val="005B044F"/>
    <w:rsid w:val="005B0635"/>
    <w:rsid w:val="005B094A"/>
    <w:rsid w:val="005B0A81"/>
    <w:rsid w:val="005B0DBB"/>
    <w:rsid w:val="005B0EEB"/>
    <w:rsid w:val="005B14C0"/>
    <w:rsid w:val="005B15D3"/>
    <w:rsid w:val="005B1B38"/>
    <w:rsid w:val="005B1ED0"/>
    <w:rsid w:val="005B2213"/>
    <w:rsid w:val="005B24E1"/>
    <w:rsid w:val="005B2670"/>
    <w:rsid w:val="005B272B"/>
    <w:rsid w:val="005B275C"/>
    <w:rsid w:val="005B2993"/>
    <w:rsid w:val="005B29CF"/>
    <w:rsid w:val="005B2BC9"/>
    <w:rsid w:val="005B2FCA"/>
    <w:rsid w:val="005B35B6"/>
    <w:rsid w:val="005B38AB"/>
    <w:rsid w:val="005B3A20"/>
    <w:rsid w:val="005B3C25"/>
    <w:rsid w:val="005B3E4D"/>
    <w:rsid w:val="005B4206"/>
    <w:rsid w:val="005B4C15"/>
    <w:rsid w:val="005B4EFC"/>
    <w:rsid w:val="005B5113"/>
    <w:rsid w:val="005B518E"/>
    <w:rsid w:val="005B51E6"/>
    <w:rsid w:val="005B541D"/>
    <w:rsid w:val="005B54DC"/>
    <w:rsid w:val="005B56E8"/>
    <w:rsid w:val="005B5826"/>
    <w:rsid w:val="005B5F8D"/>
    <w:rsid w:val="005B643B"/>
    <w:rsid w:val="005B648D"/>
    <w:rsid w:val="005B64FF"/>
    <w:rsid w:val="005B65A8"/>
    <w:rsid w:val="005B66D4"/>
    <w:rsid w:val="005B6730"/>
    <w:rsid w:val="005B6819"/>
    <w:rsid w:val="005B68C0"/>
    <w:rsid w:val="005B73BD"/>
    <w:rsid w:val="005B7D68"/>
    <w:rsid w:val="005B7DE4"/>
    <w:rsid w:val="005B7F75"/>
    <w:rsid w:val="005C069A"/>
    <w:rsid w:val="005C070A"/>
    <w:rsid w:val="005C0FEA"/>
    <w:rsid w:val="005C102A"/>
    <w:rsid w:val="005C1365"/>
    <w:rsid w:val="005C1608"/>
    <w:rsid w:val="005C165A"/>
    <w:rsid w:val="005C18A2"/>
    <w:rsid w:val="005C1C24"/>
    <w:rsid w:val="005C2EFB"/>
    <w:rsid w:val="005C3411"/>
    <w:rsid w:val="005C3475"/>
    <w:rsid w:val="005C39F4"/>
    <w:rsid w:val="005C3B2B"/>
    <w:rsid w:val="005C3BE7"/>
    <w:rsid w:val="005C3C31"/>
    <w:rsid w:val="005C3CC2"/>
    <w:rsid w:val="005C4214"/>
    <w:rsid w:val="005C4238"/>
    <w:rsid w:val="005C50C7"/>
    <w:rsid w:val="005C51E4"/>
    <w:rsid w:val="005C56F7"/>
    <w:rsid w:val="005C57DB"/>
    <w:rsid w:val="005C5C7B"/>
    <w:rsid w:val="005C5E24"/>
    <w:rsid w:val="005C669A"/>
    <w:rsid w:val="005C6860"/>
    <w:rsid w:val="005C69DD"/>
    <w:rsid w:val="005C6A9F"/>
    <w:rsid w:val="005C6D5A"/>
    <w:rsid w:val="005C6E91"/>
    <w:rsid w:val="005C7321"/>
    <w:rsid w:val="005C7627"/>
    <w:rsid w:val="005C7670"/>
    <w:rsid w:val="005C776C"/>
    <w:rsid w:val="005C7C31"/>
    <w:rsid w:val="005C7DB3"/>
    <w:rsid w:val="005C7DEE"/>
    <w:rsid w:val="005D098A"/>
    <w:rsid w:val="005D1043"/>
    <w:rsid w:val="005D11AA"/>
    <w:rsid w:val="005D1FCB"/>
    <w:rsid w:val="005D1FDE"/>
    <w:rsid w:val="005D21B2"/>
    <w:rsid w:val="005D25BF"/>
    <w:rsid w:val="005D2931"/>
    <w:rsid w:val="005D29C8"/>
    <w:rsid w:val="005D2A46"/>
    <w:rsid w:val="005D2B79"/>
    <w:rsid w:val="005D2CD1"/>
    <w:rsid w:val="005D2EAB"/>
    <w:rsid w:val="005D2EC6"/>
    <w:rsid w:val="005D3090"/>
    <w:rsid w:val="005D3339"/>
    <w:rsid w:val="005D3446"/>
    <w:rsid w:val="005D35C6"/>
    <w:rsid w:val="005D3745"/>
    <w:rsid w:val="005D38AC"/>
    <w:rsid w:val="005D39CA"/>
    <w:rsid w:val="005D3A99"/>
    <w:rsid w:val="005D3AD1"/>
    <w:rsid w:val="005D3D8B"/>
    <w:rsid w:val="005D3FC5"/>
    <w:rsid w:val="005D4056"/>
    <w:rsid w:val="005D4326"/>
    <w:rsid w:val="005D4395"/>
    <w:rsid w:val="005D43F1"/>
    <w:rsid w:val="005D46E3"/>
    <w:rsid w:val="005D4C13"/>
    <w:rsid w:val="005D517F"/>
    <w:rsid w:val="005D5A5B"/>
    <w:rsid w:val="005D5ABF"/>
    <w:rsid w:val="005D5B80"/>
    <w:rsid w:val="005D5C01"/>
    <w:rsid w:val="005D5E9D"/>
    <w:rsid w:val="005D5EBB"/>
    <w:rsid w:val="005D63FC"/>
    <w:rsid w:val="005D6BB3"/>
    <w:rsid w:val="005D72A0"/>
    <w:rsid w:val="005D739B"/>
    <w:rsid w:val="005D754B"/>
    <w:rsid w:val="005D7878"/>
    <w:rsid w:val="005D78C5"/>
    <w:rsid w:val="005D7CF9"/>
    <w:rsid w:val="005D7DAB"/>
    <w:rsid w:val="005E02A2"/>
    <w:rsid w:val="005E0405"/>
    <w:rsid w:val="005E0C00"/>
    <w:rsid w:val="005E0C1B"/>
    <w:rsid w:val="005E11F5"/>
    <w:rsid w:val="005E1431"/>
    <w:rsid w:val="005E16E7"/>
    <w:rsid w:val="005E1B12"/>
    <w:rsid w:val="005E1BD2"/>
    <w:rsid w:val="005E1C93"/>
    <w:rsid w:val="005E1E84"/>
    <w:rsid w:val="005E21EE"/>
    <w:rsid w:val="005E226A"/>
    <w:rsid w:val="005E22B7"/>
    <w:rsid w:val="005E22DD"/>
    <w:rsid w:val="005E233F"/>
    <w:rsid w:val="005E246E"/>
    <w:rsid w:val="005E2657"/>
    <w:rsid w:val="005E2BF9"/>
    <w:rsid w:val="005E32A4"/>
    <w:rsid w:val="005E3422"/>
    <w:rsid w:val="005E367F"/>
    <w:rsid w:val="005E3772"/>
    <w:rsid w:val="005E3C51"/>
    <w:rsid w:val="005E3DD0"/>
    <w:rsid w:val="005E3FD5"/>
    <w:rsid w:val="005E43A7"/>
    <w:rsid w:val="005E472C"/>
    <w:rsid w:val="005E4ABA"/>
    <w:rsid w:val="005E4B99"/>
    <w:rsid w:val="005E4C0B"/>
    <w:rsid w:val="005E4E24"/>
    <w:rsid w:val="005E5106"/>
    <w:rsid w:val="005E594F"/>
    <w:rsid w:val="005E5E13"/>
    <w:rsid w:val="005E64FD"/>
    <w:rsid w:val="005E65A6"/>
    <w:rsid w:val="005E67A3"/>
    <w:rsid w:val="005E6BE7"/>
    <w:rsid w:val="005E739F"/>
    <w:rsid w:val="005E759C"/>
    <w:rsid w:val="005E76CF"/>
    <w:rsid w:val="005E788B"/>
    <w:rsid w:val="005E7C5F"/>
    <w:rsid w:val="005E7FDA"/>
    <w:rsid w:val="005F01AA"/>
    <w:rsid w:val="005F01BC"/>
    <w:rsid w:val="005F076B"/>
    <w:rsid w:val="005F0A50"/>
    <w:rsid w:val="005F0D32"/>
    <w:rsid w:val="005F0DDD"/>
    <w:rsid w:val="005F0F75"/>
    <w:rsid w:val="005F1149"/>
    <w:rsid w:val="005F12B7"/>
    <w:rsid w:val="005F12CB"/>
    <w:rsid w:val="005F2001"/>
    <w:rsid w:val="005F233C"/>
    <w:rsid w:val="005F274E"/>
    <w:rsid w:val="005F2929"/>
    <w:rsid w:val="005F29E7"/>
    <w:rsid w:val="005F2A18"/>
    <w:rsid w:val="005F2D11"/>
    <w:rsid w:val="005F2DB2"/>
    <w:rsid w:val="005F309A"/>
    <w:rsid w:val="005F33AD"/>
    <w:rsid w:val="005F418A"/>
    <w:rsid w:val="005F42CE"/>
    <w:rsid w:val="005F433B"/>
    <w:rsid w:val="005F4385"/>
    <w:rsid w:val="005F4665"/>
    <w:rsid w:val="005F4D24"/>
    <w:rsid w:val="005F4DE6"/>
    <w:rsid w:val="005F4EA6"/>
    <w:rsid w:val="005F4EF3"/>
    <w:rsid w:val="005F52F9"/>
    <w:rsid w:val="005F5424"/>
    <w:rsid w:val="005F5496"/>
    <w:rsid w:val="005F591C"/>
    <w:rsid w:val="005F5A2F"/>
    <w:rsid w:val="005F6094"/>
    <w:rsid w:val="005F6138"/>
    <w:rsid w:val="005F6535"/>
    <w:rsid w:val="005F67DD"/>
    <w:rsid w:val="005F6B19"/>
    <w:rsid w:val="005F6B70"/>
    <w:rsid w:val="005F6F64"/>
    <w:rsid w:val="005F7042"/>
    <w:rsid w:val="005F7238"/>
    <w:rsid w:val="005F7349"/>
    <w:rsid w:val="005F737C"/>
    <w:rsid w:val="005F768D"/>
    <w:rsid w:val="005F7CF1"/>
    <w:rsid w:val="005F7F74"/>
    <w:rsid w:val="005F7FE1"/>
    <w:rsid w:val="0060007B"/>
    <w:rsid w:val="00600400"/>
    <w:rsid w:val="006004CF"/>
    <w:rsid w:val="00600748"/>
    <w:rsid w:val="00600DC9"/>
    <w:rsid w:val="00600E52"/>
    <w:rsid w:val="0060144F"/>
    <w:rsid w:val="006014EC"/>
    <w:rsid w:val="0060188C"/>
    <w:rsid w:val="00601B4F"/>
    <w:rsid w:val="00601C81"/>
    <w:rsid w:val="00601D8C"/>
    <w:rsid w:val="006020B4"/>
    <w:rsid w:val="00602381"/>
    <w:rsid w:val="00602802"/>
    <w:rsid w:val="00602961"/>
    <w:rsid w:val="00602B1A"/>
    <w:rsid w:val="00602B3D"/>
    <w:rsid w:val="00602C52"/>
    <w:rsid w:val="00602D3C"/>
    <w:rsid w:val="00603803"/>
    <w:rsid w:val="006039B7"/>
    <w:rsid w:val="00603B4A"/>
    <w:rsid w:val="00604191"/>
    <w:rsid w:val="00604625"/>
    <w:rsid w:val="00604A79"/>
    <w:rsid w:val="00604D85"/>
    <w:rsid w:val="00604EB3"/>
    <w:rsid w:val="006050DB"/>
    <w:rsid w:val="00605690"/>
    <w:rsid w:val="006058C1"/>
    <w:rsid w:val="00605A9C"/>
    <w:rsid w:val="00605B9C"/>
    <w:rsid w:val="00606675"/>
    <w:rsid w:val="006067F9"/>
    <w:rsid w:val="00607606"/>
    <w:rsid w:val="00607936"/>
    <w:rsid w:val="00607C14"/>
    <w:rsid w:val="00607CA5"/>
    <w:rsid w:val="00607F00"/>
    <w:rsid w:val="00610084"/>
    <w:rsid w:val="006101F4"/>
    <w:rsid w:val="006103F5"/>
    <w:rsid w:val="0061073F"/>
    <w:rsid w:val="00611539"/>
    <w:rsid w:val="006118B3"/>
    <w:rsid w:val="00611E2E"/>
    <w:rsid w:val="00611FB6"/>
    <w:rsid w:val="00612678"/>
    <w:rsid w:val="006126E1"/>
    <w:rsid w:val="00612818"/>
    <w:rsid w:val="00612897"/>
    <w:rsid w:val="00612953"/>
    <w:rsid w:val="00612EB9"/>
    <w:rsid w:val="0061300D"/>
    <w:rsid w:val="006138D9"/>
    <w:rsid w:val="00613D09"/>
    <w:rsid w:val="00613D12"/>
    <w:rsid w:val="00613F72"/>
    <w:rsid w:val="00613FD9"/>
    <w:rsid w:val="0061400D"/>
    <w:rsid w:val="006143F9"/>
    <w:rsid w:val="006146D3"/>
    <w:rsid w:val="00614829"/>
    <w:rsid w:val="00615158"/>
    <w:rsid w:val="006152B9"/>
    <w:rsid w:val="00615322"/>
    <w:rsid w:val="0061585C"/>
    <w:rsid w:val="00615903"/>
    <w:rsid w:val="00616206"/>
    <w:rsid w:val="00616237"/>
    <w:rsid w:val="00616351"/>
    <w:rsid w:val="00616794"/>
    <w:rsid w:val="006167DB"/>
    <w:rsid w:val="006169B5"/>
    <w:rsid w:val="00617311"/>
    <w:rsid w:val="006176EA"/>
    <w:rsid w:val="00617750"/>
    <w:rsid w:val="0062000E"/>
    <w:rsid w:val="0062075C"/>
    <w:rsid w:val="00620BC1"/>
    <w:rsid w:val="006213C8"/>
    <w:rsid w:val="0062163C"/>
    <w:rsid w:val="0062164E"/>
    <w:rsid w:val="00621958"/>
    <w:rsid w:val="006219B3"/>
    <w:rsid w:val="00621E4E"/>
    <w:rsid w:val="0062244A"/>
    <w:rsid w:val="0062246E"/>
    <w:rsid w:val="0062274B"/>
    <w:rsid w:val="006229AC"/>
    <w:rsid w:val="00622A8D"/>
    <w:rsid w:val="00622ABE"/>
    <w:rsid w:val="00622C8D"/>
    <w:rsid w:val="006232FC"/>
    <w:rsid w:val="0062332D"/>
    <w:rsid w:val="00623453"/>
    <w:rsid w:val="006235E3"/>
    <w:rsid w:val="00623905"/>
    <w:rsid w:val="0062395F"/>
    <w:rsid w:val="00623A5C"/>
    <w:rsid w:val="00623BDA"/>
    <w:rsid w:val="00623C1B"/>
    <w:rsid w:val="00623D0B"/>
    <w:rsid w:val="0062404B"/>
    <w:rsid w:val="006242B2"/>
    <w:rsid w:val="00624501"/>
    <w:rsid w:val="0062459F"/>
    <w:rsid w:val="006245A0"/>
    <w:rsid w:val="00624798"/>
    <w:rsid w:val="006247F0"/>
    <w:rsid w:val="00624DF7"/>
    <w:rsid w:val="00624FE2"/>
    <w:rsid w:val="0062543E"/>
    <w:rsid w:val="006256EC"/>
    <w:rsid w:val="006259F2"/>
    <w:rsid w:val="006262ED"/>
    <w:rsid w:val="00626641"/>
    <w:rsid w:val="0062666E"/>
    <w:rsid w:val="006268C4"/>
    <w:rsid w:val="00626D3C"/>
    <w:rsid w:val="006270E9"/>
    <w:rsid w:val="00627212"/>
    <w:rsid w:val="00627352"/>
    <w:rsid w:val="0062748F"/>
    <w:rsid w:val="006278D3"/>
    <w:rsid w:val="00627E4C"/>
    <w:rsid w:val="00627FBD"/>
    <w:rsid w:val="0063001F"/>
    <w:rsid w:val="006301DF"/>
    <w:rsid w:val="006304A4"/>
    <w:rsid w:val="0063072D"/>
    <w:rsid w:val="006307B6"/>
    <w:rsid w:val="0063096A"/>
    <w:rsid w:val="006309BB"/>
    <w:rsid w:val="00631125"/>
    <w:rsid w:val="0063160E"/>
    <w:rsid w:val="00631A11"/>
    <w:rsid w:val="00631AB2"/>
    <w:rsid w:val="00631E1F"/>
    <w:rsid w:val="00632200"/>
    <w:rsid w:val="006323DA"/>
    <w:rsid w:val="006325A3"/>
    <w:rsid w:val="00632B24"/>
    <w:rsid w:val="00632B51"/>
    <w:rsid w:val="00632D27"/>
    <w:rsid w:val="00632E33"/>
    <w:rsid w:val="0063353B"/>
    <w:rsid w:val="00633690"/>
    <w:rsid w:val="00633CBC"/>
    <w:rsid w:val="00633DDA"/>
    <w:rsid w:val="00634153"/>
    <w:rsid w:val="00634229"/>
    <w:rsid w:val="00634588"/>
    <w:rsid w:val="006345C9"/>
    <w:rsid w:val="00634637"/>
    <w:rsid w:val="0063469B"/>
    <w:rsid w:val="00634BD9"/>
    <w:rsid w:val="00634D9D"/>
    <w:rsid w:val="0063547B"/>
    <w:rsid w:val="0063553D"/>
    <w:rsid w:val="00635580"/>
    <w:rsid w:val="00635632"/>
    <w:rsid w:val="0063589F"/>
    <w:rsid w:val="00635DF3"/>
    <w:rsid w:val="0063603D"/>
    <w:rsid w:val="00636376"/>
    <w:rsid w:val="00636431"/>
    <w:rsid w:val="00636584"/>
    <w:rsid w:val="006366E9"/>
    <w:rsid w:val="00636A43"/>
    <w:rsid w:val="00636B8C"/>
    <w:rsid w:val="00637084"/>
    <w:rsid w:val="006370D7"/>
    <w:rsid w:val="00637136"/>
    <w:rsid w:val="0063727C"/>
    <w:rsid w:val="006374F4"/>
    <w:rsid w:val="00637C19"/>
    <w:rsid w:val="00637D5F"/>
    <w:rsid w:val="00637F17"/>
    <w:rsid w:val="00637F6B"/>
    <w:rsid w:val="006401A7"/>
    <w:rsid w:val="0064038F"/>
    <w:rsid w:val="0064040F"/>
    <w:rsid w:val="00640528"/>
    <w:rsid w:val="0064172A"/>
    <w:rsid w:val="00641843"/>
    <w:rsid w:val="006418D3"/>
    <w:rsid w:val="006426CB"/>
    <w:rsid w:val="00642DEC"/>
    <w:rsid w:val="00642FD0"/>
    <w:rsid w:val="0064304D"/>
    <w:rsid w:val="0064342A"/>
    <w:rsid w:val="006434FA"/>
    <w:rsid w:val="0064370F"/>
    <w:rsid w:val="00643866"/>
    <w:rsid w:val="00643939"/>
    <w:rsid w:val="00643D65"/>
    <w:rsid w:val="00644280"/>
    <w:rsid w:val="0064483E"/>
    <w:rsid w:val="00644B3F"/>
    <w:rsid w:val="00644B98"/>
    <w:rsid w:val="0064514F"/>
    <w:rsid w:val="0064545F"/>
    <w:rsid w:val="006457B9"/>
    <w:rsid w:val="00645ACB"/>
    <w:rsid w:val="00645BB6"/>
    <w:rsid w:val="00645C27"/>
    <w:rsid w:val="00645E2E"/>
    <w:rsid w:val="00645E3E"/>
    <w:rsid w:val="00645F36"/>
    <w:rsid w:val="00646404"/>
    <w:rsid w:val="00646414"/>
    <w:rsid w:val="00646C73"/>
    <w:rsid w:val="006470A4"/>
    <w:rsid w:val="006471DE"/>
    <w:rsid w:val="00647847"/>
    <w:rsid w:val="00647929"/>
    <w:rsid w:val="006479AD"/>
    <w:rsid w:val="00650412"/>
    <w:rsid w:val="006504D0"/>
    <w:rsid w:val="0065062A"/>
    <w:rsid w:val="00650733"/>
    <w:rsid w:val="00650913"/>
    <w:rsid w:val="00650E6B"/>
    <w:rsid w:val="00650F35"/>
    <w:rsid w:val="0065117D"/>
    <w:rsid w:val="00651282"/>
    <w:rsid w:val="006518E7"/>
    <w:rsid w:val="00651D47"/>
    <w:rsid w:val="00651E78"/>
    <w:rsid w:val="00651F55"/>
    <w:rsid w:val="006523F1"/>
    <w:rsid w:val="00652466"/>
    <w:rsid w:val="0065288B"/>
    <w:rsid w:val="00652913"/>
    <w:rsid w:val="00652B26"/>
    <w:rsid w:val="00652D77"/>
    <w:rsid w:val="006533A6"/>
    <w:rsid w:val="00653528"/>
    <w:rsid w:val="00653A0A"/>
    <w:rsid w:val="00653CA7"/>
    <w:rsid w:val="00653F8C"/>
    <w:rsid w:val="00654EBE"/>
    <w:rsid w:val="00654F54"/>
    <w:rsid w:val="00655162"/>
    <w:rsid w:val="006554AF"/>
    <w:rsid w:val="00655681"/>
    <w:rsid w:val="00655A98"/>
    <w:rsid w:val="00655AFF"/>
    <w:rsid w:val="00655F8A"/>
    <w:rsid w:val="00656054"/>
    <w:rsid w:val="00656086"/>
    <w:rsid w:val="006562E8"/>
    <w:rsid w:val="00656352"/>
    <w:rsid w:val="0065645F"/>
    <w:rsid w:val="00656875"/>
    <w:rsid w:val="00656A60"/>
    <w:rsid w:val="00657076"/>
    <w:rsid w:val="006570B8"/>
    <w:rsid w:val="00657276"/>
    <w:rsid w:val="006578C1"/>
    <w:rsid w:val="00657CF3"/>
    <w:rsid w:val="00657E48"/>
    <w:rsid w:val="00657F22"/>
    <w:rsid w:val="00660437"/>
    <w:rsid w:val="00660510"/>
    <w:rsid w:val="006605DA"/>
    <w:rsid w:val="0066061F"/>
    <w:rsid w:val="0066068B"/>
    <w:rsid w:val="006606C9"/>
    <w:rsid w:val="006607D6"/>
    <w:rsid w:val="00660EF4"/>
    <w:rsid w:val="0066108F"/>
    <w:rsid w:val="006615D8"/>
    <w:rsid w:val="006616FD"/>
    <w:rsid w:val="00661D89"/>
    <w:rsid w:val="00661E70"/>
    <w:rsid w:val="006621BC"/>
    <w:rsid w:val="0066225C"/>
    <w:rsid w:val="00662F30"/>
    <w:rsid w:val="00663120"/>
    <w:rsid w:val="0066316B"/>
    <w:rsid w:val="006639B2"/>
    <w:rsid w:val="00664041"/>
    <w:rsid w:val="0066405F"/>
    <w:rsid w:val="006640A3"/>
    <w:rsid w:val="0066412E"/>
    <w:rsid w:val="006645FC"/>
    <w:rsid w:val="00664925"/>
    <w:rsid w:val="006649D1"/>
    <w:rsid w:val="00664A1D"/>
    <w:rsid w:val="00664AFB"/>
    <w:rsid w:val="00664BF4"/>
    <w:rsid w:val="00664FC8"/>
    <w:rsid w:val="006650CD"/>
    <w:rsid w:val="00665164"/>
    <w:rsid w:val="006651D3"/>
    <w:rsid w:val="00665D20"/>
    <w:rsid w:val="00665F60"/>
    <w:rsid w:val="006664BC"/>
    <w:rsid w:val="006668EC"/>
    <w:rsid w:val="00666F05"/>
    <w:rsid w:val="00666F3B"/>
    <w:rsid w:val="00667518"/>
    <w:rsid w:val="00667BF5"/>
    <w:rsid w:val="00667D58"/>
    <w:rsid w:val="006700A6"/>
    <w:rsid w:val="0067016C"/>
    <w:rsid w:val="006701BA"/>
    <w:rsid w:val="00670218"/>
    <w:rsid w:val="00670679"/>
    <w:rsid w:val="0067088D"/>
    <w:rsid w:val="00670AE1"/>
    <w:rsid w:val="00670B64"/>
    <w:rsid w:val="00670E4B"/>
    <w:rsid w:val="00670FF8"/>
    <w:rsid w:val="0067155A"/>
    <w:rsid w:val="00671AF6"/>
    <w:rsid w:val="00671DE1"/>
    <w:rsid w:val="00672008"/>
    <w:rsid w:val="006720F8"/>
    <w:rsid w:val="006721F9"/>
    <w:rsid w:val="006726F9"/>
    <w:rsid w:val="0067273A"/>
    <w:rsid w:val="00672A39"/>
    <w:rsid w:val="00672B99"/>
    <w:rsid w:val="00672E4F"/>
    <w:rsid w:val="00672FFB"/>
    <w:rsid w:val="00673151"/>
    <w:rsid w:val="00673214"/>
    <w:rsid w:val="006734DC"/>
    <w:rsid w:val="00673B1F"/>
    <w:rsid w:val="00673C62"/>
    <w:rsid w:val="00673F1D"/>
    <w:rsid w:val="00674BAB"/>
    <w:rsid w:val="00674FE0"/>
    <w:rsid w:val="00675666"/>
    <w:rsid w:val="0067578F"/>
    <w:rsid w:val="006758CE"/>
    <w:rsid w:val="0067604B"/>
    <w:rsid w:val="006764A4"/>
    <w:rsid w:val="00676911"/>
    <w:rsid w:val="00676A93"/>
    <w:rsid w:val="00676DC3"/>
    <w:rsid w:val="00676E78"/>
    <w:rsid w:val="0067744D"/>
    <w:rsid w:val="0067769E"/>
    <w:rsid w:val="006779B3"/>
    <w:rsid w:val="00677B7F"/>
    <w:rsid w:val="00680319"/>
    <w:rsid w:val="006806F3"/>
    <w:rsid w:val="00681049"/>
    <w:rsid w:val="0068117B"/>
    <w:rsid w:val="006816C2"/>
    <w:rsid w:val="00681783"/>
    <w:rsid w:val="00681B9E"/>
    <w:rsid w:val="00681D1A"/>
    <w:rsid w:val="006824BB"/>
    <w:rsid w:val="006826B4"/>
    <w:rsid w:val="006827DA"/>
    <w:rsid w:val="006829DD"/>
    <w:rsid w:val="006829E8"/>
    <w:rsid w:val="0068310D"/>
    <w:rsid w:val="00683721"/>
    <w:rsid w:val="006839C4"/>
    <w:rsid w:val="006840F2"/>
    <w:rsid w:val="0068416E"/>
    <w:rsid w:val="006844C6"/>
    <w:rsid w:val="00684AB3"/>
    <w:rsid w:val="00684F29"/>
    <w:rsid w:val="00685090"/>
    <w:rsid w:val="00685425"/>
    <w:rsid w:val="00686197"/>
    <w:rsid w:val="0068624B"/>
    <w:rsid w:val="006862FD"/>
    <w:rsid w:val="006865AC"/>
    <w:rsid w:val="0068675C"/>
    <w:rsid w:val="00686C0B"/>
    <w:rsid w:val="00686E4C"/>
    <w:rsid w:val="00686FD6"/>
    <w:rsid w:val="00687D86"/>
    <w:rsid w:val="00687F06"/>
    <w:rsid w:val="00690098"/>
    <w:rsid w:val="006900E1"/>
    <w:rsid w:val="006901B2"/>
    <w:rsid w:val="006908F5"/>
    <w:rsid w:val="00690A68"/>
    <w:rsid w:val="00690ABF"/>
    <w:rsid w:val="00690FE8"/>
    <w:rsid w:val="006910EF"/>
    <w:rsid w:val="0069166D"/>
    <w:rsid w:val="0069183A"/>
    <w:rsid w:val="00691AE6"/>
    <w:rsid w:val="00691B09"/>
    <w:rsid w:val="00691BF3"/>
    <w:rsid w:val="00692601"/>
    <w:rsid w:val="00693074"/>
    <w:rsid w:val="00693219"/>
    <w:rsid w:val="00693405"/>
    <w:rsid w:val="00693599"/>
    <w:rsid w:val="00693799"/>
    <w:rsid w:val="006937F3"/>
    <w:rsid w:val="00693801"/>
    <w:rsid w:val="00693968"/>
    <w:rsid w:val="00693CC6"/>
    <w:rsid w:val="00693D5B"/>
    <w:rsid w:val="00693F61"/>
    <w:rsid w:val="00694041"/>
    <w:rsid w:val="006943C8"/>
    <w:rsid w:val="0069476F"/>
    <w:rsid w:val="00694780"/>
    <w:rsid w:val="00694861"/>
    <w:rsid w:val="00694989"/>
    <w:rsid w:val="00694B66"/>
    <w:rsid w:val="00694BF8"/>
    <w:rsid w:val="00694C10"/>
    <w:rsid w:val="00694E60"/>
    <w:rsid w:val="00695028"/>
    <w:rsid w:val="006950CD"/>
    <w:rsid w:val="00695247"/>
    <w:rsid w:val="0069535A"/>
    <w:rsid w:val="006958A4"/>
    <w:rsid w:val="00695AF8"/>
    <w:rsid w:val="006961CD"/>
    <w:rsid w:val="00696A81"/>
    <w:rsid w:val="00696B76"/>
    <w:rsid w:val="006973B8"/>
    <w:rsid w:val="006975A7"/>
    <w:rsid w:val="00697707"/>
    <w:rsid w:val="0069779A"/>
    <w:rsid w:val="006978B7"/>
    <w:rsid w:val="0069797E"/>
    <w:rsid w:val="00697C5E"/>
    <w:rsid w:val="006A00FE"/>
    <w:rsid w:val="006A0741"/>
    <w:rsid w:val="006A1149"/>
    <w:rsid w:val="006A11BD"/>
    <w:rsid w:val="006A14FE"/>
    <w:rsid w:val="006A1624"/>
    <w:rsid w:val="006A1924"/>
    <w:rsid w:val="006A20F4"/>
    <w:rsid w:val="006A222D"/>
    <w:rsid w:val="006A232F"/>
    <w:rsid w:val="006A310C"/>
    <w:rsid w:val="006A3CC8"/>
    <w:rsid w:val="006A3D84"/>
    <w:rsid w:val="006A409D"/>
    <w:rsid w:val="006A4665"/>
    <w:rsid w:val="006A4DA8"/>
    <w:rsid w:val="006A4E74"/>
    <w:rsid w:val="006A4E97"/>
    <w:rsid w:val="006A5055"/>
    <w:rsid w:val="006A5157"/>
    <w:rsid w:val="006A56F7"/>
    <w:rsid w:val="006A57BA"/>
    <w:rsid w:val="006A585C"/>
    <w:rsid w:val="006A5915"/>
    <w:rsid w:val="006A591B"/>
    <w:rsid w:val="006A59AC"/>
    <w:rsid w:val="006A5E3D"/>
    <w:rsid w:val="006A5E6C"/>
    <w:rsid w:val="006A607C"/>
    <w:rsid w:val="006A64E7"/>
    <w:rsid w:val="006A66A0"/>
    <w:rsid w:val="006A66D9"/>
    <w:rsid w:val="006A674F"/>
    <w:rsid w:val="006A6B76"/>
    <w:rsid w:val="006A6BD9"/>
    <w:rsid w:val="006A6C88"/>
    <w:rsid w:val="006A6CB5"/>
    <w:rsid w:val="006A715C"/>
    <w:rsid w:val="006A7754"/>
    <w:rsid w:val="006A7AB6"/>
    <w:rsid w:val="006A7C8A"/>
    <w:rsid w:val="006A7DD9"/>
    <w:rsid w:val="006B0416"/>
    <w:rsid w:val="006B0425"/>
    <w:rsid w:val="006B07F2"/>
    <w:rsid w:val="006B09CF"/>
    <w:rsid w:val="006B0BBF"/>
    <w:rsid w:val="006B0D70"/>
    <w:rsid w:val="006B0D9B"/>
    <w:rsid w:val="006B110F"/>
    <w:rsid w:val="006B1352"/>
    <w:rsid w:val="006B2765"/>
    <w:rsid w:val="006B2C78"/>
    <w:rsid w:val="006B2ECE"/>
    <w:rsid w:val="006B35C8"/>
    <w:rsid w:val="006B3677"/>
    <w:rsid w:val="006B3693"/>
    <w:rsid w:val="006B371F"/>
    <w:rsid w:val="006B3E34"/>
    <w:rsid w:val="006B3E68"/>
    <w:rsid w:val="006B3F73"/>
    <w:rsid w:val="006B4D71"/>
    <w:rsid w:val="006B51F2"/>
    <w:rsid w:val="006B53B7"/>
    <w:rsid w:val="006B545C"/>
    <w:rsid w:val="006B549B"/>
    <w:rsid w:val="006B5503"/>
    <w:rsid w:val="006B5636"/>
    <w:rsid w:val="006B5B51"/>
    <w:rsid w:val="006B5E87"/>
    <w:rsid w:val="006B601F"/>
    <w:rsid w:val="006B6327"/>
    <w:rsid w:val="006B6671"/>
    <w:rsid w:val="006B66F3"/>
    <w:rsid w:val="006B6C42"/>
    <w:rsid w:val="006B6E21"/>
    <w:rsid w:val="006B788F"/>
    <w:rsid w:val="006B7BAD"/>
    <w:rsid w:val="006B7CE6"/>
    <w:rsid w:val="006B7E66"/>
    <w:rsid w:val="006C071E"/>
    <w:rsid w:val="006C0749"/>
    <w:rsid w:val="006C0755"/>
    <w:rsid w:val="006C0769"/>
    <w:rsid w:val="006C07BE"/>
    <w:rsid w:val="006C08E0"/>
    <w:rsid w:val="006C0EA5"/>
    <w:rsid w:val="006C14DA"/>
    <w:rsid w:val="006C157C"/>
    <w:rsid w:val="006C183C"/>
    <w:rsid w:val="006C1A68"/>
    <w:rsid w:val="006C1B01"/>
    <w:rsid w:val="006C1E0A"/>
    <w:rsid w:val="006C1E66"/>
    <w:rsid w:val="006C243A"/>
    <w:rsid w:val="006C2498"/>
    <w:rsid w:val="006C26E5"/>
    <w:rsid w:val="006C26F1"/>
    <w:rsid w:val="006C2F16"/>
    <w:rsid w:val="006C3109"/>
    <w:rsid w:val="006C32FF"/>
    <w:rsid w:val="006C3336"/>
    <w:rsid w:val="006C34CF"/>
    <w:rsid w:val="006C35EC"/>
    <w:rsid w:val="006C37DD"/>
    <w:rsid w:val="006C3A90"/>
    <w:rsid w:val="006C3B66"/>
    <w:rsid w:val="006C3E19"/>
    <w:rsid w:val="006C4DE7"/>
    <w:rsid w:val="006C557D"/>
    <w:rsid w:val="006C5CF6"/>
    <w:rsid w:val="006C5EB4"/>
    <w:rsid w:val="006C5F71"/>
    <w:rsid w:val="006C631A"/>
    <w:rsid w:val="006C655B"/>
    <w:rsid w:val="006C6601"/>
    <w:rsid w:val="006C6756"/>
    <w:rsid w:val="006C6845"/>
    <w:rsid w:val="006C6A19"/>
    <w:rsid w:val="006C6B6D"/>
    <w:rsid w:val="006C6E1C"/>
    <w:rsid w:val="006C6F12"/>
    <w:rsid w:val="006C6FC6"/>
    <w:rsid w:val="006C719A"/>
    <w:rsid w:val="006C73C4"/>
    <w:rsid w:val="006C744C"/>
    <w:rsid w:val="006C78DF"/>
    <w:rsid w:val="006C7C16"/>
    <w:rsid w:val="006C7FCD"/>
    <w:rsid w:val="006D0283"/>
    <w:rsid w:val="006D0E18"/>
    <w:rsid w:val="006D0E8C"/>
    <w:rsid w:val="006D0EFC"/>
    <w:rsid w:val="006D0F7D"/>
    <w:rsid w:val="006D0FAF"/>
    <w:rsid w:val="006D126E"/>
    <w:rsid w:val="006D168C"/>
    <w:rsid w:val="006D1B63"/>
    <w:rsid w:val="006D1BEB"/>
    <w:rsid w:val="006D20B3"/>
    <w:rsid w:val="006D2D8C"/>
    <w:rsid w:val="006D2F65"/>
    <w:rsid w:val="006D303B"/>
    <w:rsid w:val="006D3512"/>
    <w:rsid w:val="006D364A"/>
    <w:rsid w:val="006D39E1"/>
    <w:rsid w:val="006D3D4A"/>
    <w:rsid w:val="006D4288"/>
    <w:rsid w:val="006D42F1"/>
    <w:rsid w:val="006D46ED"/>
    <w:rsid w:val="006D4AEC"/>
    <w:rsid w:val="006D5309"/>
    <w:rsid w:val="006D53DC"/>
    <w:rsid w:val="006D5A46"/>
    <w:rsid w:val="006D5A58"/>
    <w:rsid w:val="006D5AE9"/>
    <w:rsid w:val="006D5D37"/>
    <w:rsid w:val="006D5D55"/>
    <w:rsid w:val="006D5F07"/>
    <w:rsid w:val="006D6736"/>
    <w:rsid w:val="006D67A0"/>
    <w:rsid w:val="006D6A76"/>
    <w:rsid w:val="006D7156"/>
    <w:rsid w:val="006D7158"/>
    <w:rsid w:val="006D7301"/>
    <w:rsid w:val="006D74BE"/>
    <w:rsid w:val="006D7E1C"/>
    <w:rsid w:val="006E02A2"/>
    <w:rsid w:val="006E02D8"/>
    <w:rsid w:val="006E040B"/>
    <w:rsid w:val="006E0B15"/>
    <w:rsid w:val="006E0C36"/>
    <w:rsid w:val="006E0FCC"/>
    <w:rsid w:val="006E11C2"/>
    <w:rsid w:val="006E1379"/>
    <w:rsid w:val="006E149D"/>
    <w:rsid w:val="006E14B4"/>
    <w:rsid w:val="006E17E2"/>
    <w:rsid w:val="006E1CE5"/>
    <w:rsid w:val="006E1D2D"/>
    <w:rsid w:val="006E1D85"/>
    <w:rsid w:val="006E222E"/>
    <w:rsid w:val="006E2376"/>
    <w:rsid w:val="006E24D1"/>
    <w:rsid w:val="006E287C"/>
    <w:rsid w:val="006E2BC1"/>
    <w:rsid w:val="006E330D"/>
    <w:rsid w:val="006E377E"/>
    <w:rsid w:val="006E3870"/>
    <w:rsid w:val="006E390B"/>
    <w:rsid w:val="006E3E76"/>
    <w:rsid w:val="006E4009"/>
    <w:rsid w:val="006E417C"/>
    <w:rsid w:val="006E42C0"/>
    <w:rsid w:val="006E42C8"/>
    <w:rsid w:val="006E495C"/>
    <w:rsid w:val="006E4E1E"/>
    <w:rsid w:val="006E516D"/>
    <w:rsid w:val="006E5676"/>
    <w:rsid w:val="006E5A0A"/>
    <w:rsid w:val="006E5DE8"/>
    <w:rsid w:val="006E626A"/>
    <w:rsid w:val="006E62A6"/>
    <w:rsid w:val="006E69BD"/>
    <w:rsid w:val="006E6CBE"/>
    <w:rsid w:val="006E6F2F"/>
    <w:rsid w:val="006E703C"/>
    <w:rsid w:val="006E7326"/>
    <w:rsid w:val="006E7379"/>
    <w:rsid w:val="006E73DF"/>
    <w:rsid w:val="006E74F1"/>
    <w:rsid w:val="006E7743"/>
    <w:rsid w:val="006E7C9D"/>
    <w:rsid w:val="006E7CC8"/>
    <w:rsid w:val="006F061B"/>
    <w:rsid w:val="006F0B56"/>
    <w:rsid w:val="006F0BD0"/>
    <w:rsid w:val="006F0E2E"/>
    <w:rsid w:val="006F0F2A"/>
    <w:rsid w:val="006F1396"/>
    <w:rsid w:val="006F13C8"/>
    <w:rsid w:val="006F16AE"/>
    <w:rsid w:val="006F175E"/>
    <w:rsid w:val="006F17DC"/>
    <w:rsid w:val="006F1B57"/>
    <w:rsid w:val="006F1C9B"/>
    <w:rsid w:val="006F2088"/>
    <w:rsid w:val="006F23F6"/>
    <w:rsid w:val="006F2946"/>
    <w:rsid w:val="006F29A2"/>
    <w:rsid w:val="006F2BD3"/>
    <w:rsid w:val="006F2CE5"/>
    <w:rsid w:val="006F2E00"/>
    <w:rsid w:val="006F312D"/>
    <w:rsid w:val="006F3284"/>
    <w:rsid w:val="006F36FA"/>
    <w:rsid w:val="006F3947"/>
    <w:rsid w:val="006F3E42"/>
    <w:rsid w:val="006F40AF"/>
    <w:rsid w:val="006F458C"/>
    <w:rsid w:val="006F4669"/>
    <w:rsid w:val="006F479B"/>
    <w:rsid w:val="006F4C8C"/>
    <w:rsid w:val="006F4E0D"/>
    <w:rsid w:val="006F5806"/>
    <w:rsid w:val="006F5913"/>
    <w:rsid w:val="006F5932"/>
    <w:rsid w:val="006F5B36"/>
    <w:rsid w:val="006F5B8D"/>
    <w:rsid w:val="006F5C2A"/>
    <w:rsid w:val="006F5E52"/>
    <w:rsid w:val="006F5ECC"/>
    <w:rsid w:val="006F629C"/>
    <w:rsid w:val="006F672C"/>
    <w:rsid w:val="006F6C55"/>
    <w:rsid w:val="006F746F"/>
    <w:rsid w:val="006F750C"/>
    <w:rsid w:val="006F77BD"/>
    <w:rsid w:val="006F79A0"/>
    <w:rsid w:val="006F7B3A"/>
    <w:rsid w:val="00700343"/>
    <w:rsid w:val="00700347"/>
    <w:rsid w:val="00700573"/>
    <w:rsid w:val="0070075C"/>
    <w:rsid w:val="00700C0D"/>
    <w:rsid w:val="00701142"/>
    <w:rsid w:val="0070133E"/>
    <w:rsid w:val="00701842"/>
    <w:rsid w:val="00701AA1"/>
    <w:rsid w:val="00701FE3"/>
    <w:rsid w:val="00702138"/>
    <w:rsid w:val="0070218E"/>
    <w:rsid w:val="00702252"/>
    <w:rsid w:val="0070267C"/>
    <w:rsid w:val="00702A9C"/>
    <w:rsid w:val="00702ADF"/>
    <w:rsid w:val="00702B14"/>
    <w:rsid w:val="00702E80"/>
    <w:rsid w:val="00702FD4"/>
    <w:rsid w:val="00703B58"/>
    <w:rsid w:val="00703DC3"/>
    <w:rsid w:val="00703E41"/>
    <w:rsid w:val="007042E8"/>
    <w:rsid w:val="00704496"/>
    <w:rsid w:val="00704FCB"/>
    <w:rsid w:val="00705924"/>
    <w:rsid w:val="00705C22"/>
    <w:rsid w:val="00705C59"/>
    <w:rsid w:val="00705DA5"/>
    <w:rsid w:val="00706001"/>
    <w:rsid w:val="00706271"/>
    <w:rsid w:val="007065E0"/>
    <w:rsid w:val="00706853"/>
    <w:rsid w:val="00706B08"/>
    <w:rsid w:val="00706C3E"/>
    <w:rsid w:val="00706DD5"/>
    <w:rsid w:val="00706FB5"/>
    <w:rsid w:val="00707357"/>
    <w:rsid w:val="0070735C"/>
    <w:rsid w:val="007073CE"/>
    <w:rsid w:val="0070757A"/>
    <w:rsid w:val="0070759A"/>
    <w:rsid w:val="007075E5"/>
    <w:rsid w:val="007078DB"/>
    <w:rsid w:val="00707AAC"/>
    <w:rsid w:val="00707B59"/>
    <w:rsid w:val="00710244"/>
    <w:rsid w:val="00710546"/>
    <w:rsid w:val="00710622"/>
    <w:rsid w:val="0071062A"/>
    <w:rsid w:val="007107D5"/>
    <w:rsid w:val="00710B03"/>
    <w:rsid w:val="00710B46"/>
    <w:rsid w:val="00710C5B"/>
    <w:rsid w:val="007111EB"/>
    <w:rsid w:val="00711244"/>
    <w:rsid w:val="0071133D"/>
    <w:rsid w:val="00711389"/>
    <w:rsid w:val="007117FB"/>
    <w:rsid w:val="00711D01"/>
    <w:rsid w:val="007124DE"/>
    <w:rsid w:val="00712575"/>
    <w:rsid w:val="007125DE"/>
    <w:rsid w:val="00712A25"/>
    <w:rsid w:val="00712B85"/>
    <w:rsid w:val="00712C89"/>
    <w:rsid w:val="00713064"/>
    <w:rsid w:val="00713079"/>
    <w:rsid w:val="007132EA"/>
    <w:rsid w:val="007132EC"/>
    <w:rsid w:val="00713425"/>
    <w:rsid w:val="0071367D"/>
    <w:rsid w:val="00713B34"/>
    <w:rsid w:val="00713CF5"/>
    <w:rsid w:val="00713EFE"/>
    <w:rsid w:val="007142F5"/>
    <w:rsid w:val="007144B0"/>
    <w:rsid w:val="00714757"/>
    <w:rsid w:val="00714BC9"/>
    <w:rsid w:val="00714F50"/>
    <w:rsid w:val="00715E01"/>
    <w:rsid w:val="007160C2"/>
    <w:rsid w:val="00716229"/>
    <w:rsid w:val="007162F6"/>
    <w:rsid w:val="007164D5"/>
    <w:rsid w:val="00716603"/>
    <w:rsid w:val="00716712"/>
    <w:rsid w:val="00716C35"/>
    <w:rsid w:val="00717596"/>
    <w:rsid w:val="007175B5"/>
    <w:rsid w:val="0071777F"/>
    <w:rsid w:val="00717960"/>
    <w:rsid w:val="00717DFD"/>
    <w:rsid w:val="00717EC9"/>
    <w:rsid w:val="00717FB1"/>
    <w:rsid w:val="00720017"/>
    <w:rsid w:val="0072036D"/>
    <w:rsid w:val="00720B50"/>
    <w:rsid w:val="0072150C"/>
    <w:rsid w:val="00721555"/>
    <w:rsid w:val="0072159B"/>
    <w:rsid w:val="00721A80"/>
    <w:rsid w:val="00721C6C"/>
    <w:rsid w:val="00721E13"/>
    <w:rsid w:val="00721E68"/>
    <w:rsid w:val="00721EA5"/>
    <w:rsid w:val="007225B0"/>
    <w:rsid w:val="00722624"/>
    <w:rsid w:val="00722B27"/>
    <w:rsid w:val="00722B8B"/>
    <w:rsid w:val="00722BF3"/>
    <w:rsid w:val="00722E36"/>
    <w:rsid w:val="00722FF4"/>
    <w:rsid w:val="0072306F"/>
    <w:rsid w:val="00723099"/>
    <w:rsid w:val="0072317F"/>
    <w:rsid w:val="00723247"/>
    <w:rsid w:val="007233E3"/>
    <w:rsid w:val="00723629"/>
    <w:rsid w:val="00723AF2"/>
    <w:rsid w:val="00723D6F"/>
    <w:rsid w:val="00723E45"/>
    <w:rsid w:val="00724206"/>
    <w:rsid w:val="00724325"/>
    <w:rsid w:val="00724398"/>
    <w:rsid w:val="0072462C"/>
    <w:rsid w:val="0072466D"/>
    <w:rsid w:val="00724A32"/>
    <w:rsid w:val="00724B5D"/>
    <w:rsid w:val="00724F0C"/>
    <w:rsid w:val="00725032"/>
    <w:rsid w:val="00725182"/>
    <w:rsid w:val="0072534C"/>
    <w:rsid w:val="00725CD0"/>
    <w:rsid w:val="0072644A"/>
    <w:rsid w:val="00726626"/>
    <w:rsid w:val="00726D76"/>
    <w:rsid w:val="0072729C"/>
    <w:rsid w:val="007272B5"/>
    <w:rsid w:val="0072774B"/>
    <w:rsid w:val="00727968"/>
    <w:rsid w:val="00727B80"/>
    <w:rsid w:val="00730036"/>
    <w:rsid w:val="00730195"/>
    <w:rsid w:val="00730295"/>
    <w:rsid w:val="007305CB"/>
    <w:rsid w:val="00730812"/>
    <w:rsid w:val="00730B2C"/>
    <w:rsid w:val="0073171D"/>
    <w:rsid w:val="007318DC"/>
    <w:rsid w:val="007319F4"/>
    <w:rsid w:val="00731C71"/>
    <w:rsid w:val="00732665"/>
    <w:rsid w:val="00732BA8"/>
    <w:rsid w:val="00732D22"/>
    <w:rsid w:val="00733118"/>
    <w:rsid w:val="007332E2"/>
    <w:rsid w:val="00733C64"/>
    <w:rsid w:val="00733CEB"/>
    <w:rsid w:val="00733CF3"/>
    <w:rsid w:val="00733D8F"/>
    <w:rsid w:val="00733E9C"/>
    <w:rsid w:val="00734117"/>
    <w:rsid w:val="0073452B"/>
    <w:rsid w:val="00734B50"/>
    <w:rsid w:val="00734B5C"/>
    <w:rsid w:val="00734E0A"/>
    <w:rsid w:val="00734E53"/>
    <w:rsid w:val="00734EBE"/>
    <w:rsid w:val="007351D0"/>
    <w:rsid w:val="00735765"/>
    <w:rsid w:val="00735C41"/>
    <w:rsid w:val="00735C72"/>
    <w:rsid w:val="00735CEF"/>
    <w:rsid w:val="00735CF5"/>
    <w:rsid w:val="00735D8B"/>
    <w:rsid w:val="00736305"/>
    <w:rsid w:val="0073666A"/>
    <w:rsid w:val="00736B61"/>
    <w:rsid w:val="0073707A"/>
    <w:rsid w:val="00737976"/>
    <w:rsid w:val="00737E86"/>
    <w:rsid w:val="00737F3F"/>
    <w:rsid w:val="00740070"/>
    <w:rsid w:val="00740336"/>
    <w:rsid w:val="007403AB"/>
    <w:rsid w:val="007403C9"/>
    <w:rsid w:val="0074056B"/>
    <w:rsid w:val="007406D2"/>
    <w:rsid w:val="00740705"/>
    <w:rsid w:val="00740ECB"/>
    <w:rsid w:val="00741648"/>
    <w:rsid w:val="007418E7"/>
    <w:rsid w:val="007419B9"/>
    <w:rsid w:val="007419FC"/>
    <w:rsid w:val="00741F02"/>
    <w:rsid w:val="007420BD"/>
    <w:rsid w:val="007422DE"/>
    <w:rsid w:val="00742393"/>
    <w:rsid w:val="00742553"/>
    <w:rsid w:val="00742770"/>
    <w:rsid w:val="00742958"/>
    <w:rsid w:val="00742CB3"/>
    <w:rsid w:val="00742F96"/>
    <w:rsid w:val="007432D3"/>
    <w:rsid w:val="00743434"/>
    <w:rsid w:val="007434F0"/>
    <w:rsid w:val="00743680"/>
    <w:rsid w:val="00743920"/>
    <w:rsid w:val="00743D2C"/>
    <w:rsid w:val="00744088"/>
    <w:rsid w:val="0074441F"/>
    <w:rsid w:val="00744445"/>
    <w:rsid w:val="0074485B"/>
    <w:rsid w:val="00744BBB"/>
    <w:rsid w:val="00744C21"/>
    <w:rsid w:val="00744E40"/>
    <w:rsid w:val="0074566D"/>
    <w:rsid w:val="00745828"/>
    <w:rsid w:val="0074590D"/>
    <w:rsid w:val="00745923"/>
    <w:rsid w:val="007459F8"/>
    <w:rsid w:val="00745B71"/>
    <w:rsid w:val="00745BF5"/>
    <w:rsid w:val="00745D96"/>
    <w:rsid w:val="007462B5"/>
    <w:rsid w:val="00746453"/>
    <w:rsid w:val="007464F7"/>
    <w:rsid w:val="00746671"/>
    <w:rsid w:val="0074683E"/>
    <w:rsid w:val="00746A06"/>
    <w:rsid w:val="00746BAA"/>
    <w:rsid w:val="00746C0B"/>
    <w:rsid w:val="00746CC5"/>
    <w:rsid w:val="007470D3"/>
    <w:rsid w:val="007472F7"/>
    <w:rsid w:val="00747486"/>
    <w:rsid w:val="0074757C"/>
    <w:rsid w:val="00747584"/>
    <w:rsid w:val="00747825"/>
    <w:rsid w:val="00747B03"/>
    <w:rsid w:val="00747DEC"/>
    <w:rsid w:val="0075062E"/>
    <w:rsid w:val="007508A1"/>
    <w:rsid w:val="00750DE7"/>
    <w:rsid w:val="00750FF2"/>
    <w:rsid w:val="00751035"/>
    <w:rsid w:val="00751065"/>
    <w:rsid w:val="00751096"/>
    <w:rsid w:val="00751848"/>
    <w:rsid w:val="00751944"/>
    <w:rsid w:val="00751DBE"/>
    <w:rsid w:val="007523A0"/>
    <w:rsid w:val="007526D5"/>
    <w:rsid w:val="00752F28"/>
    <w:rsid w:val="00752F6B"/>
    <w:rsid w:val="00752F81"/>
    <w:rsid w:val="007531B4"/>
    <w:rsid w:val="007532A9"/>
    <w:rsid w:val="0075337C"/>
    <w:rsid w:val="007535F2"/>
    <w:rsid w:val="00753728"/>
    <w:rsid w:val="00753839"/>
    <w:rsid w:val="007539F2"/>
    <w:rsid w:val="00754161"/>
    <w:rsid w:val="00754952"/>
    <w:rsid w:val="00754AC3"/>
    <w:rsid w:val="00754EF0"/>
    <w:rsid w:val="0075506A"/>
    <w:rsid w:val="007552B3"/>
    <w:rsid w:val="007553CA"/>
    <w:rsid w:val="0075558C"/>
    <w:rsid w:val="007557B5"/>
    <w:rsid w:val="00755AE8"/>
    <w:rsid w:val="00755C32"/>
    <w:rsid w:val="00755DAA"/>
    <w:rsid w:val="00755F05"/>
    <w:rsid w:val="00755FB9"/>
    <w:rsid w:val="007563CA"/>
    <w:rsid w:val="0075641B"/>
    <w:rsid w:val="00756424"/>
    <w:rsid w:val="007567A1"/>
    <w:rsid w:val="007567E4"/>
    <w:rsid w:val="00756987"/>
    <w:rsid w:val="0075699E"/>
    <w:rsid w:val="00756AFE"/>
    <w:rsid w:val="00756C1C"/>
    <w:rsid w:val="00756E0F"/>
    <w:rsid w:val="007572DE"/>
    <w:rsid w:val="00757688"/>
    <w:rsid w:val="00757B09"/>
    <w:rsid w:val="00757D0C"/>
    <w:rsid w:val="00760397"/>
    <w:rsid w:val="007605A3"/>
    <w:rsid w:val="007605E7"/>
    <w:rsid w:val="00760671"/>
    <w:rsid w:val="00760CA0"/>
    <w:rsid w:val="00760F09"/>
    <w:rsid w:val="00760F3F"/>
    <w:rsid w:val="00762362"/>
    <w:rsid w:val="00762950"/>
    <w:rsid w:val="00762A93"/>
    <w:rsid w:val="00762B41"/>
    <w:rsid w:val="00762C0F"/>
    <w:rsid w:val="00762C53"/>
    <w:rsid w:val="0076326F"/>
    <w:rsid w:val="00763809"/>
    <w:rsid w:val="00763B6D"/>
    <w:rsid w:val="00763E03"/>
    <w:rsid w:val="0076415A"/>
    <w:rsid w:val="0076477E"/>
    <w:rsid w:val="00764D87"/>
    <w:rsid w:val="00765052"/>
    <w:rsid w:val="007654A8"/>
    <w:rsid w:val="007656B9"/>
    <w:rsid w:val="00765779"/>
    <w:rsid w:val="007659F6"/>
    <w:rsid w:val="00765B1A"/>
    <w:rsid w:val="00766334"/>
    <w:rsid w:val="00766381"/>
    <w:rsid w:val="00766555"/>
    <w:rsid w:val="00766B6F"/>
    <w:rsid w:val="00766BC5"/>
    <w:rsid w:val="00767254"/>
    <w:rsid w:val="007677D8"/>
    <w:rsid w:val="00767B5A"/>
    <w:rsid w:val="00767C43"/>
    <w:rsid w:val="00767F88"/>
    <w:rsid w:val="0077018C"/>
    <w:rsid w:val="007701F8"/>
    <w:rsid w:val="0077029F"/>
    <w:rsid w:val="007706A3"/>
    <w:rsid w:val="007708FC"/>
    <w:rsid w:val="00770B79"/>
    <w:rsid w:val="00770C04"/>
    <w:rsid w:val="00770FFD"/>
    <w:rsid w:val="007714C5"/>
    <w:rsid w:val="00771C8E"/>
    <w:rsid w:val="00771E3E"/>
    <w:rsid w:val="0077228F"/>
    <w:rsid w:val="00772926"/>
    <w:rsid w:val="0077292D"/>
    <w:rsid w:val="00772ABB"/>
    <w:rsid w:val="00772B4D"/>
    <w:rsid w:val="00772CBC"/>
    <w:rsid w:val="00772CEB"/>
    <w:rsid w:val="00772CF8"/>
    <w:rsid w:val="00773248"/>
    <w:rsid w:val="0077355F"/>
    <w:rsid w:val="007737A2"/>
    <w:rsid w:val="00773A04"/>
    <w:rsid w:val="00773A26"/>
    <w:rsid w:val="00774731"/>
    <w:rsid w:val="00774A55"/>
    <w:rsid w:val="007754CF"/>
    <w:rsid w:val="00775677"/>
    <w:rsid w:val="0077598F"/>
    <w:rsid w:val="00775BFE"/>
    <w:rsid w:val="00775E5C"/>
    <w:rsid w:val="00775FC1"/>
    <w:rsid w:val="0077679A"/>
    <w:rsid w:val="0077717E"/>
    <w:rsid w:val="007776A5"/>
    <w:rsid w:val="007779CE"/>
    <w:rsid w:val="00777A51"/>
    <w:rsid w:val="00780D88"/>
    <w:rsid w:val="00781383"/>
    <w:rsid w:val="00781825"/>
    <w:rsid w:val="00781874"/>
    <w:rsid w:val="00781D8B"/>
    <w:rsid w:val="00782351"/>
    <w:rsid w:val="00782BF2"/>
    <w:rsid w:val="00783426"/>
    <w:rsid w:val="00783634"/>
    <w:rsid w:val="007838CC"/>
    <w:rsid w:val="00783973"/>
    <w:rsid w:val="00783D99"/>
    <w:rsid w:val="00783E0C"/>
    <w:rsid w:val="00783E59"/>
    <w:rsid w:val="0078409F"/>
    <w:rsid w:val="007847F9"/>
    <w:rsid w:val="007848EB"/>
    <w:rsid w:val="0078496B"/>
    <w:rsid w:val="00784CAB"/>
    <w:rsid w:val="00784FCA"/>
    <w:rsid w:val="007852B8"/>
    <w:rsid w:val="0078548C"/>
    <w:rsid w:val="007858CC"/>
    <w:rsid w:val="007858F1"/>
    <w:rsid w:val="00785926"/>
    <w:rsid w:val="0078592D"/>
    <w:rsid w:val="007864AA"/>
    <w:rsid w:val="007865AB"/>
    <w:rsid w:val="007865B4"/>
    <w:rsid w:val="007865E9"/>
    <w:rsid w:val="00786BAF"/>
    <w:rsid w:val="00786F1A"/>
    <w:rsid w:val="00786F58"/>
    <w:rsid w:val="007874AE"/>
    <w:rsid w:val="007875AD"/>
    <w:rsid w:val="00787E77"/>
    <w:rsid w:val="00787F19"/>
    <w:rsid w:val="0079027C"/>
    <w:rsid w:val="0079078C"/>
    <w:rsid w:val="00790A77"/>
    <w:rsid w:val="00790D94"/>
    <w:rsid w:val="00790FA7"/>
    <w:rsid w:val="007910CB"/>
    <w:rsid w:val="007915F1"/>
    <w:rsid w:val="007916FE"/>
    <w:rsid w:val="00791A28"/>
    <w:rsid w:val="00791B59"/>
    <w:rsid w:val="007920B4"/>
    <w:rsid w:val="007920CC"/>
    <w:rsid w:val="0079227A"/>
    <w:rsid w:val="00792838"/>
    <w:rsid w:val="00792E15"/>
    <w:rsid w:val="007931A4"/>
    <w:rsid w:val="00793476"/>
    <w:rsid w:val="00793673"/>
    <w:rsid w:val="00793993"/>
    <w:rsid w:val="007939D2"/>
    <w:rsid w:val="00793CC6"/>
    <w:rsid w:val="00793E23"/>
    <w:rsid w:val="00793F42"/>
    <w:rsid w:val="00794042"/>
    <w:rsid w:val="007941BC"/>
    <w:rsid w:val="007943EE"/>
    <w:rsid w:val="007948E8"/>
    <w:rsid w:val="0079498B"/>
    <w:rsid w:val="00794CB6"/>
    <w:rsid w:val="00794D13"/>
    <w:rsid w:val="00794D95"/>
    <w:rsid w:val="00794E49"/>
    <w:rsid w:val="00795070"/>
    <w:rsid w:val="00795270"/>
    <w:rsid w:val="007955FA"/>
    <w:rsid w:val="00795A78"/>
    <w:rsid w:val="00795AA2"/>
    <w:rsid w:val="00795C27"/>
    <w:rsid w:val="00795D55"/>
    <w:rsid w:val="00795EFE"/>
    <w:rsid w:val="00795F21"/>
    <w:rsid w:val="00795FCC"/>
    <w:rsid w:val="00796018"/>
    <w:rsid w:val="007960DF"/>
    <w:rsid w:val="00796A75"/>
    <w:rsid w:val="00796B21"/>
    <w:rsid w:val="00796B5D"/>
    <w:rsid w:val="00796E0E"/>
    <w:rsid w:val="00796FC8"/>
    <w:rsid w:val="00797750"/>
    <w:rsid w:val="007978E4"/>
    <w:rsid w:val="00797B03"/>
    <w:rsid w:val="007A0521"/>
    <w:rsid w:val="007A091B"/>
    <w:rsid w:val="007A0BD2"/>
    <w:rsid w:val="007A0C6E"/>
    <w:rsid w:val="007A1321"/>
    <w:rsid w:val="007A13C8"/>
    <w:rsid w:val="007A13D0"/>
    <w:rsid w:val="007A156D"/>
    <w:rsid w:val="007A168E"/>
    <w:rsid w:val="007A1CAE"/>
    <w:rsid w:val="007A1CF5"/>
    <w:rsid w:val="007A206A"/>
    <w:rsid w:val="007A249D"/>
    <w:rsid w:val="007A251F"/>
    <w:rsid w:val="007A288A"/>
    <w:rsid w:val="007A2923"/>
    <w:rsid w:val="007A2A9E"/>
    <w:rsid w:val="007A2FB8"/>
    <w:rsid w:val="007A33DA"/>
    <w:rsid w:val="007A33E7"/>
    <w:rsid w:val="007A3457"/>
    <w:rsid w:val="007A379F"/>
    <w:rsid w:val="007A3A4B"/>
    <w:rsid w:val="007A3BAA"/>
    <w:rsid w:val="007A4179"/>
    <w:rsid w:val="007A43C8"/>
    <w:rsid w:val="007A4A35"/>
    <w:rsid w:val="007A4A84"/>
    <w:rsid w:val="007A4CFD"/>
    <w:rsid w:val="007A5171"/>
    <w:rsid w:val="007A5405"/>
    <w:rsid w:val="007A5859"/>
    <w:rsid w:val="007A58F5"/>
    <w:rsid w:val="007A5C2C"/>
    <w:rsid w:val="007A6217"/>
    <w:rsid w:val="007A69D5"/>
    <w:rsid w:val="007A6A7F"/>
    <w:rsid w:val="007A6C70"/>
    <w:rsid w:val="007A6E96"/>
    <w:rsid w:val="007A76C8"/>
    <w:rsid w:val="007A79E7"/>
    <w:rsid w:val="007A7C2F"/>
    <w:rsid w:val="007A7C7E"/>
    <w:rsid w:val="007B0482"/>
    <w:rsid w:val="007B061E"/>
    <w:rsid w:val="007B0B18"/>
    <w:rsid w:val="007B120B"/>
    <w:rsid w:val="007B1D26"/>
    <w:rsid w:val="007B2110"/>
    <w:rsid w:val="007B2238"/>
    <w:rsid w:val="007B323E"/>
    <w:rsid w:val="007B34F4"/>
    <w:rsid w:val="007B35F3"/>
    <w:rsid w:val="007B368D"/>
    <w:rsid w:val="007B3845"/>
    <w:rsid w:val="007B3C33"/>
    <w:rsid w:val="007B3CC9"/>
    <w:rsid w:val="007B3F47"/>
    <w:rsid w:val="007B3F75"/>
    <w:rsid w:val="007B41AB"/>
    <w:rsid w:val="007B435F"/>
    <w:rsid w:val="007B4D71"/>
    <w:rsid w:val="007B4D8E"/>
    <w:rsid w:val="007B4D98"/>
    <w:rsid w:val="007B4E55"/>
    <w:rsid w:val="007B50CC"/>
    <w:rsid w:val="007B5414"/>
    <w:rsid w:val="007B5AD6"/>
    <w:rsid w:val="007B5BD1"/>
    <w:rsid w:val="007B6358"/>
    <w:rsid w:val="007B687C"/>
    <w:rsid w:val="007B6A2A"/>
    <w:rsid w:val="007B7447"/>
    <w:rsid w:val="007B7652"/>
    <w:rsid w:val="007B7670"/>
    <w:rsid w:val="007B7A94"/>
    <w:rsid w:val="007B7AED"/>
    <w:rsid w:val="007B7C40"/>
    <w:rsid w:val="007C04B8"/>
    <w:rsid w:val="007C0928"/>
    <w:rsid w:val="007C0BEA"/>
    <w:rsid w:val="007C0E0F"/>
    <w:rsid w:val="007C0E9C"/>
    <w:rsid w:val="007C0F6A"/>
    <w:rsid w:val="007C1001"/>
    <w:rsid w:val="007C127C"/>
    <w:rsid w:val="007C134C"/>
    <w:rsid w:val="007C17E8"/>
    <w:rsid w:val="007C1CFE"/>
    <w:rsid w:val="007C25EE"/>
    <w:rsid w:val="007C278F"/>
    <w:rsid w:val="007C2945"/>
    <w:rsid w:val="007C2A40"/>
    <w:rsid w:val="007C2EAF"/>
    <w:rsid w:val="007C3017"/>
    <w:rsid w:val="007C30D7"/>
    <w:rsid w:val="007C3339"/>
    <w:rsid w:val="007C33F8"/>
    <w:rsid w:val="007C3422"/>
    <w:rsid w:val="007C350D"/>
    <w:rsid w:val="007C3743"/>
    <w:rsid w:val="007C42C8"/>
    <w:rsid w:val="007C4F70"/>
    <w:rsid w:val="007C5556"/>
    <w:rsid w:val="007C55ED"/>
    <w:rsid w:val="007C56C6"/>
    <w:rsid w:val="007C5729"/>
    <w:rsid w:val="007C5E8D"/>
    <w:rsid w:val="007C60A0"/>
    <w:rsid w:val="007C611D"/>
    <w:rsid w:val="007C6633"/>
    <w:rsid w:val="007C6890"/>
    <w:rsid w:val="007C699D"/>
    <w:rsid w:val="007C6B98"/>
    <w:rsid w:val="007C7116"/>
    <w:rsid w:val="007C7222"/>
    <w:rsid w:val="007C7292"/>
    <w:rsid w:val="007C7369"/>
    <w:rsid w:val="007C7528"/>
    <w:rsid w:val="007C75EC"/>
    <w:rsid w:val="007C7F4F"/>
    <w:rsid w:val="007D0037"/>
    <w:rsid w:val="007D01DC"/>
    <w:rsid w:val="007D0780"/>
    <w:rsid w:val="007D08DB"/>
    <w:rsid w:val="007D099E"/>
    <w:rsid w:val="007D09B9"/>
    <w:rsid w:val="007D0C02"/>
    <w:rsid w:val="007D0F2C"/>
    <w:rsid w:val="007D1101"/>
    <w:rsid w:val="007D12C5"/>
    <w:rsid w:val="007D12E1"/>
    <w:rsid w:val="007D1319"/>
    <w:rsid w:val="007D17AF"/>
    <w:rsid w:val="007D1A4E"/>
    <w:rsid w:val="007D1DCD"/>
    <w:rsid w:val="007D2167"/>
    <w:rsid w:val="007D2181"/>
    <w:rsid w:val="007D28DE"/>
    <w:rsid w:val="007D2AED"/>
    <w:rsid w:val="007D2BEF"/>
    <w:rsid w:val="007D2E76"/>
    <w:rsid w:val="007D2EF3"/>
    <w:rsid w:val="007D3025"/>
    <w:rsid w:val="007D3158"/>
    <w:rsid w:val="007D3C3B"/>
    <w:rsid w:val="007D3DE3"/>
    <w:rsid w:val="007D3E68"/>
    <w:rsid w:val="007D3FA2"/>
    <w:rsid w:val="007D4364"/>
    <w:rsid w:val="007D47B1"/>
    <w:rsid w:val="007D4CFF"/>
    <w:rsid w:val="007D4F82"/>
    <w:rsid w:val="007D50B9"/>
    <w:rsid w:val="007D52A3"/>
    <w:rsid w:val="007D564C"/>
    <w:rsid w:val="007D59C4"/>
    <w:rsid w:val="007D5C8B"/>
    <w:rsid w:val="007D5E97"/>
    <w:rsid w:val="007D5F73"/>
    <w:rsid w:val="007D62A5"/>
    <w:rsid w:val="007D6B5B"/>
    <w:rsid w:val="007D6BDA"/>
    <w:rsid w:val="007D718F"/>
    <w:rsid w:val="007D73D0"/>
    <w:rsid w:val="007D749C"/>
    <w:rsid w:val="007D7B1C"/>
    <w:rsid w:val="007D7C0F"/>
    <w:rsid w:val="007D7EB8"/>
    <w:rsid w:val="007E0252"/>
    <w:rsid w:val="007E0790"/>
    <w:rsid w:val="007E0CA2"/>
    <w:rsid w:val="007E1491"/>
    <w:rsid w:val="007E1707"/>
    <w:rsid w:val="007E1753"/>
    <w:rsid w:val="007E188A"/>
    <w:rsid w:val="007E1EF0"/>
    <w:rsid w:val="007E1FF0"/>
    <w:rsid w:val="007E25C4"/>
    <w:rsid w:val="007E28E3"/>
    <w:rsid w:val="007E2D8B"/>
    <w:rsid w:val="007E2E62"/>
    <w:rsid w:val="007E2EFF"/>
    <w:rsid w:val="007E31B2"/>
    <w:rsid w:val="007E3335"/>
    <w:rsid w:val="007E365A"/>
    <w:rsid w:val="007E3697"/>
    <w:rsid w:val="007E385B"/>
    <w:rsid w:val="007E4083"/>
    <w:rsid w:val="007E48A4"/>
    <w:rsid w:val="007E48A6"/>
    <w:rsid w:val="007E4ADC"/>
    <w:rsid w:val="007E503D"/>
    <w:rsid w:val="007E5199"/>
    <w:rsid w:val="007E52D9"/>
    <w:rsid w:val="007E533A"/>
    <w:rsid w:val="007E599A"/>
    <w:rsid w:val="007E5D06"/>
    <w:rsid w:val="007E6410"/>
    <w:rsid w:val="007E6692"/>
    <w:rsid w:val="007E69B7"/>
    <w:rsid w:val="007E6C24"/>
    <w:rsid w:val="007E73F4"/>
    <w:rsid w:val="007E748A"/>
    <w:rsid w:val="007E74D4"/>
    <w:rsid w:val="007E76A0"/>
    <w:rsid w:val="007E7773"/>
    <w:rsid w:val="007E79D4"/>
    <w:rsid w:val="007E7AB2"/>
    <w:rsid w:val="007E7DB4"/>
    <w:rsid w:val="007E7EFB"/>
    <w:rsid w:val="007F0F8E"/>
    <w:rsid w:val="007F1165"/>
    <w:rsid w:val="007F19F3"/>
    <w:rsid w:val="007F1B10"/>
    <w:rsid w:val="007F1D1C"/>
    <w:rsid w:val="007F237A"/>
    <w:rsid w:val="007F2B8E"/>
    <w:rsid w:val="007F2C6F"/>
    <w:rsid w:val="007F2FE0"/>
    <w:rsid w:val="007F31D3"/>
    <w:rsid w:val="007F3692"/>
    <w:rsid w:val="007F3781"/>
    <w:rsid w:val="007F3A18"/>
    <w:rsid w:val="007F3A8B"/>
    <w:rsid w:val="007F3B9E"/>
    <w:rsid w:val="007F3C61"/>
    <w:rsid w:val="007F3C64"/>
    <w:rsid w:val="007F3D95"/>
    <w:rsid w:val="007F439E"/>
    <w:rsid w:val="007F4414"/>
    <w:rsid w:val="007F486F"/>
    <w:rsid w:val="007F49DA"/>
    <w:rsid w:val="007F4F45"/>
    <w:rsid w:val="007F53F2"/>
    <w:rsid w:val="007F5453"/>
    <w:rsid w:val="007F5F17"/>
    <w:rsid w:val="007F62C8"/>
    <w:rsid w:val="007F63B9"/>
    <w:rsid w:val="007F64B8"/>
    <w:rsid w:val="007F657B"/>
    <w:rsid w:val="007F65CF"/>
    <w:rsid w:val="007F6686"/>
    <w:rsid w:val="007F6BE7"/>
    <w:rsid w:val="007F6C09"/>
    <w:rsid w:val="007F6D5D"/>
    <w:rsid w:val="007F6E77"/>
    <w:rsid w:val="007F708C"/>
    <w:rsid w:val="007F70E6"/>
    <w:rsid w:val="007F7123"/>
    <w:rsid w:val="007F7A4C"/>
    <w:rsid w:val="007F7CE6"/>
    <w:rsid w:val="007F7D34"/>
    <w:rsid w:val="008004AE"/>
    <w:rsid w:val="00800859"/>
    <w:rsid w:val="00800C0B"/>
    <w:rsid w:val="00800D1C"/>
    <w:rsid w:val="00800E8D"/>
    <w:rsid w:val="00800FA9"/>
    <w:rsid w:val="0080134D"/>
    <w:rsid w:val="0080138A"/>
    <w:rsid w:val="008015E2"/>
    <w:rsid w:val="00801942"/>
    <w:rsid w:val="00801B0A"/>
    <w:rsid w:val="00801E92"/>
    <w:rsid w:val="008020AF"/>
    <w:rsid w:val="008023CB"/>
    <w:rsid w:val="00802691"/>
    <w:rsid w:val="008026F9"/>
    <w:rsid w:val="008028DA"/>
    <w:rsid w:val="00802D61"/>
    <w:rsid w:val="008031DA"/>
    <w:rsid w:val="008032BC"/>
    <w:rsid w:val="008033DD"/>
    <w:rsid w:val="008036B3"/>
    <w:rsid w:val="00803706"/>
    <w:rsid w:val="00803C5F"/>
    <w:rsid w:val="00803CAB"/>
    <w:rsid w:val="00803CAE"/>
    <w:rsid w:val="00803E31"/>
    <w:rsid w:val="008040D8"/>
    <w:rsid w:val="00804432"/>
    <w:rsid w:val="008044A0"/>
    <w:rsid w:val="0080472D"/>
    <w:rsid w:val="008049F5"/>
    <w:rsid w:val="00804D73"/>
    <w:rsid w:val="00805489"/>
    <w:rsid w:val="00805D74"/>
    <w:rsid w:val="00805E0B"/>
    <w:rsid w:val="0080628A"/>
    <w:rsid w:val="008069A1"/>
    <w:rsid w:val="0080773C"/>
    <w:rsid w:val="008078BE"/>
    <w:rsid w:val="00807B03"/>
    <w:rsid w:val="00807C38"/>
    <w:rsid w:val="00807D62"/>
    <w:rsid w:val="00807E95"/>
    <w:rsid w:val="008101B5"/>
    <w:rsid w:val="008103AD"/>
    <w:rsid w:val="008104A9"/>
    <w:rsid w:val="008105C8"/>
    <w:rsid w:val="0081098A"/>
    <w:rsid w:val="00810B70"/>
    <w:rsid w:val="00810D89"/>
    <w:rsid w:val="0081106D"/>
    <w:rsid w:val="00811210"/>
    <w:rsid w:val="008114D7"/>
    <w:rsid w:val="00811563"/>
    <w:rsid w:val="008118B1"/>
    <w:rsid w:val="00811C28"/>
    <w:rsid w:val="00811C46"/>
    <w:rsid w:val="0081228B"/>
    <w:rsid w:val="00812AB0"/>
    <w:rsid w:val="00812AE0"/>
    <w:rsid w:val="00812CE6"/>
    <w:rsid w:val="0081381A"/>
    <w:rsid w:val="00813C52"/>
    <w:rsid w:val="00814156"/>
    <w:rsid w:val="00814355"/>
    <w:rsid w:val="00814A4A"/>
    <w:rsid w:val="00814A55"/>
    <w:rsid w:val="00814B9A"/>
    <w:rsid w:val="00814BDA"/>
    <w:rsid w:val="00814C29"/>
    <w:rsid w:val="00814D5B"/>
    <w:rsid w:val="00815247"/>
    <w:rsid w:val="00815A9E"/>
    <w:rsid w:val="008161BF"/>
    <w:rsid w:val="0081631F"/>
    <w:rsid w:val="0081677C"/>
    <w:rsid w:val="00816911"/>
    <w:rsid w:val="00817125"/>
    <w:rsid w:val="008174CC"/>
    <w:rsid w:val="00817799"/>
    <w:rsid w:val="00820189"/>
    <w:rsid w:val="00820297"/>
    <w:rsid w:val="0082091C"/>
    <w:rsid w:val="00820C82"/>
    <w:rsid w:val="00820FFC"/>
    <w:rsid w:val="00821840"/>
    <w:rsid w:val="008218A7"/>
    <w:rsid w:val="008219B7"/>
    <w:rsid w:val="00821E72"/>
    <w:rsid w:val="00822379"/>
    <w:rsid w:val="00822893"/>
    <w:rsid w:val="00823033"/>
    <w:rsid w:val="0082309B"/>
    <w:rsid w:val="00823174"/>
    <w:rsid w:val="008235C1"/>
    <w:rsid w:val="0082362D"/>
    <w:rsid w:val="00823CA3"/>
    <w:rsid w:val="00823DDD"/>
    <w:rsid w:val="00823FD9"/>
    <w:rsid w:val="00824044"/>
    <w:rsid w:val="008243B7"/>
    <w:rsid w:val="0082468D"/>
    <w:rsid w:val="00824B09"/>
    <w:rsid w:val="00824C53"/>
    <w:rsid w:val="00824C99"/>
    <w:rsid w:val="008253BE"/>
    <w:rsid w:val="00825518"/>
    <w:rsid w:val="0082587E"/>
    <w:rsid w:val="00826584"/>
    <w:rsid w:val="0082664B"/>
    <w:rsid w:val="00826720"/>
    <w:rsid w:val="0082678A"/>
    <w:rsid w:val="00826EAB"/>
    <w:rsid w:val="00826EB4"/>
    <w:rsid w:val="00826F26"/>
    <w:rsid w:val="00827786"/>
    <w:rsid w:val="00827AA4"/>
    <w:rsid w:val="00827DEA"/>
    <w:rsid w:val="008301C0"/>
    <w:rsid w:val="00830272"/>
    <w:rsid w:val="008303B3"/>
    <w:rsid w:val="008303B4"/>
    <w:rsid w:val="00830908"/>
    <w:rsid w:val="00830D0D"/>
    <w:rsid w:val="00830FEF"/>
    <w:rsid w:val="00831890"/>
    <w:rsid w:val="00831983"/>
    <w:rsid w:val="008319AA"/>
    <w:rsid w:val="00831D1C"/>
    <w:rsid w:val="008324FB"/>
    <w:rsid w:val="00832530"/>
    <w:rsid w:val="008326DC"/>
    <w:rsid w:val="008327A0"/>
    <w:rsid w:val="00832937"/>
    <w:rsid w:val="0083297A"/>
    <w:rsid w:val="00832AF5"/>
    <w:rsid w:val="00832C09"/>
    <w:rsid w:val="00832E48"/>
    <w:rsid w:val="00833081"/>
    <w:rsid w:val="00833734"/>
    <w:rsid w:val="00833985"/>
    <w:rsid w:val="00833A6F"/>
    <w:rsid w:val="00833AF6"/>
    <w:rsid w:val="00833BE5"/>
    <w:rsid w:val="00834722"/>
    <w:rsid w:val="008347DA"/>
    <w:rsid w:val="0083492E"/>
    <w:rsid w:val="00834DA7"/>
    <w:rsid w:val="00835165"/>
    <w:rsid w:val="008351AD"/>
    <w:rsid w:val="0083538A"/>
    <w:rsid w:val="00835410"/>
    <w:rsid w:val="00835765"/>
    <w:rsid w:val="008357E8"/>
    <w:rsid w:val="00835C33"/>
    <w:rsid w:val="00835D16"/>
    <w:rsid w:val="00835E1D"/>
    <w:rsid w:val="00835EF7"/>
    <w:rsid w:val="00835F7B"/>
    <w:rsid w:val="0083632D"/>
    <w:rsid w:val="00836786"/>
    <w:rsid w:val="0083716F"/>
    <w:rsid w:val="0083745B"/>
    <w:rsid w:val="008375CF"/>
    <w:rsid w:val="008377CF"/>
    <w:rsid w:val="00837A44"/>
    <w:rsid w:val="00837BDA"/>
    <w:rsid w:val="00837C09"/>
    <w:rsid w:val="00837D6B"/>
    <w:rsid w:val="00837F33"/>
    <w:rsid w:val="0084039F"/>
    <w:rsid w:val="008403D5"/>
    <w:rsid w:val="008405D8"/>
    <w:rsid w:val="008406F9"/>
    <w:rsid w:val="00840C28"/>
    <w:rsid w:val="00840C4E"/>
    <w:rsid w:val="00840EA0"/>
    <w:rsid w:val="0084120D"/>
    <w:rsid w:val="00841584"/>
    <w:rsid w:val="00841684"/>
    <w:rsid w:val="008416E3"/>
    <w:rsid w:val="0084187F"/>
    <w:rsid w:val="00841A83"/>
    <w:rsid w:val="00841AC0"/>
    <w:rsid w:val="00841C35"/>
    <w:rsid w:val="0084202E"/>
    <w:rsid w:val="0084215D"/>
    <w:rsid w:val="00842455"/>
    <w:rsid w:val="0084298E"/>
    <w:rsid w:val="008431D0"/>
    <w:rsid w:val="00843819"/>
    <w:rsid w:val="0084390B"/>
    <w:rsid w:val="0084394F"/>
    <w:rsid w:val="00844244"/>
    <w:rsid w:val="00844292"/>
    <w:rsid w:val="00844626"/>
    <w:rsid w:val="00844A7A"/>
    <w:rsid w:val="00844D42"/>
    <w:rsid w:val="00844E24"/>
    <w:rsid w:val="00844E29"/>
    <w:rsid w:val="008450A2"/>
    <w:rsid w:val="0084570B"/>
    <w:rsid w:val="00845DB6"/>
    <w:rsid w:val="0084638B"/>
    <w:rsid w:val="00846A19"/>
    <w:rsid w:val="00846E15"/>
    <w:rsid w:val="00846FC5"/>
    <w:rsid w:val="00846FF9"/>
    <w:rsid w:val="0084735C"/>
    <w:rsid w:val="00847A50"/>
    <w:rsid w:val="00847D0B"/>
    <w:rsid w:val="008500B1"/>
    <w:rsid w:val="0085048F"/>
    <w:rsid w:val="00850531"/>
    <w:rsid w:val="00850805"/>
    <w:rsid w:val="00850987"/>
    <w:rsid w:val="00850CAB"/>
    <w:rsid w:val="00850DB2"/>
    <w:rsid w:val="00850F4B"/>
    <w:rsid w:val="00851008"/>
    <w:rsid w:val="0085111B"/>
    <w:rsid w:val="00851439"/>
    <w:rsid w:val="00851560"/>
    <w:rsid w:val="008516DA"/>
    <w:rsid w:val="00851DDD"/>
    <w:rsid w:val="00851DE4"/>
    <w:rsid w:val="00851E06"/>
    <w:rsid w:val="008522A8"/>
    <w:rsid w:val="008523EB"/>
    <w:rsid w:val="008523FA"/>
    <w:rsid w:val="008524B8"/>
    <w:rsid w:val="00852BAD"/>
    <w:rsid w:val="00852C3F"/>
    <w:rsid w:val="00853309"/>
    <w:rsid w:val="00853610"/>
    <w:rsid w:val="00853725"/>
    <w:rsid w:val="00853E35"/>
    <w:rsid w:val="00854240"/>
    <w:rsid w:val="00854365"/>
    <w:rsid w:val="00854505"/>
    <w:rsid w:val="00854539"/>
    <w:rsid w:val="00854584"/>
    <w:rsid w:val="00854A04"/>
    <w:rsid w:val="00854A15"/>
    <w:rsid w:val="00854A74"/>
    <w:rsid w:val="00854DE0"/>
    <w:rsid w:val="00854EAF"/>
    <w:rsid w:val="00854ED3"/>
    <w:rsid w:val="008550C0"/>
    <w:rsid w:val="00855720"/>
    <w:rsid w:val="00855DA8"/>
    <w:rsid w:val="00855FB0"/>
    <w:rsid w:val="0085625A"/>
    <w:rsid w:val="008563E0"/>
    <w:rsid w:val="00856616"/>
    <w:rsid w:val="0085674B"/>
    <w:rsid w:val="00856B9C"/>
    <w:rsid w:val="008570F8"/>
    <w:rsid w:val="00857262"/>
    <w:rsid w:val="008572E2"/>
    <w:rsid w:val="00857472"/>
    <w:rsid w:val="0085761D"/>
    <w:rsid w:val="00857F84"/>
    <w:rsid w:val="0086008A"/>
    <w:rsid w:val="00860793"/>
    <w:rsid w:val="008608AF"/>
    <w:rsid w:val="00860987"/>
    <w:rsid w:val="00860A94"/>
    <w:rsid w:val="00860AA2"/>
    <w:rsid w:val="00860E16"/>
    <w:rsid w:val="0086128F"/>
    <w:rsid w:val="008620D4"/>
    <w:rsid w:val="0086252B"/>
    <w:rsid w:val="00863666"/>
    <w:rsid w:val="00863F5F"/>
    <w:rsid w:val="0086447A"/>
    <w:rsid w:val="00864677"/>
    <w:rsid w:val="00864B2C"/>
    <w:rsid w:val="00864BA5"/>
    <w:rsid w:val="00864C71"/>
    <w:rsid w:val="008650EA"/>
    <w:rsid w:val="00866190"/>
    <w:rsid w:val="008661AF"/>
    <w:rsid w:val="008661D8"/>
    <w:rsid w:val="008668EC"/>
    <w:rsid w:val="00866ABD"/>
    <w:rsid w:val="00866F56"/>
    <w:rsid w:val="008677A4"/>
    <w:rsid w:val="00867AD4"/>
    <w:rsid w:val="00867C4D"/>
    <w:rsid w:val="008700EC"/>
    <w:rsid w:val="008705F2"/>
    <w:rsid w:val="008708B9"/>
    <w:rsid w:val="0087093D"/>
    <w:rsid w:val="0087099E"/>
    <w:rsid w:val="00870AA0"/>
    <w:rsid w:val="00870BA6"/>
    <w:rsid w:val="00870BAF"/>
    <w:rsid w:val="00870BF9"/>
    <w:rsid w:val="00871090"/>
    <w:rsid w:val="00871144"/>
    <w:rsid w:val="00871280"/>
    <w:rsid w:val="008712B0"/>
    <w:rsid w:val="0087145A"/>
    <w:rsid w:val="00871730"/>
    <w:rsid w:val="00871774"/>
    <w:rsid w:val="008719AF"/>
    <w:rsid w:val="008719FF"/>
    <w:rsid w:val="00871CC2"/>
    <w:rsid w:val="008723EB"/>
    <w:rsid w:val="00872646"/>
    <w:rsid w:val="00872671"/>
    <w:rsid w:val="00872876"/>
    <w:rsid w:val="00872C9A"/>
    <w:rsid w:val="00873912"/>
    <w:rsid w:val="008741E2"/>
    <w:rsid w:val="008743C4"/>
    <w:rsid w:val="00874883"/>
    <w:rsid w:val="0087492E"/>
    <w:rsid w:val="00874CE6"/>
    <w:rsid w:val="00874DC8"/>
    <w:rsid w:val="00874F00"/>
    <w:rsid w:val="00874FC5"/>
    <w:rsid w:val="008751D4"/>
    <w:rsid w:val="0087553C"/>
    <w:rsid w:val="0087571D"/>
    <w:rsid w:val="00875B16"/>
    <w:rsid w:val="00875CE3"/>
    <w:rsid w:val="00875DBF"/>
    <w:rsid w:val="00875DFE"/>
    <w:rsid w:val="00875F6D"/>
    <w:rsid w:val="00876269"/>
    <w:rsid w:val="0087632C"/>
    <w:rsid w:val="00876706"/>
    <w:rsid w:val="00876A21"/>
    <w:rsid w:val="00876E10"/>
    <w:rsid w:val="00877048"/>
    <w:rsid w:val="0087708E"/>
    <w:rsid w:val="008774BB"/>
    <w:rsid w:val="00877A6D"/>
    <w:rsid w:val="00877B7B"/>
    <w:rsid w:val="00880292"/>
    <w:rsid w:val="00880724"/>
    <w:rsid w:val="008819EE"/>
    <w:rsid w:val="00881A8F"/>
    <w:rsid w:val="00881C65"/>
    <w:rsid w:val="008820DF"/>
    <w:rsid w:val="0088216F"/>
    <w:rsid w:val="00882545"/>
    <w:rsid w:val="00882CF9"/>
    <w:rsid w:val="00882EB7"/>
    <w:rsid w:val="00883050"/>
    <w:rsid w:val="00883163"/>
    <w:rsid w:val="008838B8"/>
    <w:rsid w:val="00883BCC"/>
    <w:rsid w:val="00884065"/>
    <w:rsid w:val="008841D4"/>
    <w:rsid w:val="008842F2"/>
    <w:rsid w:val="008843DF"/>
    <w:rsid w:val="008851E7"/>
    <w:rsid w:val="00885203"/>
    <w:rsid w:val="008852A8"/>
    <w:rsid w:val="008854DF"/>
    <w:rsid w:val="0088576B"/>
    <w:rsid w:val="00885CFB"/>
    <w:rsid w:val="00885D3E"/>
    <w:rsid w:val="00885EF2"/>
    <w:rsid w:val="00885EFE"/>
    <w:rsid w:val="00886210"/>
    <w:rsid w:val="00886AF7"/>
    <w:rsid w:val="00886DE9"/>
    <w:rsid w:val="00886E53"/>
    <w:rsid w:val="00887307"/>
    <w:rsid w:val="00887876"/>
    <w:rsid w:val="00887894"/>
    <w:rsid w:val="00890A0A"/>
    <w:rsid w:val="00890ACC"/>
    <w:rsid w:val="00890BBC"/>
    <w:rsid w:val="0089106C"/>
    <w:rsid w:val="008912FF"/>
    <w:rsid w:val="008914A5"/>
    <w:rsid w:val="00891B65"/>
    <w:rsid w:val="00891BEF"/>
    <w:rsid w:val="00891D8A"/>
    <w:rsid w:val="00891E86"/>
    <w:rsid w:val="00891FB2"/>
    <w:rsid w:val="008922CF"/>
    <w:rsid w:val="008928D7"/>
    <w:rsid w:val="008934A6"/>
    <w:rsid w:val="00893A81"/>
    <w:rsid w:val="00893AF2"/>
    <w:rsid w:val="00893C6C"/>
    <w:rsid w:val="0089429D"/>
    <w:rsid w:val="00894DE5"/>
    <w:rsid w:val="00894F27"/>
    <w:rsid w:val="00895787"/>
    <w:rsid w:val="00895E07"/>
    <w:rsid w:val="00895E57"/>
    <w:rsid w:val="00896320"/>
    <w:rsid w:val="008963C3"/>
    <w:rsid w:val="008964F7"/>
    <w:rsid w:val="0089673A"/>
    <w:rsid w:val="00896768"/>
    <w:rsid w:val="00896832"/>
    <w:rsid w:val="00896AEB"/>
    <w:rsid w:val="00896B79"/>
    <w:rsid w:val="00896D01"/>
    <w:rsid w:val="00896E9B"/>
    <w:rsid w:val="008973DF"/>
    <w:rsid w:val="00897B1B"/>
    <w:rsid w:val="00897B64"/>
    <w:rsid w:val="00897F1F"/>
    <w:rsid w:val="008A079B"/>
    <w:rsid w:val="008A0D54"/>
    <w:rsid w:val="008A0E82"/>
    <w:rsid w:val="008A0F9C"/>
    <w:rsid w:val="008A15D9"/>
    <w:rsid w:val="008A18EF"/>
    <w:rsid w:val="008A1CC8"/>
    <w:rsid w:val="008A1DCC"/>
    <w:rsid w:val="008A1F46"/>
    <w:rsid w:val="008A2086"/>
    <w:rsid w:val="008A20C0"/>
    <w:rsid w:val="008A2121"/>
    <w:rsid w:val="008A28C8"/>
    <w:rsid w:val="008A2E96"/>
    <w:rsid w:val="008A32D9"/>
    <w:rsid w:val="008A36CE"/>
    <w:rsid w:val="008A3739"/>
    <w:rsid w:val="008A38D4"/>
    <w:rsid w:val="008A3902"/>
    <w:rsid w:val="008A3A2B"/>
    <w:rsid w:val="008A3D6F"/>
    <w:rsid w:val="008A408D"/>
    <w:rsid w:val="008A41FD"/>
    <w:rsid w:val="008A42AC"/>
    <w:rsid w:val="008A4AD5"/>
    <w:rsid w:val="008A4EAD"/>
    <w:rsid w:val="008A4F4B"/>
    <w:rsid w:val="008A50B3"/>
    <w:rsid w:val="008A5384"/>
    <w:rsid w:val="008A53FD"/>
    <w:rsid w:val="008A5A77"/>
    <w:rsid w:val="008A5ACB"/>
    <w:rsid w:val="008A5EE1"/>
    <w:rsid w:val="008A5FC0"/>
    <w:rsid w:val="008A601E"/>
    <w:rsid w:val="008A67CB"/>
    <w:rsid w:val="008A6857"/>
    <w:rsid w:val="008A6A1B"/>
    <w:rsid w:val="008A6A2F"/>
    <w:rsid w:val="008A6A5F"/>
    <w:rsid w:val="008A764B"/>
    <w:rsid w:val="008A7779"/>
    <w:rsid w:val="008A7971"/>
    <w:rsid w:val="008A7C50"/>
    <w:rsid w:val="008A7E75"/>
    <w:rsid w:val="008B00C3"/>
    <w:rsid w:val="008B047A"/>
    <w:rsid w:val="008B04A6"/>
    <w:rsid w:val="008B059A"/>
    <w:rsid w:val="008B0BBF"/>
    <w:rsid w:val="008B126B"/>
    <w:rsid w:val="008B12F7"/>
    <w:rsid w:val="008B13C3"/>
    <w:rsid w:val="008B19DC"/>
    <w:rsid w:val="008B1AFB"/>
    <w:rsid w:val="008B1D9A"/>
    <w:rsid w:val="008B1F18"/>
    <w:rsid w:val="008B25DF"/>
    <w:rsid w:val="008B28F5"/>
    <w:rsid w:val="008B2BCA"/>
    <w:rsid w:val="008B2CC0"/>
    <w:rsid w:val="008B2ECC"/>
    <w:rsid w:val="008B2FDF"/>
    <w:rsid w:val="008B302B"/>
    <w:rsid w:val="008B321E"/>
    <w:rsid w:val="008B3530"/>
    <w:rsid w:val="008B35E2"/>
    <w:rsid w:val="008B3875"/>
    <w:rsid w:val="008B3AD4"/>
    <w:rsid w:val="008B3B56"/>
    <w:rsid w:val="008B4204"/>
    <w:rsid w:val="008B42DB"/>
    <w:rsid w:val="008B4495"/>
    <w:rsid w:val="008B45E8"/>
    <w:rsid w:val="008B479C"/>
    <w:rsid w:val="008B482C"/>
    <w:rsid w:val="008B48EF"/>
    <w:rsid w:val="008B4AF2"/>
    <w:rsid w:val="008B4AFA"/>
    <w:rsid w:val="008B4F07"/>
    <w:rsid w:val="008B4F7C"/>
    <w:rsid w:val="008B54BF"/>
    <w:rsid w:val="008B54FD"/>
    <w:rsid w:val="008B604E"/>
    <w:rsid w:val="008B605B"/>
    <w:rsid w:val="008B6235"/>
    <w:rsid w:val="008B6298"/>
    <w:rsid w:val="008B67FB"/>
    <w:rsid w:val="008B6F6B"/>
    <w:rsid w:val="008B7666"/>
    <w:rsid w:val="008B7C3C"/>
    <w:rsid w:val="008B7C53"/>
    <w:rsid w:val="008B7CFE"/>
    <w:rsid w:val="008B7E1D"/>
    <w:rsid w:val="008C0047"/>
    <w:rsid w:val="008C02AC"/>
    <w:rsid w:val="008C05E1"/>
    <w:rsid w:val="008C070E"/>
    <w:rsid w:val="008C07A1"/>
    <w:rsid w:val="008C09DA"/>
    <w:rsid w:val="008C0B7F"/>
    <w:rsid w:val="008C0F25"/>
    <w:rsid w:val="008C1023"/>
    <w:rsid w:val="008C1643"/>
    <w:rsid w:val="008C1866"/>
    <w:rsid w:val="008C1C16"/>
    <w:rsid w:val="008C1DD4"/>
    <w:rsid w:val="008C1E30"/>
    <w:rsid w:val="008C242C"/>
    <w:rsid w:val="008C2672"/>
    <w:rsid w:val="008C268E"/>
    <w:rsid w:val="008C2A2A"/>
    <w:rsid w:val="008C2C4A"/>
    <w:rsid w:val="008C3251"/>
    <w:rsid w:val="008C32D8"/>
    <w:rsid w:val="008C3507"/>
    <w:rsid w:val="008C369C"/>
    <w:rsid w:val="008C3797"/>
    <w:rsid w:val="008C3898"/>
    <w:rsid w:val="008C3B30"/>
    <w:rsid w:val="008C3F26"/>
    <w:rsid w:val="008C4308"/>
    <w:rsid w:val="008C4AAC"/>
    <w:rsid w:val="008C4B41"/>
    <w:rsid w:val="008C515F"/>
    <w:rsid w:val="008C52CE"/>
    <w:rsid w:val="008C538C"/>
    <w:rsid w:val="008C54DE"/>
    <w:rsid w:val="008C551A"/>
    <w:rsid w:val="008C56E7"/>
    <w:rsid w:val="008C5A19"/>
    <w:rsid w:val="008C5A71"/>
    <w:rsid w:val="008C5B31"/>
    <w:rsid w:val="008C5DF3"/>
    <w:rsid w:val="008C6001"/>
    <w:rsid w:val="008C664A"/>
    <w:rsid w:val="008C6ADD"/>
    <w:rsid w:val="008C6BA2"/>
    <w:rsid w:val="008C70EC"/>
    <w:rsid w:val="008C7117"/>
    <w:rsid w:val="008C71D4"/>
    <w:rsid w:val="008C7561"/>
    <w:rsid w:val="008C78E8"/>
    <w:rsid w:val="008C7A44"/>
    <w:rsid w:val="008C7EF5"/>
    <w:rsid w:val="008C7F30"/>
    <w:rsid w:val="008D0509"/>
    <w:rsid w:val="008D064C"/>
    <w:rsid w:val="008D0B45"/>
    <w:rsid w:val="008D0B54"/>
    <w:rsid w:val="008D0FC8"/>
    <w:rsid w:val="008D11F3"/>
    <w:rsid w:val="008D1278"/>
    <w:rsid w:val="008D1645"/>
    <w:rsid w:val="008D1C87"/>
    <w:rsid w:val="008D1E65"/>
    <w:rsid w:val="008D2013"/>
    <w:rsid w:val="008D29A0"/>
    <w:rsid w:val="008D38EC"/>
    <w:rsid w:val="008D3BFE"/>
    <w:rsid w:val="008D3E95"/>
    <w:rsid w:val="008D3F75"/>
    <w:rsid w:val="008D3F8A"/>
    <w:rsid w:val="008D3FC4"/>
    <w:rsid w:val="008D4022"/>
    <w:rsid w:val="008D40B2"/>
    <w:rsid w:val="008D43BF"/>
    <w:rsid w:val="008D4AE3"/>
    <w:rsid w:val="008D4CBE"/>
    <w:rsid w:val="008D4E81"/>
    <w:rsid w:val="008D56D9"/>
    <w:rsid w:val="008D586C"/>
    <w:rsid w:val="008D5BFC"/>
    <w:rsid w:val="008D5C33"/>
    <w:rsid w:val="008D5E97"/>
    <w:rsid w:val="008D5EF2"/>
    <w:rsid w:val="008D606F"/>
    <w:rsid w:val="008D6217"/>
    <w:rsid w:val="008D632D"/>
    <w:rsid w:val="008D6372"/>
    <w:rsid w:val="008D6506"/>
    <w:rsid w:val="008D69C8"/>
    <w:rsid w:val="008D6A3B"/>
    <w:rsid w:val="008D6B63"/>
    <w:rsid w:val="008E00C6"/>
    <w:rsid w:val="008E0284"/>
    <w:rsid w:val="008E0BA3"/>
    <w:rsid w:val="008E0FFF"/>
    <w:rsid w:val="008E110D"/>
    <w:rsid w:val="008E11A1"/>
    <w:rsid w:val="008E15C2"/>
    <w:rsid w:val="008E1930"/>
    <w:rsid w:val="008E19CF"/>
    <w:rsid w:val="008E1CA9"/>
    <w:rsid w:val="008E2034"/>
    <w:rsid w:val="008E2098"/>
    <w:rsid w:val="008E22F2"/>
    <w:rsid w:val="008E2425"/>
    <w:rsid w:val="008E2636"/>
    <w:rsid w:val="008E26CE"/>
    <w:rsid w:val="008E2AD4"/>
    <w:rsid w:val="008E3158"/>
    <w:rsid w:val="008E38C6"/>
    <w:rsid w:val="008E3929"/>
    <w:rsid w:val="008E3A2E"/>
    <w:rsid w:val="008E3DC0"/>
    <w:rsid w:val="008E4177"/>
    <w:rsid w:val="008E4644"/>
    <w:rsid w:val="008E4822"/>
    <w:rsid w:val="008E4898"/>
    <w:rsid w:val="008E492F"/>
    <w:rsid w:val="008E4A48"/>
    <w:rsid w:val="008E4BA9"/>
    <w:rsid w:val="008E4F2B"/>
    <w:rsid w:val="008E50F7"/>
    <w:rsid w:val="008E5124"/>
    <w:rsid w:val="008E58AA"/>
    <w:rsid w:val="008E5C64"/>
    <w:rsid w:val="008E619A"/>
    <w:rsid w:val="008E6839"/>
    <w:rsid w:val="008E6947"/>
    <w:rsid w:val="008E6D6C"/>
    <w:rsid w:val="008E6E21"/>
    <w:rsid w:val="008E6E4B"/>
    <w:rsid w:val="008E79AF"/>
    <w:rsid w:val="008E7DB1"/>
    <w:rsid w:val="008E7E83"/>
    <w:rsid w:val="008F01A6"/>
    <w:rsid w:val="008F02D2"/>
    <w:rsid w:val="008F0351"/>
    <w:rsid w:val="008F038B"/>
    <w:rsid w:val="008F03FA"/>
    <w:rsid w:val="008F066A"/>
    <w:rsid w:val="008F0673"/>
    <w:rsid w:val="008F09E3"/>
    <w:rsid w:val="008F0A79"/>
    <w:rsid w:val="008F0B66"/>
    <w:rsid w:val="008F0C43"/>
    <w:rsid w:val="008F11C9"/>
    <w:rsid w:val="008F12F0"/>
    <w:rsid w:val="008F13DE"/>
    <w:rsid w:val="008F159E"/>
    <w:rsid w:val="008F219E"/>
    <w:rsid w:val="008F2B7B"/>
    <w:rsid w:val="008F2EA1"/>
    <w:rsid w:val="008F31B4"/>
    <w:rsid w:val="008F33E5"/>
    <w:rsid w:val="008F36FE"/>
    <w:rsid w:val="008F3829"/>
    <w:rsid w:val="008F3DE1"/>
    <w:rsid w:val="008F3F66"/>
    <w:rsid w:val="008F3F6A"/>
    <w:rsid w:val="008F4035"/>
    <w:rsid w:val="008F41F7"/>
    <w:rsid w:val="008F428B"/>
    <w:rsid w:val="008F42AE"/>
    <w:rsid w:val="008F4371"/>
    <w:rsid w:val="008F4416"/>
    <w:rsid w:val="008F44EC"/>
    <w:rsid w:val="008F47B4"/>
    <w:rsid w:val="008F4A06"/>
    <w:rsid w:val="008F4A2C"/>
    <w:rsid w:val="008F4A93"/>
    <w:rsid w:val="008F529A"/>
    <w:rsid w:val="008F52A3"/>
    <w:rsid w:val="008F5B62"/>
    <w:rsid w:val="008F5CA8"/>
    <w:rsid w:val="008F5E2F"/>
    <w:rsid w:val="008F6091"/>
    <w:rsid w:val="008F64BC"/>
    <w:rsid w:val="008F6537"/>
    <w:rsid w:val="008F6AEC"/>
    <w:rsid w:val="008F6CB7"/>
    <w:rsid w:val="008F6DEE"/>
    <w:rsid w:val="008F6F8C"/>
    <w:rsid w:val="008F716F"/>
    <w:rsid w:val="008F77CB"/>
    <w:rsid w:val="008F7A06"/>
    <w:rsid w:val="009003FB"/>
    <w:rsid w:val="00900CF5"/>
    <w:rsid w:val="00900D19"/>
    <w:rsid w:val="009012CF"/>
    <w:rsid w:val="0090136A"/>
    <w:rsid w:val="0090143E"/>
    <w:rsid w:val="0090185B"/>
    <w:rsid w:val="00901B0A"/>
    <w:rsid w:val="00901B3C"/>
    <w:rsid w:val="00901C10"/>
    <w:rsid w:val="00901E0A"/>
    <w:rsid w:val="0090222F"/>
    <w:rsid w:val="0090247E"/>
    <w:rsid w:val="00902506"/>
    <w:rsid w:val="00902535"/>
    <w:rsid w:val="0090266A"/>
    <w:rsid w:val="00902A60"/>
    <w:rsid w:val="00902F52"/>
    <w:rsid w:val="009030E4"/>
    <w:rsid w:val="00903206"/>
    <w:rsid w:val="00903775"/>
    <w:rsid w:val="0090393D"/>
    <w:rsid w:val="00903DD1"/>
    <w:rsid w:val="00903F36"/>
    <w:rsid w:val="00903F3E"/>
    <w:rsid w:val="00903FDD"/>
    <w:rsid w:val="00904207"/>
    <w:rsid w:val="00904477"/>
    <w:rsid w:val="00904596"/>
    <w:rsid w:val="009045CE"/>
    <w:rsid w:val="00904663"/>
    <w:rsid w:val="009047F4"/>
    <w:rsid w:val="00904817"/>
    <w:rsid w:val="009048B1"/>
    <w:rsid w:val="00904BA5"/>
    <w:rsid w:val="00904D4C"/>
    <w:rsid w:val="00905501"/>
    <w:rsid w:val="009055DA"/>
    <w:rsid w:val="00905D6D"/>
    <w:rsid w:val="00905E1A"/>
    <w:rsid w:val="00906D73"/>
    <w:rsid w:val="009078B5"/>
    <w:rsid w:val="00907AB5"/>
    <w:rsid w:val="00907C99"/>
    <w:rsid w:val="00907DD8"/>
    <w:rsid w:val="0091043A"/>
    <w:rsid w:val="0091047F"/>
    <w:rsid w:val="00910AB1"/>
    <w:rsid w:val="00910B91"/>
    <w:rsid w:val="00910E57"/>
    <w:rsid w:val="009111DE"/>
    <w:rsid w:val="00911216"/>
    <w:rsid w:val="009116D8"/>
    <w:rsid w:val="00911880"/>
    <w:rsid w:val="00911ECA"/>
    <w:rsid w:val="00912045"/>
    <w:rsid w:val="00912742"/>
    <w:rsid w:val="009131BC"/>
    <w:rsid w:val="00913E7A"/>
    <w:rsid w:val="00913F70"/>
    <w:rsid w:val="00913F71"/>
    <w:rsid w:val="0091408C"/>
    <w:rsid w:val="0091459C"/>
    <w:rsid w:val="00914934"/>
    <w:rsid w:val="00914BEF"/>
    <w:rsid w:val="00914FA2"/>
    <w:rsid w:val="009150AE"/>
    <w:rsid w:val="009157C8"/>
    <w:rsid w:val="009158ED"/>
    <w:rsid w:val="00915A73"/>
    <w:rsid w:val="00915B63"/>
    <w:rsid w:val="00915D06"/>
    <w:rsid w:val="00915D61"/>
    <w:rsid w:val="00916060"/>
    <w:rsid w:val="0091663E"/>
    <w:rsid w:val="00916976"/>
    <w:rsid w:val="00916D4C"/>
    <w:rsid w:val="00916DD8"/>
    <w:rsid w:val="00916E64"/>
    <w:rsid w:val="00916E83"/>
    <w:rsid w:val="0091702D"/>
    <w:rsid w:val="009171A6"/>
    <w:rsid w:val="009173F0"/>
    <w:rsid w:val="00917523"/>
    <w:rsid w:val="00917801"/>
    <w:rsid w:val="0091782D"/>
    <w:rsid w:val="00917AE3"/>
    <w:rsid w:val="00917E02"/>
    <w:rsid w:val="00920087"/>
    <w:rsid w:val="00920150"/>
    <w:rsid w:val="009207C4"/>
    <w:rsid w:val="00920AD6"/>
    <w:rsid w:val="00920B8B"/>
    <w:rsid w:val="00920C65"/>
    <w:rsid w:val="00920FDB"/>
    <w:rsid w:val="0092102A"/>
    <w:rsid w:val="009210CF"/>
    <w:rsid w:val="00921234"/>
    <w:rsid w:val="0092171D"/>
    <w:rsid w:val="0092178C"/>
    <w:rsid w:val="00921FC1"/>
    <w:rsid w:val="0092201E"/>
    <w:rsid w:val="009220D4"/>
    <w:rsid w:val="009223BB"/>
    <w:rsid w:val="00922E11"/>
    <w:rsid w:val="00923607"/>
    <w:rsid w:val="00923612"/>
    <w:rsid w:val="00923704"/>
    <w:rsid w:val="009237C3"/>
    <w:rsid w:val="00923BB0"/>
    <w:rsid w:val="00923E7E"/>
    <w:rsid w:val="009241FC"/>
    <w:rsid w:val="00924697"/>
    <w:rsid w:val="00924BD5"/>
    <w:rsid w:val="0092510D"/>
    <w:rsid w:val="00925142"/>
    <w:rsid w:val="009253F7"/>
    <w:rsid w:val="0092547B"/>
    <w:rsid w:val="009256CB"/>
    <w:rsid w:val="00925F29"/>
    <w:rsid w:val="0092649D"/>
    <w:rsid w:val="0092693B"/>
    <w:rsid w:val="00926CF9"/>
    <w:rsid w:val="00926E03"/>
    <w:rsid w:val="00927B5F"/>
    <w:rsid w:val="00927BE2"/>
    <w:rsid w:val="0093021C"/>
    <w:rsid w:val="009302C3"/>
    <w:rsid w:val="0093039C"/>
    <w:rsid w:val="00930426"/>
    <w:rsid w:val="00930700"/>
    <w:rsid w:val="00930AC8"/>
    <w:rsid w:val="00931355"/>
    <w:rsid w:val="009314EA"/>
    <w:rsid w:val="00931511"/>
    <w:rsid w:val="009318EA"/>
    <w:rsid w:val="00931A3F"/>
    <w:rsid w:val="00931E8F"/>
    <w:rsid w:val="009321AB"/>
    <w:rsid w:val="0093282F"/>
    <w:rsid w:val="00932853"/>
    <w:rsid w:val="00932B3D"/>
    <w:rsid w:val="00932BF7"/>
    <w:rsid w:val="00932CAC"/>
    <w:rsid w:val="00932DBB"/>
    <w:rsid w:val="00933033"/>
    <w:rsid w:val="009331BD"/>
    <w:rsid w:val="009331D4"/>
    <w:rsid w:val="009333D0"/>
    <w:rsid w:val="009333DA"/>
    <w:rsid w:val="009337B3"/>
    <w:rsid w:val="009337FC"/>
    <w:rsid w:val="00933C58"/>
    <w:rsid w:val="00933FA9"/>
    <w:rsid w:val="009340A5"/>
    <w:rsid w:val="009340B3"/>
    <w:rsid w:val="00934D98"/>
    <w:rsid w:val="00934DF8"/>
    <w:rsid w:val="00934FF6"/>
    <w:rsid w:val="0093512D"/>
    <w:rsid w:val="00935501"/>
    <w:rsid w:val="009356FF"/>
    <w:rsid w:val="00935D69"/>
    <w:rsid w:val="00935F53"/>
    <w:rsid w:val="00936382"/>
    <w:rsid w:val="00936C11"/>
    <w:rsid w:val="00936D5F"/>
    <w:rsid w:val="00936D8C"/>
    <w:rsid w:val="00936F7B"/>
    <w:rsid w:val="00936FAD"/>
    <w:rsid w:val="00937099"/>
    <w:rsid w:val="009372A3"/>
    <w:rsid w:val="009373C5"/>
    <w:rsid w:val="00937488"/>
    <w:rsid w:val="0093760E"/>
    <w:rsid w:val="00937730"/>
    <w:rsid w:val="00937B56"/>
    <w:rsid w:val="00937B66"/>
    <w:rsid w:val="00937C45"/>
    <w:rsid w:val="00937F3B"/>
    <w:rsid w:val="00940105"/>
    <w:rsid w:val="009407D4"/>
    <w:rsid w:val="00941196"/>
    <w:rsid w:val="00941757"/>
    <w:rsid w:val="00941D66"/>
    <w:rsid w:val="0094219B"/>
    <w:rsid w:val="00942686"/>
    <w:rsid w:val="00942AA3"/>
    <w:rsid w:val="00942CBB"/>
    <w:rsid w:val="00942D01"/>
    <w:rsid w:val="00943378"/>
    <w:rsid w:val="00943B5F"/>
    <w:rsid w:val="00943CFB"/>
    <w:rsid w:val="00943F84"/>
    <w:rsid w:val="00943FAD"/>
    <w:rsid w:val="00944ACB"/>
    <w:rsid w:val="00944BA8"/>
    <w:rsid w:val="00944CA0"/>
    <w:rsid w:val="00944D66"/>
    <w:rsid w:val="00944E15"/>
    <w:rsid w:val="00944EEB"/>
    <w:rsid w:val="00945235"/>
    <w:rsid w:val="00945310"/>
    <w:rsid w:val="009453FC"/>
    <w:rsid w:val="0094543C"/>
    <w:rsid w:val="0094584C"/>
    <w:rsid w:val="009462EB"/>
    <w:rsid w:val="00946649"/>
    <w:rsid w:val="009467AA"/>
    <w:rsid w:val="0094685D"/>
    <w:rsid w:val="00946888"/>
    <w:rsid w:val="00946893"/>
    <w:rsid w:val="0094727A"/>
    <w:rsid w:val="00947575"/>
    <w:rsid w:val="009475E8"/>
    <w:rsid w:val="00947BA3"/>
    <w:rsid w:val="00947FE8"/>
    <w:rsid w:val="009502D2"/>
    <w:rsid w:val="009502DA"/>
    <w:rsid w:val="0095081F"/>
    <w:rsid w:val="00950E5B"/>
    <w:rsid w:val="00951218"/>
    <w:rsid w:val="009512BD"/>
    <w:rsid w:val="00951604"/>
    <w:rsid w:val="0095176B"/>
    <w:rsid w:val="00951A42"/>
    <w:rsid w:val="00952262"/>
    <w:rsid w:val="0095233E"/>
    <w:rsid w:val="0095244C"/>
    <w:rsid w:val="0095261E"/>
    <w:rsid w:val="0095272F"/>
    <w:rsid w:val="00952DB7"/>
    <w:rsid w:val="00952E53"/>
    <w:rsid w:val="0095328E"/>
    <w:rsid w:val="00953BE9"/>
    <w:rsid w:val="00953E5A"/>
    <w:rsid w:val="0095415D"/>
    <w:rsid w:val="00954166"/>
    <w:rsid w:val="009548DF"/>
    <w:rsid w:val="009548E5"/>
    <w:rsid w:val="00954EB0"/>
    <w:rsid w:val="0095522F"/>
    <w:rsid w:val="009554A1"/>
    <w:rsid w:val="009558DD"/>
    <w:rsid w:val="00955979"/>
    <w:rsid w:val="00955C94"/>
    <w:rsid w:val="00955C9E"/>
    <w:rsid w:val="00956149"/>
    <w:rsid w:val="00956203"/>
    <w:rsid w:val="009562E1"/>
    <w:rsid w:val="00956A91"/>
    <w:rsid w:val="00956C1D"/>
    <w:rsid w:val="00957234"/>
    <w:rsid w:val="009577DC"/>
    <w:rsid w:val="009577FC"/>
    <w:rsid w:val="00957D46"/>
    <w:rsid w:val="00957F71"/>
    <w:rsid w:val="00960038"/>
    <w:rsid w:val="00960214"/>
    <w:rsid w:val="009606D4"/>
    <w:rsid w:val="0096092C"/>
    <w:rsid w:val="00960AE8"/>
    <w:rsid w:val="0096151E"/>
    <w:rsid w:val="00961AC2"/>
    <w:rsid w:val="00961ADE"/>
    <w:rsid w:val="00961B1C"/>
    <w:rsid w:val="00961C21"/>
    <w:rsid w:val="00961CCE"/>
    <w:rsid w:val="0096278F"/>
    <w:rsid w:val="00962913"/>
    <w:rsid w:val="00962B38"/>
    <w:rsid w:val="00962B84"/>
    <w:rsid w:val="00962CF6"/>
    <w:rsid w:val="00962E89"/>
    <w:rsid w:val="00962ED6"/>
    <w:rsid w:val="009630BA"/>
    <w:rsid w:val="009631C0"/>
    <w:rsid w:val="009634A0"/>
    <w:rsid w:val="00963633"/>
    <w:rsid w:val="0096380D"/>
    <w:rsid w:val="00963B94"/>
    <w:rsid w:val="00963DD8"/>
    <w:rsid w:val="00963F69"/>
    <w:rsid w:val="009647AC"/>
    <w:rsid w:val="00964A7F"/>
    <w:rsid w:val="00964A80"/>
    <w:rsid w:val="00964AAC"/>
    <w:rsid w:val="00964B51"/>
    <w:rsid w:val="00964DA8"/>
    <w:rsid w:val="00964DB8"/>
    <w:rsid w:val="0096509B"/>
    <w:rsid w:val="00965136"/>
    <w:rsid w:val="0096517E"/>
    <w:rsid w:val="009653AA"/>
    <w:rsid w:val="009659B9"/>
    <w:rsid w:val="009659D5"/>
    <w:rsid w:val="00965FC7"/>
    <w:rsid w:val="00965FF6"/>
    <w:rsid w:val="00966391"/>
    <w:rsid w:val="00966496"/>
    <w:rsid w:val="0096689A"/>
    <w:rsid w:val="009668A0"/>
    <w:rsid w:val="00966A1A"/>
    <w:rsid w:val="00966A82"/>
    <w:rsid w:val="00966F9A"/>
    <w:rsid w:val="00967009"/>
    <w:rsid w:val="009670DF"/>
    <w:rsid w:val="009671E7"/>
    <w:rsid w:val="00967720"/>
    <w:rsid w:val="00967C7F"/>
    <w:rsid w:val="00967D5A"/>
    <w:rsid w:val="00970017"/>
    <w:rsid w:val="009702F0"/>
    <w:rsid w:val="00970507"/>
    <w:rsid w:val="00970593"/>
    <w:rsid w:val="009707E0"/>
    <w:rsid w:val="009709E2"/>
    <w:rsid w:val="00970AE6"/>
    <w:rsid w:val="00970CDA"/>
    <w:rsid w:val="00970E45"/>
    <w:rsid w:val="00970EFE"/>
    <w:rsid w:val="00971778"/>
    <w:rsid w:val="00971ECB"/>
    <w:rsid w:val="00972151"/>
    <w:rsid w:val="00972494"/>
    <w:rsid w:val="009727AE"/>
    <w:rsid w:val="00972A90"/>
    <w:rsid w:val="00972B80"/>
    <w:rsid w:val="00972C05"/>
    <w:rsid w:val="00972F22"/>
    <w:rsid w:val="00973271"/>
    <w:rsid w:val="00973321"/>
    <w:rsid w:val="009734D4"/>
    <w:rsid w:val="00973517"/>
    <w:rsid w:val="00973572"/>
    <w:rsid w:val="0097361A"/>
    <w:rsid w:val="00973930"/>
    <w:rsid w:val="00973F35"/>
    <w:rsid w:val="009746CA"/>
    <w:rsid w:val="00974930"/>
    <w:rsid w:val="00974C1E"/>
    <w:rsid w:val="00974D00"/>
    <w:rsid w:val="009750A3"/>
    <w:rsid w:val="00975818"/>
    <w:rsid w:val="009758EA"/>
    <w:rsid w:val="00975915"/>
    <w:rsid w:val="00975A3A"/>
    <w:rsid w:val="00975A5C"/>
    <w:rsid w:val="009762D5"/>
    <w:rsid w:val="0097650E"/>
    <w:rsid w:val="00976854"/>
    <w:rsid w:val="009768B4"/>
    <w:rsid w:val="009768FA"/>
    <w:rsid w:val="009769EC"/>
    <w:rsid w:val="00976C08"/>
    <w:rsid w:val="0097701A"/>
    <w:rsid w:val="009770BD"/>
    <w:rsid w:val="00977826"/>
    <w:rsid w:val="00977B5B"/>
    <w:rsid w:val="00977F28"/>
    <w:rsid w:val="0098005D"/>
    <w:rsid w:val="0098015D"/>
    <w:rsid w:val="009802CD"/>
    <w:rsid w:val="0098044A"/>
    <w:rsid w:val="00980704"/>
    <w:rsid w:val="00980F2E"/>
    <w:rsid w:val="00980F9E"/>
    <w:rsid w:val="00981288"/>
    <w:rsid w:val="00981479"/>
    <w:rsid w:val="00981604"/>
    <w:rsid w:val="009819D2"/>
    <w:rsid w:val="00982187"/>
    <w:rsid w:val="00982197"/>
    <w:rsid w:val="00982348"/>
    <w:rsid w:val="00982626"/>
    <w:rsid w:val="0098283B"/>
    <w:rsid w:val="009829EB"/>
    <w:rsid w:val="00982C29"/>
    <w:rsid w:val="00982EC8"/>
    <w:rsid w:val="0098303E"/>
    <w:rsid w:val="00983519"/>
    <w:rsid w:val="0098372C"/>
    <w:rsid w:val="00983A03"/>
    <w:rsid w:val="00983A62"/>
    <w:rsid w:val="00983E12"/>
    <w:rsid w:val="009842C8"/>
    <w:rsid w:val="0098451F"/>
    <w:rsid w:val="009849A7"/>
    <w:rsid w:val="009849A8"/>
    <w:rsid w:val="00984B6D"/>
    <w:rsid w:val="009852B9"/>
    <w:rsid w:val="009853AE"/>
    <w:rsid w:val="0098578D"/>
    <w:rsid w:val="009859A4"/>
    <w:rsid w:val="00985A61"/>
    <w:rsid w:val="00985B2F"/>
    <w:rsid w:val="009864A0"/>
    <w:rsid w:val="009866B2"/>
    <w:rsid w:val="009867C5"/>
    <w:rsid w:val="00986FDA"/>
    <w:rsid w:val="0098709B"/>
    <w:rsid w:val="00987424"/>
    <w:rsid w:val="00987962"/>
    <w:rsid w:val="00987F15"/>
    <w:rsid w:val="009900B1"/>
    <w:rsid w:val="0099047A"/>
    <w:rsid w:val="0099047D"/>
    <w:rsid w:val="0099054B"/>
    <w:rsid w:val="009907A7"/>
    <w:rsid w:val="00990E9D"/>
    <w:rsid w:val="00991D5E"/>
    <w:rsid w:val="0099236E"/>
    <w:rsid w:val="00992D8F"/>
    <w:rsid w:val="00992F67"/>
    <w:rsid w:val="00992F72"/>
    <w:rsid w:val="00993414"/>
    <w:rsid w:val="009934AC"/>
    <w:rsid w:val="009937A8"/>
    <w:rsid w:val="00993D14"/>
    <w:rsid w:val="00993E90"/>
    <w:rsid w:val="009940C7"/>
    <w:rsid w:val="009941A6"/>
    <w:rsid w:val="0099430E"/>
    <w:rsid w:val="009943AB"/>
    <w:rsid w:val="00994592"/>
    <w:rsid w:val="009947AB"/>
    <w:rsid w:val="00994A12"/>
    <w:rsid w:val="00994ABD"/>
    <w:rsid w:val="00994B48"/>
    <w:rsid w:val="00994C50"/>
    <w:rsid w:val="00994CA6"/>
    <w:rsid w:val="00995565"/>
    <w:rsid w:val="009955C4"/>
    <w:rsid w:val="00995A44"/>
    <w:rsid w:val="00995B7D"/>
    <w:rsid w:val="0099666D"/>
    <w:rsid w:val="00996B77"/>
    <w:rsid w:val="00996C90"/>
    <w:rsid w:val="00996D7E"/>
    <w:rsid w:val="0099741B"/>
    <w:rsid w:val="009974C3"/>
    <w:rsid w:val="00997888"/>
    <w:rsid w:val="00997CB3"/>
    <w:rsid w:val="00997D2A"/>
    <w:rsid w:val="009A018F"/>
    <w:rsid w:val="009A0562"/>
    <w:rsid w:val="009A0733"/>
    <w:rsid w:val="009A09A8"/>
    <w:rsid w:val="009A0B57"/>
    <w:rsid w:val="009A1337"/>
    <w:rsid w:val="009A162B"/>
    <w:rsid w:val="009A1715"/>
    <w:rsid w:val="009A1862"/>
    <w:rsid w:val="009A1B5A"/>
    <w:rsid w:val="009A1B6A"/>
    <w:rsid w:val="009A1CF8"/>
    <w:rsid w:val="009A1E50"/>
    <w:rsid w:val="009A2181"/>
    <w:rsid w:val="009A2520"/>
    <w:rsid w:val="009A2A5B"/>
    <w:rsid w:val="009A2CD1"/>
    <w:rsid w:val="009A3034"/>
    <w:rsid w:val="009A33F0"/>
    <w:rsid w:val="009A389E"/>
    <w:rsid w:val="009A3AE6"/>
    <w:rsid w:val="009A3DD9"/>
    <w:rsid w:val="009A441A"/>
    <w:rsid w:val="009A4A23"/>
    <w:rsid w:val="009A4AF8"/>
    <w:rsid w:val="009A4D36"/>
    <w:rsid w:val="009A4F9E"/>
    <w:rsid w:val="009A4FDD"/>
    <w:rsid w:val="009A526A"/>
    <w:rsid w:val="009A5935"/>
    <w:rsid w:val="009A5A09"/>
    <w:rsid w:val="009A5B93"/>
    <w:rsid w:val="009A62E9"/>
    <w:rsid w:val="009A67A0"/>
    <w:rsid w:val="009A67C3"/>
    <w:rsid w:val="009A68E6"/>
    <w:rsid w:val="009A6982"/>
    <w:rsid w:val="009A69F5"/>
    <w:rsid w:val="009A702D"/>
    <w:rsid w:val="009A71E6"/>
    <w:rsid w:val="009A7ABE"/>
    <w:rsid w:val="009A7B0C"/>
    <w:rsid w:val="009A7C9A"/>
    <w:rsid w:val="009B00E4"/>
    <w:rsid w:val="009B0174"/>
    <w:rsid w:val="009B02B4"/>
    <w:rsid w:val="009B0320"/>
    <w:rsid w:val="009B0ABC"/>
    <w:rsid w:val="009B0E57"/>
    <w:rsid w:val="009B0E75"/>
    <w:rsid w:val="009B1BB5"/>
    <w:rsid w:val="009B1BF8"/>
    <w:rsid w:val="009B1DA0"/>
    <w:rsid w:val="009B2005"/>
    <w:rsid w:val="009B2156"/>
    <w:rsid w:val="009B21F1"/>
    <w:rsid w:val="009B23FE"/>
    <w:rsid w:val="009B2630"/>
    <w:rsid w:val="009B26BD"/>
    <w:rsid w:val="009B280D"/>
    <w:rsid w:val="009B294F"/>
    <w:rsid w:val="009B2ABD"/>
    <w:rsid w:val="009B2CE0"/>
    <w:rsid w:val="009B300F"/>
    <w:rsid w:val="009B3096"/>
    <w:rsid w:val="009B3354"/>
    <w:rsid w:val="009B33C9"/>
    <w:rsid w:val="009B34A8"/>
    <w:rsid w:val="009B3824"/>
    <w:rsid w:val="009B3BC5"/>
    <w:rsid w:val="009B3C43"/>
    <w:rsid w:val="009B3D29"/>
    <w:rsid w:val="009B451E"/>
    <w:rsid w:val="009B4536"/>
    <w:rsid w:val="009B48F4"/>
    <w:rsid w:val="009B4F30"/>
    <w:rsid w:val="009B5388"/>
    <w:rsid w:val="009B5B55"/>
    <w:rsid w:val="009B5D89"/>
    <w:rsid w:val="009B5DBE"/>
    <w:rsid w:val="009B60B5"/>
    <w:rsid w:val="009B6288"/>
    <w:rsid w:val="009B6381"/>
    <w:rsid w:val="009B66F1"/>
    <w:rsid w:val="009B6B36"/>
    <w:rsid w:val="009B71E2"/>
    <w:rsid w:val="009C0095"/>
    <w:rsid w:val="009C0213"/>
    <w:rsid w:val="009C024D"/>
    <w:rsid w:val="009C056F"/>
    <w:rsid w:val="009C0AC3"/>
    <w:rsid w:val="009C0DBC"/>
    <w:rsid w:val="009C10AC"/>
    <w:rsid w:val="009C13A7"/>
    <w:rsid w:val="009C1462"/>
    <w:rsid w:val="009C1463"/>
    <w:rsid w:val="009C1635"/>
    <w:rsid w:val="009C1EB3"/>
    <w:rsid w:val="009C20F5"/>
    <w:rsid w:val="009C229B"/>
    <w:rsid w:val="009C246B"/>
    <w:rsid w:val="009C24FF"/>
    <w:rsid w:val="009C2AEA"/>
    <w:rsid w:val="009C2BE1"/>
    <w:rsid w:val="009C2D5F"/>
    <w:rsid w:val="009C32F1"/>
    <w:rsid w:val="009C3489"/>
    <w:rsid w:val="009C35FE"/>
    <w:rsid w:val="009C3A89"/>
    <w:rsid w:val="009C409C"/>
    <w:rsid w:val="009C426B"/>
    <w:rsid w:val="009C47E2"/>
    <w:rsid w:val="009C4B2E"/>
    <w:rsid w:val="009C50A3"/>
    <w:rsid w:val="009C55DD"/>
    <w:rsid w:val="009C5E18"/>
    <w:rsid w:val="009C5E3D"/>
    <w:rsid w:val="009C612A"/>
    <w:rsid w:val="009C61F2"/>
    <w:rsid w:val="009C695A"/>
    <w:rsid w:val="009C6AC7"/>
    <w:rsid w:val="009C6D4A"/>
    <w:rsid w:val="009C6DD7"/>
    <w:rsid w:val="009C7795"/>
    <w:rsid w:val="009C79C3"/>
    <w:rsid w:val="009D0274"/>
    <w:rsid w:val="009D02B1"/>
    <w:rsid w:val="009D0499"/>
    <w:rsid w:val="009D12E6"/>
    <w:rsid w:val="009D161D"/>
    <w:rsid w:val="009D1A4B"/>
    <w:rsid w:val="009D1A59"/>
    <w:rsid w:val="009D1EDC"/>
    <w:rsid w:val="009D1FCF"/>
    <w:rsid w:val="009D2136"/>
    <w:rsid w:val="009D2144"/>
    <w:rsid w:val="009D2164"/>
    <w:rsid w:val="009D21DF"/>
    <w:rsid w:val="009D22AD"/>
    <w:rsid w:val="009D2B31"/>
    <w:rsid w:val="009D338C"/>
    <w:rsid w:val="009D33CC"/>
    <w:rsid w:val="009D3816"/>
    <w:rsid w:val="009D3CCB"/>
    <w:rsid w:val="009D4745"/>
    <w:rsid w:val="009D4929"/>
    <w:rsid w:val="009D4C1E"/>
    <w:rsid w:val="009D4EA0"/>
    <w:rsid w:val="009D4EF6"/>
    <w:rsid w:val="009D51E2"/>
    <w:rsid w:val="009D5C9B"/>
    <w:rsid w:val="009D5E66"/>
    <w:rsid w:val="009D6601"/>
    <w:rsid w:val="009D6F8F"/>
    <w:rsid w:val="009D75F2"/>
    <w:rsid w:val="009D7684"/>
    <w:rsid w:val="009D788D"/>
    <w:rsid w:val="009D79DC"/>
    <w:rsid w:val="009D7B46"/>
    <w:rsid w:val="009D7F63"/>
    <w:rsid w:val="009E05C7"/>
    <w:rsid w:val="009E0642"/>
    <w:rsid w:val="009E06A2"/>
    <w:rsid w:val="009E0AF5"/>
    <w:rsid w:val="009E0D08"/>
    <w:rsid w:val="009E128E"/>
    <w:rsid w:val="009E13E1"/>
    <w:rsid w:val="009E167F"/>
    <w:rsid w:val="009E1769"/>
    <w:rsid w:val="009E20FF"/>
    <w:rsid w:val="009E241C"/>
    <w:rsid w:val="009E25DA"/>
    <w:rsid w:val="009E2721"/>
    <w:rsid w:val="009E2778"/>
    <w:rsid w:val="009E2ED3"/>
    <w:rsid w:val="009E32DE"/>
    <w:rsid w:val="009E3749"/>
    <w:rsid w:val="009E3757"/>
    <w:rsid w:val="009E3C3D"/>
    <w:rsid w:val="009E41DD"/>
    <w:rsid w:val="009E428F"/>
    <w:rsid w:val="009E4AE7"/>
    <w:rsid w:val="009E51A5"/>
    <w:rsid w:val="009E51E1"/>
    <w:rsid w:val="009E5859"/>
    <w:rsid w:val="009E58C4"/>
    <w:rsid w:val="009E5D88"/>
    <w:rsid w:val="009E66E5"/>
    <w:rsid w:val="009E67FE"/>
    <w:rsid w:val="009E7647"/>
    <w:rsid w:val="009E7767"/>
    <w:rsid w:val="009E79F0"/>
    <w:rsid w:val="009E7B55"/>
    <w:rsid w:val="009E7C51"/>
    <w:rsid w:val="009E7F2F"/>
    <w:rsid w:val="009F0005"/>
    <w:rsid w:val="009F027B"/>
    <w:rsid w:val="009F0D67"/>
    <w:rsid w:val="009F1110"/>
    <w:rsid w:val="009F119B"/>
    <w:rsid w:val="009F1676"/>
    <w:rsid w:val="009F167F"/>
    <w:rsid w:val="009F1836"/>
    <w:rsid w:val="009F19A3"/>
    <w:rsid w:val="009F1D44"/>
    <w:rsid w:val="009F1DC8"/>
    <w:rsid w:val="009F2039"/>
    <w:rsid w:val="009F229E"/>
    <w:rsid w:val="009F2700"/>
    <w:rsid w:val="009F2CCB"/>
    <w:rsid w:val="009F2F28"/>
    <w:rsid w:val="009F34A1"/>
    <w:rsid w:val="009F35B3"/>
    <w:rsid w:val="009F38A1"/>
    <w:rsid w:val="009F3A7F"/>
    <w:rsid w:val="009F3E51"/>
    <w:rsid w:val="009F3EB6"/>
    <w:rsid w:val="009F43BF"/>
    <w:rsid w:val="009F4547"/>
    <w:rsid w:val="009F51E9"/>
    <w:rsid w:val="009F5798"/>
    <w:rsid w:val="009F5C1A"/>
    <w:rsid w:val="009F5CC4"/>
    <w:rsid w:val="009F5E7F"/>
    <w:rsid w:val="009F6472"/>
    <w:rsid w:val="009F651E"/>
    <w:rsid w:val="009F686A"/>
    <w:rsid w:val="009F6AC3"/>
    <w:rsid w:val="009F6B7A"/>
    <w:rsid w:val="009F6E36"/>
    <w:rsid w:val="009F74A5"/>
    <w:rsid w:val="009F7785"/>
    <w:rsid w:val="009F77C7"/>
    <w:rsid w:val="009F78CD"/>
    <w:rsid w:val="009F7D0D"/>
    <w:rsid w:val="009F7DFC"/>
    <w:rsid w:val="009F7E9B"/>
    <w:rsid w:val="00A007AE"/>
    <w:rsid w:val="00A00833"/>
    <w:rsid w:val="00A00B21"/>
    <w:rsid w:val="00A01006"/>
    <w:rsid w:val="00A01A67"/>
    <w:rsid w:val="00A01C9A"/>
    <w:rsid w:val="00A02AD2"/>
    <w:rsid w:val="00A02E5A"/>
    <w:rsid w:val="00A03016"/>
    <w:rsid w:val="00A0314D"/>
    <w:rsid w:val="00A03803"/>
    <w:rsid w:val="00A0391F"/>
    <w:rsid w:val="00A03967"/>
    <w:rsid w:val="00A03AB9"/>
    <w:rsid w:val="00A0439D"/>
    <w:rsid w:val="00A045D5"/>
    <w:rsid w:val="00A04619"/>
    <w:rsid w:val="00A04A43"/>
    <w:rsid w:val="00A04AC4"/>
    <w:rsid w:val="00A04C6B"/>
    <w:rsid w:val="00A05079"/>
    <w:rsid w:val="00A05820"/>
    <w:rsid w:val="00A059D4"/>
    <w:rsid w:val="00A05BEA"/>
    <w:rsid w:val="00A05D1D"/>
    <w:rsid w:val="00A05E9F"/>
    <w:rsid w:val="00A06084"/>
    <w:rsid w:val="00A06201"/>
    <w:rsid w:val="00A06287"/>
    <w:rsid w:val="00A0665E"/>
    <w:rsid w:val="00A06AB6"/>
    <w:rsid w:val="00A06E22"/>
    <w:rsid w:val="00A0706E"/>
    <w:rsid w:val="00A075A7"/>
    <w:rsid w:val="00A07FD4"/>
    <w:rsid w:val="00A10593"/>
    <w:rsid w:val="00A105F9"/>
    <w:rsid w:val="00A10CD1"/>
    <w:rsid w:val="00A1120F"/>
    <w:rsid w:val="00A11282"/>
    <w:rsid w:val="00A11407"/>
    <w:rsid w:val="00A11421"/>
    <w:rsid w:val="00A115B8"/>
    <w:rsid w:val="00A115C9"/>
    <w:rsid w:val="00A1180D"/>
    <w:rsid w:val="00A11A0B"/>
    <w:rsid w:val="00A11EFE"/>
    <w:rsid w:val="00A123C0"/>
    <w:rsid w:val="00A12404"/>
    <w:rsid w:val="00A12554"/>
    <w:rsid w:val="00A12556"/>
    <w:rsid w:val="00A125F9"/>
    <w:rsid w:val="00A12743"/>
    <w:rsid w:val="00A128F6"/>
    <w:rsid w:val="00A12F66"/>
    <w:rsid w:val="00A130CF"/>
    <w:rsid w:val="00A133B9"/>
    <w:rsid w:val="00A1379F"/>
    <w:rsid w:val="00A13AAF"/>
    <w:rsid w:val="00A1406B"/>
    <w:rsid w:val="00A14392"/>
    <w:rsid w:val="00A14955"/>
    <w:rsid w:val="00A14A51"/>
    <w:rsid w:val="00A14B31"/>
    <w:rsid w:val="00A14FC6"/>
    <w:rsid w:val="00A15431"/>
    <w:rsid w:val="00A155F9"/>
    <w:rsid w:val="00A15610"/>
    <w:rsid w:val="00A15CE4"/>
    <w:rsid w:val="00A161C6"/>
    <w:rsid w:val="00A1623B"/>
    <w:rsid w:val="00A166F0"/>
    <w:rsid w:val="00A16A7B"/>
    <w:rsid w:val="00A16C52"/>
    <w:rsid w:val="00A16CC9"/>
    <w:rsid w:val="00A16E6B"/>
    <w:rsid w:val="00A1756E"/>
    <w:rsid w:val="00A17C0D"/>
    <w:rsid w:val="00A17C19"/>
    <w:rsid w:val="00A17C46"/>
    <w:rsid w:val="00A17DD9"/>
    <w:rsid w:val="00A2019F"/>
    <w:rsid w:val="00A20B8E"/>
    <w:rsid w:val="00A211A2"/>
    <w:rsid w:val="00A211D9"/>
    <w:rsid w:val="00A21695"/>
    <w:rsid w:val="00A21832"/>
    <w:rsid w:val="00A21B25"/>
    <w:rsid w:val="00A22967"/>
    <w:rsid w:val="00A22BF2"/>
    <w:rsid w:val="00A22D06"/>
    <w:rsid w:val="00A22DFB"/>
    <w:rsid w:val="00A23502"/>
    <w:rsid w:val="00A23639"/>
    <w:rsid w:val="00A23C5A"/>
    <w:rsid w:val="00A23F46"/>
    <w:rsid w:val="00A2407D"/>
    <w:rsid w:val="00A244F8"/>
    <w:rsid w:val="00A24514"/>
    <w:rsid w:val="00A24B4F"/>
    <w:rsid w:val="00A24E50"/>
    <w:rsid w:val="00A25185"/>
    <w:rsid w:val="00A25434"/>
    <w:rsid w:val="00A25789"/>
    <w:rsid w:val="00A259E2"/>
    <w:rsid w:val="00A25DB0"/>
    <w:rsid w:val="00A25FA6"/>
    <w:rsid w:val="00A26205"/>
    <w:rsid w:val="00A267CA"/>
    <w:rsid w:val="00A26E3F"/>
    <w:rsid w:val="00A2720D"/>
    <w:rsid w:val="00A274DB"/>
    <w:rsid w:val="00A275B1"/>
    <w:rsid w:val="00A278C9"/>
    <w:rsid w:val="00A27F62"/>
    <w:rsid w:val="00A30364"/>
    <w:rsid w:val="00A30549"/>
    <w:rsid w:val="00A3099A"/>
    <w:rsid w:val="00A30EE5"/>
    <w:rsid w:val="00A312F5"/>
    <w:rsid w:val="00A31C3B"/>
    <w:rsid w:val="00A31DF6"/>
    <w:rsid w:val="00A32160"/>
    <w:rsid w:val="00A3221C"/>
    <w:rsid w:val="00A3227B"/>
    <w:rsid w:val="00A32315"/>
    <w:rsid w:val="00A323FC"/>
    <w:rsid w:val="00A32521"/>
    <w:rsid w:val="00A32928"/>
    <w:rsid w:val="00A33017"/>
    <w:rsid w:val="00A334B6"/>
    <w:rsid w:val="00A33A2B"/>
    <w:rsid w:val="00A33A64"/>
    <w:rsid w:val="00A33ACC"/>
    <w:rsid w:val="00A33C0E"/>
    <w:rsid w:val="00A33F69"/>
    <w:rsid w:val="00A341F9"/>
    <w:rsid w:val="00A3432C"/>
    <w:rsid w:val="00A346E6"/>
    <w:rsid w:val="00A34A8E"/>
    <w:rsid w:val="00A34D40"/>
    <w:rsid w:val="00A34F15"/>
    <w:rsid w:val="00A3520E"/>
    <w:rsid w:val="00A35243"/>
    <w:rsid w:val="00A3531E"/>
    <w:rsid w:val="00A35386"/>
    <w:rsid w:val="00A35575"/>
    <w:rsid w:val="00A35BE3"/>
    <w:rsid w:val="00A35F62"/>
    <w:rsid w:val="00A36027"/>
    <w:rsid w:val="00A360E5"/>
    <w:rsid w:val="00A3612B"/>
    <w:rsid w:val="00A36413"/>
    <w:rsid w:val="00A3655E"/>
    <w:rsid w:val="00A36BB1"/>
    <w:rsid w:val="00A36F02"/>
    <w:rsid w:val="00A375FD"/>
    <w:rsid w:val="00A37DD2"/>
    <w:rsid w:val="00A37E26"/>
    <w:rsid w:val="00A37FED"/>
    <w:rsid w:val="00A40124"/>
    <w:rsid w:val="00A4035C"/>
    <w:rsid w:val="00A403D1"/>
    <w:rsid w:val="00A4054E"/>
    <w:rsid w:val="00A4098A"/>
    <w:rsid w:val="00A40AD5"/>
    <w:rsid w:val="00A40D32"/>
    <w:rsid w:val="00A41719"/>
    <w:rsid w:val="00A41A88"/>
    <w:rsid w:val="00A41B98"/>
    <w:rsid w:val="00A41ECE"/>
    <w:rsid w:val="00A421B2"/>
    <w:rsid w:val="00A42E1A"/>
    <w:rsid w:val="00A43219"/>
    <w:rsid w:val="00A43228"/>
    <w:rsid w:val="00A43471"/>
    <w:rsid w:val="00A434E7"/>
    <w:rsid w:val="00A43706"/>
    <w:rsid w:val="00A4390F"/>
    <w:rsid w:val="00A4398F"/>
    <w:rsid w:val="00A43AE7"/>
    <w:rsid w:val="00A43E67"/>
    <w:rsid w:val="00A441A4"/>
    <w:rsid w:val="00A441B0"/>
    <w:rsid w:val="00A441EE"/>
    <w:rsid w:val="00A44241"/>
    <w:rsid w:val="00A447DD"/>
    <w:rsid w:val="00A44AF6"/>
    <w:rsid w:val="00A44F1A"/>
    <w:rsid w:val="00A4583E"/>
    <w:rsid w:val="00A45DF2"/>
    <w:rsid w:val="00A462BD"/>
    <w:rsid w:val="00A4665F"/>
    <w:rsid w:val="00A467CB"/>
    <w:rsid w:val="00A46DDD"/>
    <w:rsid w:val="00A47155"/>
    <w:rsid w:val="00A472DA"/>
    <w:rsid w:val="00A4746D"/>
    <w:rsid w:val="00A47D68"/>
    <w:rsid w:val="00A501CF"/>
    <w:rsid w:val="00A502B4"/>
    <w:rsid w:val="00A50679"/>
    <w:rsid w:val="00A506BE"/>
    <w:rsid w:val="00A5097D"/>
    <w:rsid w:val="00A50F49"/>
    <w:rsid w:val="00A50FE7"/>
    <w:rsid w:val="00A510C0"/>
    <w:rsid w:val="00A5123C"/>
    <w:rsid w:val="00A516F7"/>
    <w:rsid w:val="00A5189E"/>
    <w:rsid w:val="00A51A11"/>
    <w:rsid w:val="00A51A75"/>
    <w:rsid w:val="00A51FD0"/>
    <w:rsid w:val="00A520D7"/>
    <w:rsid w:val="00A5288A"/>
    <w:rsid w:val="00A52A6F"/>
    <w:rsid w:val="00A52BE1"/>
    <w:rsid w:val="00A52C1F"/>
    <w:rsid w:val="00A52F4F"/>
    <w:rsid w:val="00A530FB"/>
    <w:rsid w:val="00A532EF"/>
    <w:rsid w:val="00A5375D"/>
    <w:rsid w:val="00A53A7B"/>
    <w:rsid w:val="00A53C96"/>
    <w:rsid w:val="00A53E38"/>
    <w:rsid w:val="00A53EB9"/>
    <w:rsid w:val="00A542B9"/>
    <w:rsid w:val="00A543B5"/>
    <w:rsid w:val="00A5494A"/>
    <w:rsid w:val="00A54ECD"/>
    <w:rsid w:val="00A54F3A"/>
    <w:rsid w:val="00A5519C"/>
    <w:rsid w:val="00A55670"/>
    <w:rsid w:val="00A5578D"/>
    <w:rsid w:val="00A55FD7"/>
    <w:rsid w:val="00A56053"/>
    <w:rsid w:val="00A56228"/>
    <w:rsid w:val="00A5622D"/>
    <w:rsid w:val="00A56DEF"/>
    <w:rsid w:val="00A57818"/>
    <w:rsid w:val="00A57EDE"/>
    <w:rsid w:val="00A60853"/>
    <w:rsid w:val="00A60AB1"/>
    <w:rsid w:val="00A60FF0"/>
    <w:rsid w:val="00A611CC"/>
    <w:rsid w:val="00A61303"/>
    <w:rsid w:val="00A6161B"/>
    <w:rsid w:val="00A618ED"/>
    <w:rsid w:val="00A61D14"/>
    <w:rsid w:val="00A61DC3"/>
    <w:rsid w:val="00A61FCB"/>
    <w:rsid w:val="00A62079"/>
    <w:rsid w:val="00A62213"/>
    <w:rsid w:val="00A62548"/>
    <w:rsid w:val="00A6274A"/>
    <w:rsid w:val="00A62A23"/>
    <w:rsid w:val="00A62A58"/>
    <w:rsid w:val="00A62D3B"/>
    <w:rsid w:val="00A63021"/>
    <w:rsid w:val="00A632B2"/>
    <w:rsid w:val="00A6359A"/>
    <w:rsid w:val="00A63614"/>
    <w:rsid w:val="00A6375B"/>
    <w:rsid w:val="00A6380D"/>
    <w:rsid w:val="00A63C98"/>
    <w:rsid w:val="00A6432C"/>
    <w:rsid w:val="00A64459"/>
    <w:rsid w:val="00A6446B"/>
    <w:rsid w:val="00A6498B"/>
    <w:rsid w:val="00A64A22"/>
    <w:rsid w:val="00A64B36"/>
    <w:rsid w:val="00A64DCE"/>
    <w:rsid w:val="00A64DFA"/>
    <w:rsid w:val="00A65346"/>
    <w:rsid w:val="00A65367"/>
    <w:rsid w:val="00A65572"/>
    <w:rsid w:val="00A65669"/>
    <w:rsid w:val="00A65D6C"/>
    <w:rsid w:val="00A66327"/>
    <w:rsid w:val="00A6682F"/>
    <w:rsid w:val="00A67217"/>
    <w:rsid w:val="00A67A98"/>
    <w:rsid w:val="00A67BF6"/>
    <w:rsid w:val="00A67E09"/>
    <w:rsid w:val="00A67E1D"/>
    <w:rsid w:val="00A703EB"/>
    <w:rsid w:val="00A707BF"/>
    <w:rsid w:val="00A70803"/>
    <w:rsid w:val="00A70A14"/>
    <w:rsid w:val="00A715D5"/>
    <w:rsid w:val="00A71792"/>
    <w:rsid w:val="00A7190E"/>
    <w:rsid w:val="00A71EEC"/>
    <w:rsid w:val="00A721B2"/>
    <w:rsid w:val="00A724D7"/>
    <w:rsid w:val="00A725EE"/>
    <w:rsid w:val="00A7269F"/>
    <w:rsid w:val="00A72760"/>
    <w:rsid w:val="00A72EAD"/>
    <w:rsid w:val="00A7327F"/>
    <w:rsid w:val="00A737EE"/>
    <w:rsid w:val="00A739AF"/>
    <w:rsid w:val="00A73BAA"/>
    <w:rsid w:val="00A73C78"/>
    <w:rsid w:val="00A7447D"/>
    <w:rsid w:val="00A7450C"/>
    <w:rsid w:val="00A74BC5"/>
    <w:rsid w:val="00A74F27"/>
    <w:rsid w:val="00A750A0"/>
    <w:rsid w:val="00A7545D"/>
    <w:rsid w:val="00A75845"/>
    <w:rsid w:val="00A75AEE"/>
    <w:rsid w:val="00A76EFA"/>
    <w:rsid w:val="00A773AF"/>
    <w:rsid w:val="00A77451"/>
    <w:rsid w:val="00A7792F"/>
    <w:rsid w:val="00A7794A"/>
    <w:rsid w:val="00A77BC1"/>
    <w:rsid w:val="00A77EAA"/>
    <w:rsid w:val="00A77EDF"/>
    <w:rsid w:val="00A80352"/>
    <w:rsid w:val="00A80372"/>
    <w:rsid w:val="00A8043F"/>
    <w:rsid w:val="00A80C81"/>
    <w:rsid w:val="00A80E72"/>
    <w:rsid w:val="00A8100A"/>
    <w:rsid w:val="00A8119E"/>
    <w:rsid w:val="00A814BF"/>
    <w:rsid w:val="00A8156E"/>
    <w:rsid w:val="00A81820"/>
    <w:rsid w:val="00A81E34"/>
    <w:rsid w:val="00A81EE1"/>
    <w:rsid w:val="00A82136"/>
    <w:rsid w:val="00A821CC"/>
    <w:rsid w:val="00A828E1"/>
    <w:rsid w:val="00A82D10"/>
    <w:rsid w:val="00A82DAB"/>
    <w:rsid w:val="00A834DE"/>
    <w:rsid w:val="00A83688"/>
    <w:rsid w:val="00A83B9F"/>
    <w:rsid w:val="00A8410E"/>
    <w:rsid w:val="00A846D0"/>
    <w:rsid w:val="00A84A5E"/>
    <w:rsid w:val="00A84E44"/>
    <w:rsid w:val="00A84F1D"/>
    <w:rsid w:val="00A85140"/>
    <w:rsid w:val="00A858B6"/>
    <w:rsid w:val="00A859CE"/>
    <w:rsid w:val="00A85D53"/>
    <w:rsid w:val="00A85F2D"/>
    <w:rsid w:val="00A866CB"/>
    <w:rsid w:val="00A86D01"/>
    <w:rsid w:val="00A86F92"/>
    <w:rsid w:val="00A872ED"/>
    <w:rsid w:val="00A8750D"/>
    <w:rsid w:val="00A87DEC"/>
    <w:rsid w:val="00A9043A"/>
    <w:rsid w:val="00A90C65"/>
    <w:rsid w:val="00A90D38"/>
    <w:rsid w:val="00A90D44"/>
    <w:rsid w:val="00A90E6C"/>
    <w:rsid w:val="00A90F7F"/>
    <w:rsid w:val="00A910AD"/>
    <w:rsid w:val="00A918C0"/>
    <w:rsid w:val="00A9192E"/>
    <w:rsid w:val="00A91BCC"/>
    <w:rsid w:val="00A91C5F"/>
    <w:rsid w:val="00A92001"/>
    <w:rsid w:val="00A924AC"/>
    <w:rsid w:val="00A92560"/>
    <w:rsid w:val="00A92584"/>
    <w:rsid w:val="00A92646"/>
    <w:rsid w:val="00A92740"/>
    <w:rsid w:val="00A9322E"/>
    <w:rsid w:val="00A935CB"/>
    <w:rsid w:val="00A93B9A"/>
    <w:rsid w:val="00A93D75"/>
    <w:rsid w:val="00A93EEA"/>
    <w:rsid w:val="00A93F9B"/>
    <w:rsid w:val="00A94385"/>
    <w:rsid w:val="00A943F8"/>
    <w:rsid w:val="00A944C9"/>
    <w:rsid w:val="00A949CB"/>
    <w:rsid w:val="00A94D5B"/>
    <w:rsid w:val="00A94EB8"/>
    <w:rsid w:val="00A95168"/>
    <w:rsid w:val="00A952B6"/>
    <w:rsid w:val="00A957B8"/>
    <w:rsid w:val="00A958E9"/>
    <w:rsid w:val="00A95A68"/>
    <w:rsid w:val="00A95B0F"/>
    <w:rsid w:val="00A95B63"/>
    <w:rsid w:val="00A95D52"/>
    <w:rsid w:val="00A95D56"/>
    <w:rsid w:val="00A95D66"/>
    <w:rsid w:val="00A966E2"/>
    <w:rsid w:val="00A96B05"/>
    <w:rsid w:val="00A96B82"/>
    <w:rsid w:val="00A96EC4"/>
    <w:rsid w:val="00A96FA8"/>
    <w:rsid w:val="00A97015"/>
    <w:rsid w:val="00A974E3"/>
    <w:rsid w:val="00A97523"/>
    <w:rsid w:val="00A97C99"/>
    <w:rsid w:val="00A97CF8"/>
    <w:rsid w:val="00A97F9E"/>
    <w:rsid w:val="00AA0131"/>
    <w:rsid w:val="00AA0172"/>
    <w:rsid w:val="00AA0758"/>
    <w:rsid w:val="00AA0843"/>
    <w:rsid w:val="00AA0BB4"/>
    <w:rsid w:val="00AA0C0D"/>
    <w:rsid w:val="00AA0D97"/>
    <w:rsid w:val="00AA12FB"/>
    <w:rsid w:val="00AA14C2"/>
    <w:rsid w:val="00AA1664"/>
    <w:rsid w:val="00AA1C0F"/>
    <w:rsid w:val="00AA1F45"/>
    <w:rsid w:val="00AA211B"/>
    <w:rsid w:val="00AA2334"/>
    <w:rsid w:val="00AA25A5"/>
    <w:rsid w:val="00AA349A"/>
    <w:rsid w:val="00AA359C"/>
    <w:rsid w:val="00AA36F5"/>
    <w:rsid w:val="00AA37C7"/>
    <w:rsid w:val="00AA3EF7"/>
    <w:rsid w:val="00AA3F6D"/>
    <w:rsid w:val="00AA3F9C"/>
    <w:rsid w:val="00AA42C1"/>
    <w:rsid w:val="00AA4462"/>
    <w:rsid w:val="00AA461A"/>
    <w:rsid w:val="00AA4B17"/>
    <w:rsid w:val="00AA4B8B"/>
    <w:rsid w:val="00AA4DDA"/>
    <w:rsid w:val="00AA4E02"/>
    <w:rsid w:val="00AA4F4D"/>
    <w:rsid w:val="00AA4F7C"/>
    <w:rsid w:val="00AA51A3"/>
    <w:rsid w:val="00AA5391"/>
    <w:rsid w:val="00AA5AA6"/>
    <w:rsid w:val="00AA5E1B"/>
    <w:rsid w:val="00AA6086"/>
    <w:rsid w:val="00AA6494"/>
    <w:rsid w:val="00AA65BF"/>
    <w:rsid w:val="00AA660B"/>
    <w:rsid w:val="00AA6776"/>
    <w:rsid w:val="00AA6B57"/>
    <w:rsid w:val="00AA6D9F"/>
    <w:rsid w:val="00AA7479"/>
    <w:rsid w:val="00AA76E0"/>
    <w:rsid w:val="00AA778E"/>
    <w:rsid w:val="00AA7BF7"/>
    <w:rsid w:val="00AA7DB0"/>
    <w:rsid w:val="00AA7EEA"/>
    <w:rsid w:val="00AA7FA6"/>
    <w:rsid w:val="00AB0066"/>
    <w:rsid w:val="00AB00DF"/>
    <w:rsid w:val="00AB019C"/>
    <w:rsid w:val="00AB0853"/>
    <w:rsid w:val="00AB1053"/>
    <w:rsid w:val="00AB159D"/>
    <w:rsid w:val="00AB16D1"/>
    <w:rsid w:val="00AB1728"/>
    <w:rsid w:val="00AB1B0D"/>
    <w:rsid w:val="00AB1C78"/>
    <w:rsid w:val="00AB1D76"/>
    <w:rsid w:val="00AB20E9"/>
    <w:rsid w:val="00AB2251"/>
    <w:rsid w:val="00AB2C52"/>
    <w:rsid w:val="00AB2E2C"/>
    <w:rsid w:val="00AB303F"/>
    <w:rsid w:val="00AB35DE"/>
    <w:rsid w:val="00AB35F3"/>
    <w:rsid w:val="00AB396C"/>
    <w:rsid w:val="00AB39B0"/>
    <w:rsid w:val="00AB3B77"/>
    <w:rsid w:val="00AB4A7E"/>
    <w:rsid w:val="00AB4CCF"/>
    <w:rsid w:val="00AB50EB"/>
    <w:rsid w:val="00AB5544"/>
    <w:rsid w:val="00AB56F3"/>
    <w:rsid w:val="00AB5983"/>
    <w:rsid w:val="00AB61DF"/>
    <w:rsid w:val="00AB6480"/>
    <w:rsid w:val="00AB65C5"/>
    <w:rsid w:val="00AB66F5"/>
    <w:rsid w:val="00AB67F5"/>
    <w:rsid w:val="00AB693F"/>
    <w:rsid w:val="00AB6CE6"/>
    <w:rsid w:val="00AB6DD5"/>
    <w:rsid w:val="00AB6EF7"/>
    <w:rsid w:val="00AB6F4E"/>
    <w:rsid w:val="00AB7159"/>
    <w:rsid w:val="00AB7435"/>
    <w:rsid w:val="00AB759D"/>
    <w:rsid w:val="00AB7622"/>
    <w:rsid w:val="00AB76F1"/>
    <w:rsid w:val="00AB7805"/>
    <w:rsid w:val="00AB7C0C"/>
    <w:rsid w:val="00AB7F28"/>
    <w:rsid w:val="00AC010E"/>
    <w:rsid w:val="00AC050B"/>
    <w:rsid w:val="00AC0610"/>
    <w:rsid w:val="00AC06C7"/>
    <w:rsid w:val="00AC077E"/>
    <w:rsid w:val="00AC0C91"/>
    <w:rsid w:val="00AC1045"/>
    <w:rsid w:val="00AC1502"/>
    <w:rsid w:val="00AC17DA"/>
    <w:rsid w:val="00AC1827"/>
    <w:rsid w:val="00AC1894"/>
    <w:rsid w:val="00AC1B76"/>
    <w:rsid w:val="00AC2194"/>
    <w:rsid w:val="00AC21E7"/>
    <w:rsid w:val="00AC28D4"/>
    <w:rsid w:val="00AC2ABD"/>
    <w:rsid w:val="00AC2CFC"/>
    <w:rsid w:val="00AC3011"/>
    <w:rsid w:val="00AC30E3"/>
    <w:rsid w:val="00AC353A"/>
    <w:rsid w:val="00AC382E"/>
    <w:rsid w:val="00AC3853"/>
    <w:rsid w:val="00AC3B32"/>
    <w:rsid w:val="00AC3FD4"/>
    <w:rsid w:val="00AC3FF8"/>
    <w:rsid w:val="00AC4312"/>
    <w:rsid w:val="00AC4772"/>
    <w:rsid w:val="00AC4C79"/>
    <w:rsid w:val="00AC4CFC"/>
    <w:rsid w:val="00AC4FF9"/>
    <w:rsid w:val="00AC5068"/>
    <w:rsid w:val="00AC5603"/>
    <w:rsid w:val="00AC56C5"/>
    <w:rsid w:val="00AC58A6"/>
    <w:rsid w:val="00AC596F"/>
    <w:rsid w:val="00AC5A17"/>
    <w:rsid w:val="00AC601F"/>
    <w:rsid w:val="00AC61B8"/>
    <w:rsid w:val="00AC6402"/>
    <w:rsid w:val="00AC6416"/>
    <w:rsid w:val="00AC706B"/>
    <w:rsid w:val="00AC764F"/>
    <w:rsid w:val="00AC77D7"/>
    <w:rsid w:val="00AC7946"/>
    <w:rsid w:val="00AC7F2C"/>
    <w:rsid w:val="00AD06F2"/>
    <w:rsid w:val="00AD0828"/>
    <w:rsid w:val="00AD089E"/>
    <w:rsid w:val="00AD0902"/>
    <w:rsid w:val="00AD0F8A"/>
    <w:rsid w:val="00AD1530"/>
    <w:rsid w:val="00AD17C1"/>
    <w:rsid w:val="00AD1877"/>
    <w:rsid w:val="00AD18A4"/>
    <w:rsid w:val="00AD194F"/>
    <w:rsid w:val="00AD19D6"/>
    <w:rsid w:val="00AD200F"/>
    <w:rsid w:val="00AD2272"/>
    <w:rsid w:val="00AD2501"/>
    <w:rsid w:val="00AD2618"/>
    <w:rsid w:val="00AD2834"/>
    <w:rsid w:val="00AD2D42"/>
    <w:rsid w:val="00AD2E2F"/>
    <w:rsid w:val="00AD2F03"/>
    <w:rsid w:val="00AD2FFB"/>
    <w:rsid w:val="00AD3295"/>
    <w:rsid w:val="00AD329C"/>
    <w:rsid w:val="00AD3565"/>
    <w:rsid w:val="00AD3816"/>
    <w:rsid w:val="00AD3969"/>
    <w:rsid w:val="00AD3ED8"/>
    <w:rsid w:val="00AD4369"/>
    <w:rsid w:val="00AD44B1"/>
    <w:rsid w:val="00AD45E7"/>
    <w:rsid w:val="00AD4A63"/>
    <w:rsid w:val="00AD4BC2"/>
    <w:rsid w:val="00AD4D8D"/>
    <w:rsid w:val="00AD5E85"/>
    <w:rsid w:val="00AD6362"/>
    <w:rsid w:val="00AD650A"/>
    <w:rsid w:val="00AD68BE"/>
    <w:rsid w:val="00AD69F0"/>
    <w:rsid w:val="00AD6F8A"/>
    <w:rsid w:val="00AD700E"/>
    <w:rsid w:val="00AD7274"/>
    <w:rsid w:val="00AD7401"/>
    <w:rsid w:val="00AD742D"/>
    <w:rsid w:val="00AD7A3D"/>
    <w:rsid w:val="00AD7C15"/>
    <w:rsid w:val="00AD7F63"/>
    <w:rsid w:val="00AD7FA9"/>
    <w:rsid w:val="00AE0012"/>
    <w:rsid w:val="00AE007D"/>
    <w:rsid w:val="00AE02E1"/>
    <w:rsid w:val="00AE076D"/>
    <w:rsid w:val="00AE0FAD"/>
    <w:rsid w:val="00AE0FE5"/>
    <w:rsid w:val="00AE11D2"/>
    <w:rsid w:val="00AE12EC"/>
    <w:rsid w:val="00AE145C"/>
    <w:rsid w:val="00AE14B3"/>
    <w:rsid w:val="00AE15BE"/>
    <w:rsid w:val="00AE15D2"/>
    <w:rsid w:val="00AE180E"/>
    <w:rsid w:val="00AE1EFA"/>
    <w:rsid w:val="00AE20E9"/>
    <w:rsid w:val="00AE2368"/>
    <w:rsid w:val="00AE23C2"/>
    <w:rsid w:val="00AE23EC"/>
    <w:rsid w:val="00AE2B25"/>
    <w:rsid w:val="00AE329C"/>
    <w:rsid w:val="00AE34AE"/>
    <w:rsid w:val="00AE35DC"/>
    <w:rsid w:val="00AE3785"/>
    <w:rsid w:val="00AE3BE6"/>
    <w:rsid w:val="00AE3E93"/>
    <w:rsid w:val="00AE41E4"/>
    <w:rsid w:val="00AE45B0"/>
    <w:rsid w:val="00AE4D2D"/>
    <w:rsid w:val="00AE4DED"/>
    <w:rsid w:val="00AE4FE6"/>
    <w:rsid w:val="00AE4FEC"/>
    <w:rsid w:val="00AE5580"/>
    <w:rsid w:val="00AE5645"/>
    <w:rsid w:val="00AE5748"/>
    <w:rsid w:val="00AE574B"/>
    <w:rsid w:val="00AE576A"/>
    <w:rsid w:val="00AE5A7E"/>
    <w:rsid w:val="00AE62BF"/>
    <w:rsid w:val="00AE6988"/>
    <w:rsid w:val="00AE69BF"/>
    <w:rsid w:val="00AE7462"/>
    <w:rsid w:val="00AE747C"/>
    <w:rsid w:val="00AE782A"/>
    <w:rsid w:val="00AE78E5"/>
    <w:rsid w:val="00AE7A54"/>
    <w:rsid w:val="00AE7BAC"/>
    <w:rsid w:val="00AE7C84"/>
    <w:rsid w:val="00AE7C92"/>
    <w:rsid w:val="00AE7F6C"/>
    <w:rsid w:val="00AF015A"/>
    <w:rsid w:val="00AF032E"/>
    <w:rsid w:val="00AF05EF"/>
    <w:rsid w:val="00AF07E0"/>
    <w:rsid w:val="00AF09D0"/>
    <w:rsid w:val="00AF0E00"/>
    <w:rsid w:val="00AF14C3"/>
    <w:rsid w:val="00AF14C4"/>
    <w:rsid w:val="00AF1DB9"/>
    <w:rsid w:val="00AF1DD3"/>
    <w:rsid w:val="00AF1ED2"/>
    <w:rsid w:val="00AF206C"/>
    <w:rsid w:val="00AF23E3"/>
    <w:rsid w:val="00AF249C"/>
    <w:rsid w:val="00AF25B6"/>
    <w:rsid w:val="00AF2E8F"/>
    <w:rsid w:val="00AF2EBA"/>
    <w:rsid w:val="00AF312D"/>
    <w:rsid w:val="00AF3139"/>
    <w:rsid w:val="00AF3303"/>
    <w:rsid w:val="00AF34D2"/>
    <w:rsid w:val="00AF36FF"/>
    <w:rsid w:val="00AF3C62"/>
    <w:rsid w:val="00AF3C90"/>
    <w:rsid w:val="00AF487C"/>
    <w:rsid w:val="00AF5234"/>
    <w:rsid w:val="00AF5472"/>
    <w:rsid w:val="00AF55BE"/>
    <w:rsid w:val="00AF5E69"/>
    <w:rsid w:val="00AF63F9"/>
    <w:rsid w:val="00AF6AE5"/>
    <w:rsid w:val="00AF6B0E"/>
    <w:rsid w:val="00AF6CED"/>
    <w:rsid w:val="00AF7013"/>
    <w:rsid w:val="00AF7137"/>
    <w:rsid w:val="00AF7783"/>
    <w:rsid w:val="00AF7854"/>
    <w:rsid w:val="00AF7F5B"/>
    <w:rsid w:val="00B0098D"/>
    <w:rsid w:val="00B009B6"/>
    <w:rsid w:val="00B00A5B"/>
    <w:rsid w:val="00B00B38"/>
    <w:rsid w:val="00B00CD0"/>
    <w:rsid w:val="00B00E08"/>
    <w:rsid w:val="00B01326"/>
    <w:rsid w:val="00B015A3"/>
    <w:rsid w:val="00B017C1"/>
    <w:rsid w:val="00B01D59"/>
    <w:rsid w:val="00B01FCA"/>
    <w:rsid w:val="00B0231D"/>
    <w:rsid w:val="00B025F5"/>
    <w:rsid w:val="00B0276F"/>
    <w:rsid w:val="00B02A5F"/>
    <w:rsid w:val="00B02FBD"/>
    <w:rsid w:val="00B030D7"/>
    <w:rsid w:val="00B031A1"/>
    <w:rsid w:val="00B03373"/>
    <w:rsid w:val="00B03CD1"/>
    <w:rsid w:val="00B03EA3"/>
    <w:rsid w:val="00B04F50"/>
    <w:rsid w:val="00B0576C"/>
    <w:rsid w:val="00B05841"/>
    <w:rsid w:val="00B05F4E"/>
    <w:rsid w:val="00B060BA"/>
    <w:rsid w:val="00B062AD"/>
    <w:rsid w:val="00B0641F"/>
    <w:rsid w:val="00B06D65"/>
    <w:rsid w:val="00B06FD8"/>
    <w:rsid w:val="00B06FED"/>
    <w:rsid w:val="00B070B4"/>
    <w:rsid w:val="00B073B8"/>
    <w:rsid w:val="00B07B99"/>
    <w:rsid w:val="00B07E4F"/>
    <w:rsid w:val="00B10225"/>
    <w:rsid w:val="00B1036F"/>
    <w:rsid w:val="00B103AD"/>
    <w:rsid w:val="00B1041D"/>
    <w:rsid w:val="00B10440"/>
    <w:rsid w:val="00B10588"/>
    <w:rsid w:val="00B10998"/>
    <w:rsid w:val="00B10AAC"/>
    <w:rsid w:val="00B10AEB"/>
    <w:rsid w:val="00B10CFE"/>
    <w:rsid w:val="00B10D21"/>
    <w:rsid w:val="00B10E6F"/>
    <w:rsid w:val="00B10E80"/>
    <w:rsid w:val="00B1121A"/>
    <w:rsid w:val="00B1143C"/>
    <w:rsid w:val="00B11517"/>
    <w:rsid w:val="00B118EE"/>
    <w:rsid w:val="00B1221E"/>
    <w:rsid w:val="00B12222"/>
    <w:rsid w:val="00B12791"/>
    <w:rsid w:val="00B129DB"/>
    <w:rsid w:val="00B129EE"/>
    <w:rsid w:val="00B12D3B"/>
    <w:rsid w:val="00B12DD2"/>
    <w:rsid w:val="00B12FFC"/>
    <w:rsid w:val="00B1306C"/>
    <w:rsid w:val="00B13414"/>
    <w:rsid w:val="00B13876"/>
    <w:rsid w:val="00B13E67"/>
    <w:rsid w:val="00B14BC6"/>
    <w:rsid w:val="00B14CE1"/>
    <w:rsid w:val="00B14DF8"/>
    <w:rsid w:val="00B15057"/>
    <w:rsid w:val="00B15144"/>
    <w:rsid w:val="00B15B74"/>
    <w:rsid w:val="00B16024"/>
    <w:rsid w:val="00B16200"/>
    <w:rsid w:val="00B16344"/>
    <w:rsid w:val="00B16901"/>
    <w:rsid w:val="00B16AA8"/>
    <w:rsid w:val="00B16B3C"/>
    <w:rsid w:val="00B1706A"/>
    <w:rsid w:val="00B1712E"/>
    <w:rsid w:val="00B17525"/>
    <w:rsid w:val="00B17561"/>
    <w:rsid w:val="00B175AC"/>
    <w:rsid w:val="00B17799"/>
    <w:rsid w:val="00B1784F"/>
    <w:rsid w:val="00B17A03"/>
    <w:rsid w:val="00B2006A"/>
    <w:rsid w:val="00B2022C"/>
    <w:rsid w:val="00B210C5"/>
    <w:rsid w:val="00B213DC"/>
    <w:rsid w:val="00B21A6B"/>
    <w:rsid w:val="00B21D40"/>
    <w:rsid w:val="00B22107"/>
    <w:rsid w:val="00B22808"/>
    <w:rsid w:val="00B22E35"/>
    <w:rsid w:val="00B22F2B"/>
    <w:rsid w:val="00B22FBA"/>
    <w:rsid w:val="00B230A6"/>
    <w:rsid w:val="00B2321B"/>
    <w:rsid w:val="00B23622"/>
    <w:rsid w:val="00B237DF"/>
    <w:rsid w:val="00B237EF"/>
    <w:rsid w:val="00B23A88"/>
    <w:rsid w:val="00B23A9C"/>
    <w:rsid w:val="00B23AA1"/>
    <w:rsid w:val="00B23B1E"/>
    <w:rsid w:val="00B24255"/>
    <w:rsid w:val="00B24943"/>
    <w:rsid w:val="00B249E4"/>
    <w:rsid w:val="00B24B53"/>
    <w:rsid w:val="00B24DB1"/>
    <w:rsid w:val="00B24E60"/>
    <w:rsid w:val="00B25272"/>
    <w:rsid w:val="00B25D84"/>
    <w:rsid w:val="00B25DD2"/>
    <w:rsid w:val="00B25FCC"/>
    <w:rsid w:val="00B262F3"/>
    <w:rsid w:val="00B2662A"/>
    <w:rsid w:val="00B26C7F"/>
    <w:rsid w:val="00B26E6D"/>
    <w:rsid w:val="00B278B0"/>
    <w:rsid w:val="00B27AFF"/>
    <w:rsid w:val="00B300CE"/>
    <w:rsid w:val="00B300F0"/>
    <w:rsid w:val="00B301A1"/>
    <w:rsid w:val="00B3035C"/>
    <w:rsid w:val="00B30424"/>
    <w:rsid w:val="00B30876"/>
    <w:rsid w:val="00B30A14"/>
    <w:rsid w:val="00B30F96"/>
    <w:rsid w:val="00B318D4"/>
    <w:rsid w:val="00B319E4"/>
    <w:rsid w:val="00B31B7F"/>
    <w:rsid w:val="00B3213A"/>
    <w:rsid w:val="00B329BA"/>
    <w:rsid w:val="00B32A20"/>
    <w:rsid w:val="00B32D40"/>
    <w:rsid w:val="00B32E8D"/>
    <w:rsid w:val="00B32FEB"/>
    <w:rsid w:val="00B3325B"/>
    <w:rsid w:val="00B334DE"/>
    <w:rsid w:val="00B33811"/>
    <w:rsid w:val="00B33C36"/>
    <w:rsid w:val="00B33C8B"/>
    <w:rsid w:val="00B33CAD"/>
    <w:rsid w:val="00B33D71"/>
    <w:rsid w:val="00B33DB5"/>
    <w:rsid w:val="00B33E9A"/>
    <w:rsid w:val="00B33ED9"/>
    <w:rsid w:val="00B341C4"/>
    <w:rsid w:val="00B3442E"/>
    <w:rsid w:val="00B34524"/>
    <w:rsid w:val="00B34784"/>
    <w:rsid w:val="00B348C0"/>
    <w:rsid w:val="00B34E3A"/>
    <w:rsid w:val="00B351AA"/>
    <w:rsid w:val="00B35253"/>
    <w:rsid w:val="00B35385"/>
    <w:rsid w:val="00B35442"/>
    <w:rsid w:val="00B3544E"/>
    <w:rsid w:val="00B357B1"/>
    <w:rsid w:val="00B35D23"/>
    <w:rsid w:val="00B3660A"/>
    <w:rsid w:val="00B369AA"/>
    <w:rsid w:val="00B36C24"/>
    <w:rsid w:val="00B36E17"/>
    <w:rsid w:val="00B37203"/>
    <w:rsid w:val="00B374B6"/>
    <w:rsid w:val="00B3787E"/>
    <w:rsid w:val="00B37B96"/>
    <w:rsid w:val="00B37C14"/>
    <w:rsid w:val="00B405D5"/>
    <w:rsid w:val="00B4067B"/>
    <w:rsid w:val="00B4079E"/>
    <w:rsid w:val="00B407F5"/>
    <w:rsid w:val="00B409C3"/>
    <w:rsid w:val="00B40B15"/>
    <w:rsid w:val="00B40B96"/>
    <w:rsid w:val="00B40CB5"/>
    <w:rsid w:val="00B413A4"/>
    <w:rsid w:val="00B4159D"/>
    <w:rsid w:val="00B416C1"/>
    <w:rsid w:val="00B41758"/>
    <w:rsid w:val="00B41C6D"/>
    <w:rsid w:val="00B41F16"/>
    <w:rsid w:val="00B41F85"/>
    <w:rsid w:val="00B42078"/>
    <w:rsid w:val="00B426EA"/>
    <w:rsid w:val="00B42850"/>
    <w:rsid w:val="00B42ACC"/>
    <w:rsid w:val="00B42E07"/>
    <w:rsid w:val="00B4328F"/>
    <w:rsid w:val="00B43619"/>
    <w:rsid w:val="00B43AD9"/>
    <w:rsid w:val="00B43BFB"/>
    <w:rsid w:val="00B44322"/>
    <w:rsid w:val="00B4437B"/>
    <w:rsid w:val="00B44A79"/>
    <w:rsid w:val="00B44F9B"/>
    <w:rsid w:val="00B45005"/>
    <w:rsid w:val="00B45106"/>
    <w:rsid w:val="00B451E6"/>
    <w:rsid w:val="00B45386"/>
    <w:rsid w:val="00B45479"/>
    <w:rsid w:val="00B45516"/>
    <w:rsid w:val="00B46061"/>
    <w:rsid w:val="00B46223"/>
    <w:rsid w:val="00B46C30"/>
    <w:rsid w:val="00B46CD2"/>
    <w:rsid w:val="00B47629"/>
    <w:rsid w:val="00B4766C"/>
    <w:rsid w:val="00B47BB2"/>
    <w:rsid w:val="00B47CB7"/>
    <w:rsid w:val="00B50794"/>
    <w:rsid w:val="00B5081F"/>
    <w:rsid w:val="00B5086B"/>
    <w:rsid w:val="00B509C1"/>
    <w:rsid w:val="00B509D6"/>
    <w:rsid w:val="00B50B9B"/>
    <w:rsid w:val="00B50CE7"/>
    <w:rsid w:val="00B513B7"/>
    <w:rsid w:val="00B513C5"/>
    <w:rsid w:val="00B51566"/>
    <w:rsid w:val="00B51909"/>
    <w:rsid w:val="00B51A3B"/>
    <w:rsid w:val="00B51CD5"/>
    <w:rsid w:val="00B51E62"/>
    <w:rsid w:val="00B51EE3"/>
    <w:rsid w:val="00B5206E"/>
    <w:rsid w:val="00B52315"/>
    <w:rsid w:val="00B53016"/>
    <w:rsid w:val="00B533B0"/>
    <w:rsid w:val="00B534A9"/>
    <w:rsid w:val="00B535D2"/>
    <w:rsid w:val="00B54029"/>
    <w:rsid w:val="00B54125"/>
    <w:rsid w:val="00B5437C"/>
    <w:rsid w:val="00B548B2"/>
    <w:rsid w:val="00B548E2"/>
    <w:rsid w:val="00B54A5A"/>
    <w:rsid w:val="00B54B0F"/>
    <w:rsid w:val="00B54C1C"/>
    <w:rsid w:val="00B54C5C"/>
    <w:rsid w:val="00B552FF"/>
    <w:rsid w:val="00B55622"/>
    <w:rsid w:val="00B55789"/>
    <w:rsid w:val="00B55A66"/>
    <w:rsid w:val="00B55DE1"/>
    <w:rsid w:val="00B5611C"/>
    <w:rsid w:val="00B56808"/>
    <w:rsid w:val="00B56AAF"/>
    <w:rsid w:val="00B56EDD"/>
    <w:rsid w:val="00B56F1D"/>
    <w:rsid w:val="00B56F63"/>
    <w:rsid w:val="00B5743B"/>
    <w:rsid w:val="00B5767A"/>
    <w:rsid w:val="00B579E9"/>
    <w:rsid w:val="00B57AF7"/>
    <w:rsid w:val="00B57CAE"/>
    <w:rsid w:val="00B60269"/>
    <w:rsid w:val="00B608B3"/>
    <w:rsid w:val="00B60CF0"/>
    <w:rsid w:val="00B60E0F"/>
    <w:rsid w:val="00B6100B"/>
    <w:rsid w:val="00B614E1"/>
    <w:rsid w:val="00B61B84"/>
    <w:rsid w:val="00B61DF2"/>
    <w:rsid w:val="00B623B2"/>
    <w:rsid w:val="00B6250F"/>
    <w:rsid w:val="00B62897"/>
    <w:rsid w:val="00B63141"/>
    <w:rsid w:val="00B63563"/>
    <w:rsid w:val="00B6364A"/>
    <w:rsid w:val="00B638B3"/>
    <w:rsid w:val="00B63B7F"/>
    <w:rsid w:val="00B64056"/>
    <w:rsid w:val="00B6482A"/>
    <w:rsid w:val="00B64E23"/>
    <w:rsid w:val="00B65079"/>
    <w:rsid w:val="00B65098"/>
    <w:rsid w:val="00B65317"/>
    <w:rsid w:val="00B65733"/>
    <w:rsid w:val="00B6580E"/>
    <w:rsid w:val="00B65C23"/>
    <w:rsid w:val="00B65F46"/>
    <w:rsid w:val="00B66569"/>
    <w:rsid w:val="00B6664F"/>
    <w:rsid w:val="00B6666D"/>
    <w:rsid w:val="00B666A5"/>
    <w:rsid w:val="00B66F4D"/>
    <w:rsid w:val="00B66F64"/>
    <w:rsid w:val="00B66FAF"/>
    <w:rsid w:val="00B673D3"/>
    <w:rsid w:val="00B6779E"/>
    <w:rsid w:val="00B67D3D"/>
    <w:rsid w:val="00B67E3C"/>
    <w:rsid w:val="00B67FF6"/>
    <w:rsid w:val="00B70081"/>
    <w:rsid w:val="00B70534"/>
    <w:rsid w:val="00B70693"/>
    <w:rsid w:val="00B70B5A"/>
    <w:rsid w:val="00B71B12"/>
    <w:rsid w:val="00B71CFA"/>
    <w:rsid w:val="00B71DD2"/>
    <w:rsid w:val="00B71E5C"/>
    <w:rsid w:val="00B725C5"/>
    <w:rsid w:val="00B727B3"/>
    <w:rsid w:val="00B72948"/>
    <w:rsid w:val="00B7301E"/>
    <w:rsid w:val="00B73886"/>
    <w:rsid w:val="00B746CC"/>
    <w:rsid w:val="00B74904"/>
    <w:rsid w:val="00B751DD"/>
    <w:rsid w:val="00B754E1"/>
    <w:rsid w:val="00B755E6"/>
    <w:rsid w:val="00B758AC"/>
    <w:rsid w:val="00B75A81"/>
    <w:rsid w:val="00B75B3F"/>
    <w:rsid w:val="00B7639A"/>
    <w:rsid w:val="00B765F0"/>
    <w:rsid w:val="00B76816"/>
    <w:rsid w:val="00B778F8"/>
    <w:rsid w:val="00B77BE4"/>
    <w:rsid w:val="00B77C3F"/>
    <w:rsid w:val="00B77D4D"/>
    <w:rsid w:val="00B77FD3"/>
    <w:rsid w:val="00B800EF"/>
    <w:rsid w:val="00B8031D"/>
    <w:rsid w:val="00B804C6"/>
    <w:rsid w:val="00B806C3"/>
    <w:rsid w:val="00B80843"/>
    <w:rsid w:val="00B808DB"/>
    <w:rsid w:val="00B80BB8"/>
    <w:rsid w:val="00B80D2F"/>
    <w:rsid w:val="00B8117E"/>
    <w:rsid w:val="00B81365"/>
    <w:rsid w:val="00B813A1"/>
    <w:rsid w:val="00B818B0"/>
    <w:rsid w:val="00B81D22"/>
    <w:rsid w:val="00B81DEE"/>
    <w:rsid w:val="00B81FF1"/>
    <w:rsid w:val="00B820F1"/>
    <w:rsid w:val="00B8237D"/>
    <w:rsid w:val="00B82578"/>
    <w:rsid w:val="00B82C5C"/>
    <w:rsid w:val="00B83173"/>
    <w:rsid w:val="00B83B6F"/>
    <w:rsid w:val="00B83D82"/>
    <w:rsid w:val="00B842B3"/>
    <w:rsid w:val="00B84339"/>
    <w:rsid w:val="00B84BD8"/>
    <w:rsid w:val="00B84F11"/>
    <w:rsid w:val="00B84FAC"/>
    <w:rsid w:val="00B85075"/>
    <w:rsid w:val="00B850E7"/>
    <w:rsid w:val="00B8515C"/>
    <w:rsid w:val="00B851C9"/>
    <w:rsid w:val="00B8549B"/>
    <w:rsid w:val="00B85793"/>
    <w:rsid w:val="00B859C8"/>
    <w:rsid w:val="00B85C22"/>
    <w:rsid w:val="00B85D28"/>
    <w:rsid w:val="00B85E56"/>
    <w:rsid w:val="00B8652E"/>
    <w:rsid w:val="00B868F5"/>
    <w:rsid w:val="00B86B69"/>
    <w:rsid w:val="00B8709A"/>
    <w:rsid w:val="00B874A6"/>
    <w:rsid w:val="00B874E8"/>
    <w:rsid w:val="00B875FE"/>
    <w:rsid w:val="00B87926"/>
    <w:rsid w:val="00B87B4F"/>
    <w:rsid w:val="00B90115"/>
    <w:rsid w:val="00B90174"/>
    <w:rsid w:val="00B905A8"/>
    <w:rsid w:val="00B90CAA"/>
    <w:rsid w:val="00B90D2E"/>
    <w:rsid w:val="00B910BA"/>
    <w:rsid w:val="00B9137E"/>
    <w:rsid w:val="00B916A1"/>
    <w:rsid w:val="00B91863"/>
    <w:rsid w:val="00B91992"/>
    <w:rsid w:val="00B919BE"/>
    <w:rsid w:val="00B92DF3"/>
    <w:rsid w:val="00B93137"/>
    <w:rsid w:val="00B933A3"/>
    <w:rsid w:val="00B93466"/>
    <w:rsid w:val="00B93473"/>
    <w:rsid w:val="00B9364D"/>
    <w:rsid w:val="00B93CA9"/>
    <w:rsid w:val="00B93DA4"/>
    <w:rsid w:val="00B944D0"/>
    <w:rsid w:val="00B948F2"/>
    <w:rsid w:val="00B94B59"/>
    <w:rsid w:val="00B94BD2"/>
    <w:rsid w:val="00B95179"/>
    <w:rsid w:val="00B9545F"/>
    <w:rsid w:val="00B95537"/>
    <w:rsid w:val="00B955C9"/>
    <w:rsid w:val="00B9585B"/>
    <w:rsid w:val="00B95893"/>
    <w:rsid w:val="00B958D9"/>
    <w:rsid w:val="00B95F78"/>
    <w:rsid w:val="00B965F9"/>
    <w:rsid w:val="00B966CF"/>
    <w:rsid w:val="00B968E7"/>
    <w:rsid w:val="00B96F74"/>
    <w:rsid w:val="00B972E9"/>
    <w:rsid w:val="00B9735E"/>
    <w:rsid w:val="00B973E2"/>
    <w:rsid w:val="00B97826"/>
    <w:rsid w:val="00BA012A"/>
    <w:rsid w:val="00BA0132"/>
    <w:rsid w:val="00BA0248"/>
    <w:rsid w:val="00BA0404"/>
    <w:rsid w:val="00BA07D1"/>
    <w:rsid w:val="00BA0C04"/>
    <w:rsid w:val="00BA0E09"/>
    <w:rsid w:val="00BA1019"/>
    <w:rsid w:val="00BA13D7"/>
    <w:rsid w:val="00BA143E"/>
    <w:rsid w:val="00BA15BA"/>
    <w:rsid w:val="00BA19E2"/>
    <w:rsid w:val="00BA1CE2"/>
    <w:rsid w:val="00BA1DC7"/>
    <w:rsid w:val="00BA1EFF"/>
    <w:rsid w:val="00BA2573"/>
    <w:rsid w:val="00BA26D1"/>
    <w:rsid w:val="00BA2B41"/>
    <w:rsid w:val="00BA3110"/>
    <w:rsid w:val="00BA381E"/>
    <w:rsid w:val="00BA3C7C"/>
    <w:rsid w:val="00BA3D95"/>
    <w:rsid w:val="00BA4147"/>
    <w:rsid w:val="00BA4312"/>
    <w:rsid w:val="00BA4385"/>
    <w:rsid w:val="00BA471A"/>
    <w:rsid w:val="00BA48A3"/>
    <w:rsid w:val="00BA4D06"/>
    <w:rsid w:val="00BA4D8C"/>
    <w:rsid w:val="00BA4E2E"/>
    <w:rsid w:val="00BA503A"/>
    <w:rsid w:val="00BA5081"/>
    <w:rsid w:val="00BA5148"/>
    <w:rsid w:val="00BA526E"/>
    <w:rsid w:val="00BA54B3"/>
    <w:rsid w:val="00BA5AAE"/>
    <w:rsid w:val="00BA5DF7"/>
    <w:rsid w:val="00BA64E1"/>
    <w:rsid w:val="00BA659D"/>
    <w:rsid w:val="00BA68B0"/>
    <w:rsid w:val="00BA6B3D"/>
    <w:rsid w:val="00BA6CE1"/>
    <w:rsid w:val="00BA6DA4"/>
    <w:rsid w:val="00BA7024"/>
    <w:rsid w:val="00BA713B"/>
    <w:rsid w:val="00BA72B0"/>
    <w:rsid w:val="00BA7318"/>
    <w:rsid w:val="00BA73DE"/>
    <w:rsid w:val="00BA76F3"/>
    <w:rsid w:val="00BA78BC"/>
    <w:rsid w:val="00BA78C5"/>
    <w:rsid w:val="00BA7B7A"/>
    <w:rsid w:val="00BA7F66"/>
    <w:rsid w:val="00BB0358"/>
    <w:rsid w:val="00BB0449"/>
    <w:rsid w:val="00BB0754"/>
    <w:rsid w:val="00BB07EC"/>
    <w:rsid w:val="00BB081D"/>
    <w:rsid w:val="00BB09B9"/>
    <w:rsid w:val="00BB0DC7"/>
    <w:rsid w:val="00BB0F65"/>
    <w:rsid w:val="00BB11B8"/>
    <w:rsid w:val="00BB12FD"/>
    <w:rsid w:val="00BB1BB5"/>
    <w:rsid w:val="00BB1E07"/>
    <w:rsid w:val="00BB1FDC"/>
    <w:rsid w:val="00BB2177"/>
    <w:rsid w:val="00BB2187"/>
    <w:rsid w:val="00BB25C4"/>
    <w:rsid w:val="00BB25E6"/>
    <w:rsid w:val="00BB3057"/>
    <w:rsid w:val="00BB3237"/>
    <w:rsid w:val="00BB32E0"/>
    <w:rsid w:val="00BB3493"/>
    <w:rsid w:val="00BB361C"/>
    <w:rsid w:val="00BB3830"/>
    <w:rsid w:val="00BB40A4"/>
    <w:rsid w:val="00BB456F"/>
    <w:rsid w:val="00BB45C1"/>
    <w:rsid w:val="00BB4734"/>
    <w:rsid w:val="00BB47AA"/>
    <w:rsid w:val="00BB49D5"/>
    <w:rsid w:val="00BB4BBA"/>
    <w:rsid w:val="00BB5778"/>
    <w:rsid w:val="00BB5A19"/>
    <w:rsid w:val="00BB5B1C"/>
    <w:rsid w:val="00BB5B92"/>
    <w:rsid w:val="00BB5C7C"/>
    <w:rsid w:val="00BB642F"/>
    <w:rsid w:val="00BB6432"/>
    <w:rsid w:val="00BB65DE"/>
    <w:rsid w:val="00BB6621"/>
    <w:rsid w:val="00BB6838"/>
    <w:rsid w:val="00BB6951"/>
    <w:rsid w:val="00BB6C96"/>
    <w:rsid w:val="00BB6D12"/>
    <w:rsid w:val="00BB717C"/>
    <w:rsid w:val="00BB7628"/>
    <w:rsid w:val="00BB76F8"/>
    <w:rsid w:val="00BB7853"/>
    <w:rsid w:val="00BB796E"/>
    <w:rsid w:val="00BB7FCF"/>
    <w:rsid w:val="00BC02EE"/>
    <w:rsid w:val="00BC0491"/>
    <w:rsid w:val="00BC04D6"/>
    <w:rsid w:val="00BC04E5"/>
    <w:rsid w:val="00BC067F"/>
    <w:rsid w:val="00BC06E7"/>
    <w:rsid w:val="00BC0930"/>
    <w:rsid w:val="00BC0B0F"/>
    <w:rsid w:val="00BC0B86"/>
    <w:rsid w:val="00BC0FF2"/>
    <w:rsid w:val="00BC10F6"/>
    <w:rsid w:val="00BC1191"/>
    <w:rsid w:val="00BC15C8"/>
    <w:rsid w:val="00BC1771"/>
    <w:rsid w:val="00BC18A5"/>
    <w:rsid w:val="00BC191D"/>
    <w:rsid w:val="00BC1BB7"/>
    <w:rsid w:val="00BC1D33"/>
    <w:rsid w:val="00BC2091"/>
    <w:rsid w:val="00BC212F"/>
    <w:rsid w:val="00BC2168"/>
    <w:rsid w:val="00BC2233"/>
    <w:rsid w:val="00BC23E1"/>
    <w:rsid w:val="00BC280B"/>
    <w:rsid w:val="00BC2812"/>
    <w:rsid w:val="00BC2F47"/>
    <w:rsid w:val="00BC3176"/>
    <w:rsid w:val="00BC324A"/>
    <w:rsid w:val="00BC32B1"/>
    <w:rsid w:val="00BC33AC"/>
    <w:rsid w:val="00BC3516"/>
    <w:rsid w:val="00BC3607"/>
    <w:rsid w:val="00BC3A9B"/>
    <w:rsid w:val="00BC3CE3"/>
    <w:rsid w:val="00BC42C7"/>
    <w:rsid w:val="00BC4382"/>
    <w:rsid w:val="00BC4701"/>
    <w:rsid w:val="00BC4BC1"/>
    <w:rsid w:val="00BC4E6D"/>
    <w:rsid w:val="00BC5259"/>
    <w:rsid w:val="00BC532E"/>
    <w:rsid w:val="00BC53EC"/>
    <w:rsid w:val="00BC563F"/>
    <w:rsid w:val="00BC57B4"/>
    <w:rsid w:val="00BC598B"/>
    <w:rsid w:val="00BC59AA"/>
    <w:rsid w:val="00BC5CA0"/>
    <w:rsid w:val="00BC5CED"/>
    <w:rsid w:val="00BC60E4"/>
    <w:rsid w:val="00BC6147"/>
    <w:rsid w:val="00BC666E"/>
    <w:rsid w:val="00BC6B9E"/>
    <w:rsid w:val="00BC6BEA"/>
    <w:rsid w:val="00BC6DCA"/>
    <w:rsid w:val="00BC6E43"/>
    <w:rsid w:val="00BC7076"/>
    <w:rsid w:val="00BC713D"/>
    <w:rsid w:val="00BC7807"/>
    <w:rsid w:val="00BC7AF6"/>
    <w:rsid w:val="00BC7BDA"/>
    <w:rsid w:val="00BC7CF2"/>
    <w:rsid w:val="00BC7DE2"/>
    <w:rsid w:val="00BC7F76"/>
    <w:rsid w:val="00BD026E"/>
    <w:rsid w:val="00BD03E0"/>
    <w:rsid w:val="00BD087D"/>
    <w:rsid w:val="00BD0C75"/>
    <w:rsid w:val="00BD120E"/>
    <w:rsid w:val="00BD16A5"/>
    <w:rsid w:val="00BD1F35"/>
    <w:rsid w:val="00BD228A"/>
    <w:rsid w:val="00BD23BA"/>
    <w:rsid w:val="00BD2681"/>
    <w:rsid w:val="00BD2757"/>
    <w:rsid w:val="00BD27DA"/>
    <w:rsid w:val="00BD2B2F"/>
    <w:rsid w:val="00BD2C8F"/>
    <w:rsid w:val="00BD2D06"/>
    <w:rsid w:val="00BD2DA7"/>
    <w:rsid w:val="00BD2F2E"/>
    <w:rsid w:val="00BD3420"/>
    <w:rsid w:val="00BD3423"/>
    <w:rsid w:val="00BD35DD"/>
    <w:rsid w:val="00BD36CF"/>
    <w:rsid w:val="00BD3B75"/>
    <w:rsid w:val="00BD3DDB"/>
    <w:rsid w:val="00BD3EF3"/>
    <w:rsid w:val="00BD40F7"/>
    <w:rsid w:val="00BD421C"/>
    <w:rsid w:val="00BD4237"/>
    <w:rsid w:val="00BD45A7"/>
    <w:rsid w:val="00BD45EB"/>
    <w:rsid w:val="00BD4994"/>
    <w:rsid w:val="00BD4BA1"/>
    <w:rsid w:val="00BD4CFB"/>
    <w:rsid w:val="00BD56B7"/>
    <w:rsid w:val="00BD5764"/>
    <w:rsid w:val="00BD59F6"/>
    <w:rsid w:val="00BD5C41"/>
    <w:rsid w:val="00BD5FF2"/>
    <w:rsid w:val="00BD615F"/>
    <w:rsid w:val="00BD6292"/>
    <w:rsid w:val="00BD6347"/>
    <w:rsid w:val="00BD6525"/>
    <w:rsid w:val="00BD6544"/>
    <w:rsid w:val="00BD669E"/>
    <w:rsid w:val="00BD6981"/>
    <w:rsid w:val="00BD6EF7"/>
    <w:rsid w:val="00BD7025"/>
    <w:rsid w:val="00BD7568"/>
    <w:rsid w:val="00BD7601"/>
    <w:rsid w:val="00BD76E2"/>
    <w:rsid w:val="00BD79A3"/>
    <w:rsid w:val="00BD7C91"/>
    <w:rsid w:val="00BD7F27"/>
    <w:rsid w:val="00BD7FEC"/>
    <w:rsid w:val="00BE003E"/>
    <w:rsid w:val="00BE02AB"/>
    <w:rsid w:val="00BE03E3"/>
    <w:rsid w:val="00BE0446"/>
    <w:rsid w:val="00BE0665"/>
    <w:rsid w:val="00BE06DA"/>
    <w:rsid w:val="00BE08CA"/>
    <w:rsid w:val="00BE0948"/>
    <w:rsid w:val="00BE0B63"/>
    <w:rsid w:val="00BE0DDF"/>
    <w:rsid w:val="00BE10D2"/>
    <w:rsid w:val="00BE11B2"/>
    <w:rsid w:val="00BE12F9"/>
    <w:rsid w:val="00BE1996"/>
    <w:rsid w:val="00BE1A2D"/>
    <w:rsid w:val="00BE1B20"/>
    <w:rsid w:val="00BE1D23"/>
    <w:rsid w:val="00BE1D4F"/>
    <w:rsid w:val="00BE1E1E"/>
    <w:rsid w:val="00BE1F75"/>
    <w:rsid w:val="00BE211A"/>
    <w:rsid w:val="00BE2169"/>
    <w:rsid w:val="00BE227F"/>
    <w:rsid w:val="00BE2399"/>
    <w:rsid w:val="00BE23F4"/>
    <w:rsid w:val="00BE253C"/>
    <w:rsid w:val="00BE2DEE"/>
    <w:rsid w:val="00BE358B"/>
    <w:rsid w:val="00BE3AA0"/>
    <w:rsid w:val="00BE3D0D"/>
    <w:rsid w:val="00BE4140"/>
    <w:rsid w:val="00BE418F"/>
    <w:rsid w:val="00BE4441"/>
    <w:rsid w:val="00BE4B07"/>
    <w:rsid w:val="00BE4D56"/>
    <w:rsid w:val="00BE4ECC"/>
    <w:rsid w:val="00BE5059"/>
    <w:rsid w:val="00BE507D"/>
    <w:rsid w:val="00BE52D0"/>
    <w:rsid w:val="00BE539A"/>
    <w:rsid w:val="00BE5421"/>
    <w:rsid w:val="00BE557D"/>
    <w:rsid w:val="00BE593D"/>
    <w:rsid w:val="00BE5B3B"/>
    <w:rsid w:val="00BE5DCD"/>
    <w:rsid w:val="00BE62F3"/>
    <w:rsid w:val="00BE659C"/>
    <w:rsid w:val="00BE668B"/>
    <w:rsid w:val="00BE711A"/>
    <w:rsid w:val="00BE7196"/>
    <w:rsid w:val="00BE73C5"/>
    <w:rsid w:val="00BE769D"/>
    <w:rsid w:val="00BE7841"/>
    <w:rsid w:val="00BE78E9"/>
    <w:rsid w:val="00BE7A0B"/>
    <w:rsid w:val="00BE7B06"/>
    <w:rsid w:val="00BF0B05"/>
    <w:rsid w:val="00BF10D0"/>
    <w:rsid w:val="00BF1592"/>
    <w:rsid w:val="00BF1635"/>
    <w:rsid w:val="00BF1688"/>
    <w:rsid w:val="00BF19E0"/>
    <w:rsid w:val="00BF1E81"/>
    <w:rsid w:val="00BF2044"/>
    <w:rsid w:val="00BF260A"/>
    <w:rsid w:val="00BF2746"/>
    <w:rsid w:val="00BF2813"/>
    <w:rsid w:val="00BF2929"/>
    <w:rsid w:val="00BF2A8F"/>
    <w:rsid w:val="00BF2B7E"/>
    <w:rsid w:val="00BF2BCE"/>
    <w:rsid w:val="00BF30F7"/>
    <w:rsid w:val="00BF3259"/>
    <w:rsid w:val="00BF34DF"/>
    <w:rsid w:val="00BF350D"/>
    <w:rsid w:val="00BF3A39"/>
    <w:rsid w:val="00BF3D92"/>
    <w:rsid w:val="00BF426C"/>
    <w:rsid w:val="00BF4C38"/>
    <w:rsid w:val="00BF4C56"/>
    <w:rsid w:val="00BF4EB2"/>
    <w:rsid w:val="00BF5099"/>
    <w:rsid w:val="00BF5251"/>
    <w:rsid w:val="00BF5569"/>
    <w:rsid w:val="00BF591A"/>
    <w:rsid w:val="00BF5B23"/>
    <w:rsid w:val="00BF5F27"/>
    <w:rsid w:val="00BF5FFD"/>
    <w:rsid w:val="00BF6315"/>
    <w:rsid w:val="00BF6324"/>
    <w:rsid w:val="00BF6946"/>
    <w:rsid w:val="00BF694A"/>
    <w:rsid w:val="00BF69BC"/>
    <w:rsid w:val="00BF6C7B"/>
    <w:rsid w:val="00BF6D89"/>
    <w:rsid w:val="00BF6D98"/>
    <w:rsid w:val="00BF719E"/>
    <w:rsid w:val="00BF7259"/>
    <w:rsid w:val="00BF73EA"/>
    <w:rsid w:val="00BF7FE2"/>
    <w:rsid w:val="00C000EB"/>
    <w:rsid w:val="00C002B4"/>
    <w:rsid w:val="00C00486"/>
    <w:rsid w:val="00C0063D"/>
    <w:rsid w:val="00C00ACE"/>
    <w:rsid w:val="00C00DCF"/>
    <w:rsid w:val="00C01047"/>
    <w:rsid w:val="00C012C3"/>
    <w:rsid w:val="00C012CE"/>
    <w:rsid w:val="00C0190F"/>
    <w:rsid w:val="00C01A92"/>
    <w:rsid w:val="00C01B32"/>
    <w:rsid w:val="00C01F8D"/>
    <w:rsid w:val="00C020A3"/>
    <w:rsid w:val="00C0221C"/>
    <w:rsid w:val="00C03012"/>
    <w:rsid w:val="00C033B7"/>
    <w:rsid w:val="00C03496"/>
    <w:rsid w:val="00C0389D"/>
    <w:rsid w:val="00C038DF"/>
    <w:rsid w:val="00C03940"/>
    <w:rsid w:val="00C03960"/>
    <w:rsid w:val="00C03B95"/>
    <w:rsid w:val="00C03D16"/>
    <w:rsid w:val="00C0438E"/>
    <w:rsid w:val="00C047FE"/>
    <w:rsid w:val="00C05000"/>
    <w:rsid w:val="00C05228"/>
    <w:rsid w:val="00C0531D"/>
    <w:rsid w:val="00C05647"/>
    <w:rsid w:val="00C05769"/>
    <w:rsid w:val="00C05FF2"/>
    <w:rsid w:val="00C0617F"/>
    <w:rsid w:val="00C06475"/>
    <w:rsid w:val="00C065BC"/>
    <w:rsid w:val="00C06941"/>
    <w:rsid w:val="00C06D14"/>
    <w:rsid w:val="00C06EE5"/>
    <w:rsid w:val="00C07324"/>
    <w:rsid w:val="00C07575"/>
    <w:rsid w:val="00C079A5"/>
    <w:rsid w:val="00C07C22"/>
    <w:rsid w:val="00C10B44"/>
    <w:rsid w:val="00C10F7D"/>
    <w:rsid w:val="00C113A5"/>
    <w:rsid w:val="00C1141A"/>
    <w:rsid w:val="00C116A4"/>
    <w:rsid w:val="00C11C01"/>
    <w:rsid w:val="00C12187"/>
    <w:rsid w:val="00C12429"/>
    <w:rsid w:val="00C1251C"/>
    <w:rsid w:val="00C1275D"/>
    <w:rsid w:val="00C128CC"/>
    <w:rsid w:val="00C12EB9"/>
    <w:rsid w:val="00C13313"/>
    <w:rsid w:val="00C135CA"/>
    <w:rsid w:val="00C135FB"/>
    <w:rsid w:val="00C13F80"/>
    <w:rsid w:val="00C14246"/>
    <w:rsid w:val="00C143C1"/>
    <w:rsid w:val="00C1447F"/>
    <w:rsid w:val="00C14F51"/>
    <w:rsid w:val="00C14FBA"/>
    <w:rsid w:val="00C152A8"/>
    <w:rsid w:val="00C153B4"/>
    <w:rsid w:val="00C153CF"/>
    <w:rsid w:val="00C15881"/>
    <w:rsid w:val="00C15AB3"/>
    <w:rsid w:val="00C15AB7"/>
    <w:rsid w:val="00C15C51"/>
    <w:rsid w:val="00C160C4"/>
    <w:rsid w:val="00C1610F"/>
    <w:rsid w:val="00C16122"/>
    <w:rsid w:val="00C1686E"/>
    <w:rsid w:val="00C16B3D"/>
    <w:rsid w:val="00C16E14"/>
    <w:rsid w:val="00C16ED7"/>
    <w:rsid w:val="00C171D4"/>
    <w:rsid w:val="00C171DB"/>
    <w:rsid w:val="00C17448"/>
    <w:rsid w:val="00C179AD"/>
    <w:rsid w:val="00C17A26"/>
    <w:rsid w:val="00C17CA7"/>
    <w:rsid w:val="00C17D5C"/>
    <w:rsid w:val="00C17E0A"/>
    <w:rsid w:val="00C17E7F"/>
    <w:rsid w:val="00C203E1"/>
    <w:rsid w:val="00C205EC"/>
    <w:rsid w:val="00C20887"/>
    <w:rsid w:val="00C20B2C"/>
    <w:rsid w:val="00C20C58"/>
    <w:rsid w:val="00C20C9B"/>
    <w:rsid w:val="00C20DF9"/>
    <w:rsid w:val="00C21734"/>
    <w:rsid w:val="00C21EE9"/>
    <w:rsid w:val="00C2200F"/>
    <w:rsid w:val="00C22111"/>
    <w:rsid w:val="00C22125"/>
    <w:rsid w:val="00C22730"/>
    <w:rsid w:val="00C228A9"/>
    <w:rsid w:val="00C2290B"/>
    <w:rsid w:val="00C2294C"/>
    <w:rsid w:val="00C229D0"/>
    <w:rsid w:val="00C22BB5"/>
    <w:rsid w:val="00C2316F"/>
    <w:rsid w:val="00C233AD"/>
    <w:rsid w:val="00C233FE"/>
    <w:rsid w:val="00C239D5"/>
    <w:rsid w:val="00C23A46"/>
    <w:rsid w:val="00C23DCC"/>
    <w:rsid w:val="00C23EF1"/>
    <w:rsid w:val="00C24220"/>
    <w:rsid w:val="00C24247"/>
    <w:rsid w:val="00C2436F"/>
    <w:rsid w:val="00C24EA6"/>
    <w:rsid w:val="00C25051"/>
    <w:rsid w:val="00C25323"/>
    <w:rsid w:val="00C255D2"/>
    <w:rsid w:val="00C25649"/>
    <w:rsid w:val="00C25A6F"/>
    <w:rsid w:val="00C25B26"/>
    <w:rsid w:val="00C25B30"/>
    <w:rsid w:val="00C26329"/>
    <w:rsid w:val="00C26526"/>
    <w:rsid w:val="00C27273"/>
    <w:rsid w:val="00C27343"/>
    <w:rsid w:val="00C277E8"/>
    <w:rsid w:val="00C27A32"/>
    <w:rsid w:val="00C27C28"/>
    <w:rsid w:val="00C27F8A"/>
    <w:rsid w:val="00C30A7C"/>
    <w:rsid w:val="00C30CAF"/>
    <w:rsid w:val="00C30E1E"/>
    <w:rsid w:val="00C31AC5"/>
    <w:rsid w:val="00C31AF6"/>
    <w:rsid w:val="00C31DB3"/>
    <w:rsid w:val="00C3209A"/>
    <w:rsid w:val="00C320F0"/>
    <w:rsid w:val="00C32194"/>
    <w:rsid w:val="00C322BE"/>
    <w:rsid w:val="00C32F9E"/>
    <w:rsid w:val="00C33867"/>
    <w:rsid w:val="00C34366"/>
    <w:rsid w:val="00C3439F"/>
    <w:rsid w:val="00C34866"/>
    <w:rsid w:val="00C349AA"/>
    <w:rsid w:val="00C34C5E"/>
    <w:rsid w:val="00C34D07"/>
    <w:rsid w:val="00C34E34"/>
    <w:rsid w:val="00C3515A"/>
    <w:rsid w:val="00C352DD"/>
    <w:rsid w:val="00C35750"/>
    <w:rsid w:val="00C35A4F"/>
    <w:rsid w:val="00C35C16"/>
    <w:rsid w:val="00C35E5F"/>
    <w:rsid w:val="00C35FF6"/>
    <w:rsid w:val="00C36195"/>
    <w:rsid w:val="00C36233"/>
    <w:rsid w:val="00C365F3"/>
    <w:rsid w:val="00C36923"/>
    <w:rsid w:val="00C36A5D"/>
    <w:rsid w:val="00C3703B"/>
    <w:rsid w:val="00C37055"/>
    <w:rsid w:val="00C37732"/>
    <w:rsid w:val="00C37A44"/>
    <w:rsid w:val="00C37E5E"/>
    <w:rsid w:val="00C40245"/>
    <w:rsid w:val="00C405CC"/>
    <w:rsid w:val="00C407B3"/>
    <w:rsid w:val="00C408FE"/>
    <w:rsid w:val="00C40B41"/>
    <w:rsid w:val="00C40EAC"/>
    <w:rsid w:val="00C41511"/>
    <w:rsid w:val="00C415C0"/>
    <w:rsid w:val="00C41FFA"/>
    <w:rsid w:val="00C42167"/>
    <w:rsid w:val="00C42370"/>
    <w:rsid w:val="00C425B0"/>
    <w:rsid w:val="00C42EB2"/>
    <w:rsid w:val="00C4321E"/>
    <w:rsid w:val="00C43AB1"/>
    <w:rsid w:val="00C43F6E"/>
    <w:rsid w:val="00C445C6"/>
    <w:rsid w:val="00C4462A"/>
    <w:rsid w:val="00C449C9"/>
    <w:rsid w:val="00C44B54"/>
    <w:rsid w:val="00C44B5F"/>
    <w:rsid w:val="00C44E17"/>
    <w:rsid w:val="00C44E8B"/>
    <w:rsid w:val="00C44E9B"/>
    <w:rsid w:val="00C44EF9"/>
    <w:rsid w:val="00C45042"/>
    <w:rsid w:val="00C45144"/>
    <w:rsid w:val="00C4537E"/>
    <w:rsid w:val="00C454BC"/>
    <w:rsid w:val="00C45986"/>
    <w:rsid w:val="00C45E28"/>
    <w:rsid w:val="00C46085"/>
    <w:rsid w:val="00C460BD"/>
    <w:rsid w:val="00C464B3"/>
    <w:rsid w:val="00C46807"/>
    <w:rsid w:val="00C46AC3"/>
    <w:rsid w:val="00C46E5C"/>
    <w:rsid w:val="00C471F8"/>
    <w:rsid w:val="00C47219"/>
    <w:rsid w:val="00C47246"/>
    <w:rsid w:val="00C478CC"/>
    <w:rsid w:val="00C478F5"/>
    <w:rsid w:val="00C47D92"/>
    <w:rsid w:val="00C47FE2"/>
    <w:rsid w:val="00C5081B"/>
    <w:rsid w:val="00C50A66"/>
    <w:rsid w:val="00C50B35"/>
    <w:rsid w:val="00C50B51"/>
    <w:rsid w:val="00C50BBA"/>
    <w:rsid w:val="00C50BE1"/>
    <w:rsid w:val="00C50D13"/>
    <w:rsid w:val="00C50F86"/>
    <w:rsid w:val="00C50FF1"/>
    <w:rsid w:val="00C51412"/>
    <w:rsid w:val="00C51457"/>
    <w:rsid w:val="00C5195E"/>
    <w:rsid w:val="00C51F5C"/>
    <w:rsid w:val="00C521C1"/>
    <w:rsid w:val="00C52393"/>
    <w:rsid w:val="00C52457"/>
    <w:rsid w:val="00C52611"/>
    <w:rsid w:val="00C5266E"/>
    <w:rsid w:val="00C528A8"/>
    <w:rsid w:val="00C529FB"/>
    <w:rsid w:val="00C52AF1"/>
    <w:rsid w:val="00C52F20"/>
    <w:rsid w:val="00C52F4D"/>
    <w:rsid w:val="00C52F76"/>
    <w:rsid w:val="00C52FA4"/>
    <w:rsid w:val="00C53116"/>
    <w:rsid w:val="00C5340A"/>
    <w:rsid w:val="00C53479"/>
    <w:rsid w:val="00C53680"/>
    <w:rsid w:val="00C53E53"/>
    <w:rsid w:val="00C547AC"/>
    <w:rsid w:val="00C54BD0"/>
    <w:rsid w:val="00C54CBE"/>
    <w:rsid w:val="00C54CFE"/>
    <w:rsid w:val="00C55063"/>
    <w:rsid w:val="00C5550F"/>
    <w:rsid w:val="00C556FA"/>
    <w:rsid w:val="00C5574C"/>
    <w:rsid w:val="00C55DC9"/>
    <w:rsid w:val="00C55EB2"/>
    <w:rsid w:val="00C56099"/>
    <w:rsid w:val="00C5628D"/>
    <w:rsid w:val="00C562DF"/>
    <w:rsid w:val="00C573C1"/>
    <w:rsid w:val="00C57819"/>
    <w:rsid w:val="00C57FBD"/>
    <w:rsid w:val="00C604F4"/>
    <w:rsid w:val="00C60534"/>
    <w:rsid w:val="00C6077E"/>
    <w:rsid w:val="00C60926"/>
    <w:rsid w:val="00C60E5D"/>
    <w:rsid w:val="00C611A7"/>
    <w:rsid w:val="00C6127B"/>
    <w:rsid w:val="00C61448"/>
    <w:rsid w:val="00C615F5"/>
    <w:rsid w:val="00C617CD"/>
    <w:rsid w:val="00C61982"/>
    <w:rsid w:val="00C619B4"/>
    <w:rsid w:val="00C61DB4"/>
    <w:rsid w:val="00C61DDF"/>
    <w:rsid w:val="00C61ECD"/>
    <w:rsid w:val="00C61F6C"/>
    <w:rsid w:val="00C62261"/>
    <w:rsid w:val="00C622FB"/>
    <w:rsid w:val="00C62764"/>
    <w:rsid w:val="00C634FA"/>
    <w:rsid w:val="00C635BC"/>
    <w:rsid w:val="00C63A69"/>
    <w:rsid w:val="00C63D0C"/>
    <w:rsid w:val="00C63EEC"/>
    <w:rsid w:val="00C64026"/>
    <w:rsid w:val="00C641A0"/>
    <w:rsid w:val="00C64336"/>
    <w:rsid w:val="00C64B80"/>
    <w:rsid w:val="00C64F4B"/>
    <w:rsid w:val="00C654C7"/>
    <w:rsid w:val="00C6572F"/>
    <w:rsid w:val="00C657A0"/>
    <w:rsid w:val="00C65800"/>
    <w:rsid w:val="00C65C6C"/>
    <w:rsid w:val="00C66094"/>
    <w:rsid w:val="00C662B4"/>
    <w:rsid w:val="00C6651E"/>
    <w:rsid w:val="00C6677D"/>
    <w:rsid w:val="00C66A3E"/>
    <w:rsid w:val="00C66B8E"/>
    <w:rsid w:val="00C66CBC"/>
    <w:rsid w:val="00C66DD2"/>
    <w:rsid w:val="00C66F37"/>
    <w:rsid w:val="00C673D0"/>
    <w:rsid w:val="00C674D8"/>
    <w:rsid w:val="00C6761E"/>
    <w:rsid w:val="00C67916"/>
    <w:rsid w:val="00C67D3B"/>
    <w:rsid w:val="00C67FEF"/>
    <w:rsid w:val="00C70007"/>
    <w:rsid w:val="00C70031"/>
    <w:rsid w:val="00C70448"/>
    <w:rsid w:val="00C706C5"/>
    <w:rsid w:val="00C70ADF"/>
    <w:rsid w:val="00C70E07"/>
    <w:rsid w:val="00C70E2A"/>
    <w:rsid w:val="00C71E8C"/>
    <w:rsid w:val="00C7226A"/>
    <w:rsid w:val="00C723A3"/>
    <w:rsid w:val="00C726BA"/>
    <w:rsid w:val="00C72AA9"/>
    <w:rsid w:val="00C72BD0"/>
    <w:rsid w:val="00C72FD2"/>
    <w:rsid w:val="00C73018"/>
    <w:rsid w:val="00C73312"/>
    <w:rsid w:val="00C7341F"/>
    <w:rsid w:val="00C73643"/>
    <w:rsid w:val="00C73689"/>
    <w:rsid w:val="00C7378D"/>
    <w:rsid w:val="00C737C8"/>
    <w:rsid w:val="00C73980"/>
    <w:rsid w:val="00C73C5A"/>
    <w:rsid w:val="00C74201"/>
    <w:rsid w:val="00C743DB"/>
    <w:rsid w:val="00C7448E"/>
    <w:rsid w:val="00C744C3"/>
    <w:rsid w:val="00C74642"/>
    <w:rsid w:val="00C74676"/>
    <w:rsid w:val="00C74808"/>
    <w:rsid w:val="00C74A43"/>
    <w:rsid w:val="00C74F05"/>
    <w:rsid w:val="00C75102"/>
    <w:rsid w:val="00C75106"/>
    <w:rsid w:val="00C752A2"/>
    <w:rsid w:val="00C7565B"/>
    <w:rsid w:val="00C756D8"/>
    <w:rsid w:val="00C75BCA"/>
    <w:rsid w:val="00C75BCB"/>
    <w:rsid w:val="00C75D21"/>
    <w:rsid w:val="00C75E62"/>
    <w:rsid w:val="00C761E0"/>
    <w:rsid w:val="00C76439"/>
    <w:rsid w:val="00C768C7"/>
    <w:rsid w:val="00C76983"/>
    <w:rsid w:val="00C76EEF"/>
    <w:rsid w:val="00C770C8"/>
    <w:rsid w:val="00C771BD"/>
    <w:rsid w:val="00C77489"/>
    <w:rsid w:val="00C7764B"/>
    <w:rsid w:val="00C77753"/>
    <w:rsid w:val="00C803B4"/>
    <w:rsid w:val="00C80728"/>
    <w:rsid w:val="00C80773"/>
    <w:rsid w:val="00C80C80"/>
    <w:rsid w:val="00C80EBD"/>
    <w:rsid w:val="00C80F16"/>
    <w:rsid w:val="00C80FCC"/>
    <w:rsid w:val="00C80FE5"/>
    <w:rsid w:val="00C81414"/>
    <w:rsid w:val="00C8152E"/>
    <w:rsid w:val="00C815BC"/>
    <w:rsid w:val="00C81AFD"/>
    <w:rsid w:val="00C81D87"/>
    <w:rsid w:val="00C822D1"/>
    <w:rsid w:val="00C82372"/>
    <w:rsid w:val="00C8295A"/>
    <w:rsid w:val="00C82EB7"/>
    <w:rsid w:val="00C8321B"/>
    <w:rsid w:val="00C833AD"/>
    <w:rsid w:val="00C83658"/>
    <w:rsid w:val="00C837B9"/>
    <w:rsid w:val="00C83910"/>
    <w:rsid w:val="00C839D4"/>
    <w:rsid w:val="00C83DF2"/>
    <w:rsid w:val="00C83EFB"/>
    <w:rsid w:val="00C84204"/>
    <w:rsid w:val="00C84236"/>
    <w:rsid w:val="00C8458C"/>
    <w:rsid w:val="00C84A8A"/>
    <w:rsid w:val="00C84DAD"/>
    <w:rsid w:val="00C84F1E"/>
    <w:rsid w:val="00C8507C"/>
    <w:rsid w:val="00C8517B"/>
    <w:rsid w:val="00C852F8"/>
    <w:rsid w:val="00C85467"/>
    <w:rsid w:val="00C8577B"/>
    <w:rsid w:val="00C85905"/>
    <w:rsid w:val="00C85ADA"/>
    <w:rsid w:val="00C85D47"/>
    <w:rsid w:val="00C85FE8"/>
    <w:rsid w:val="00C86187"/>
    <w:rsid w:val="00C863F7"/>
    <w:rsid w:val="00C86880"/>
    <w:rsid w:val="00C86925"/>
    <w:rsid w:val="00C869CF"/>
    <w:rsid w:val="00C86EC6"/>
    <w:rsid w:val="00C8706A"/>
    <w:rsid w:val="00C874AB"/>
    <w:rsid w:val="00C87DFB"/>
    <w:rsid w:val="00C90239"/>
    <w:rsid w:val="00C90275"/>
    <w:rsid w:val="00C9066D"/>
    <w:rsid w:val="00C90F5C"/>
    <w:rsid w:val="00C91FED"/>
    <w:rsid w:val="00C92114"/>
    <w:rsid w:val="00C92420"/>
    <w:rsid w:val="00C926B1"/>
    <w:rsid w:val="00C927D4"/>
    <w:rsid w:val="00C92C8B"/>
    <w:rsid w:val="00C92F69"/>
    <w:rsid w:val="00C9301E"/>
    <w:rsid w:val="00C931F5"/>
    <w:rsid w:val="00C93B7B"/>
    <w:rsid w:val="00C93C27"/>
    <w:rsid w:val="00C93D89"/>
    <w:rsid w:val="00C93E76"/>
    <w:rsid w:val="00C94118"/>
    <w:rsid w:val="00C94559"/>
    <w:rsid w:val="00C9458D"/>
    <w:rsid w:val="00C9460D"/>
    <w:rsid w:val="00C94D98"/>
    <w:rsid w:val="00C94DA1"/>
    <w:rsid w:val="00C94F58"/>
    <w:rsid w:val="00C951CA"/>
    <w:rsid w:val="00C954D2"/>
    <w:rsid w:val="00C95720"/>
    <w:rsid w:val="00C95DEA"/>
    <w:rsid w:val="00C95E5D"/>
    <w:rsid w:val="00C960EB"/>
    <w:rsid w:val="00C963BE"/>
    <w:rsid w:val="00C96C6A"/>
    <w:rsid w:val="00C96F2D"/>
    <w:rsid w:val="00C96F3F"/>
    <w:rsid w:val="00C970EC"/>
    <w:rsid w:val="00C97136"/>
    <w:rsid w:val="00C973ED"/>
    <w:rsid w:val="00C978CE"/>
    <w:rsid w:val="00C97C7E"/>
    <w:rsid w:val="00C97D9A"/>
    <w:rsid w:val="00C97DB7"/>
    <w:rsid w:val="00CA0329"/>
    <w:rsid w:val="00CA0740"/>
    <w:rsid w:val="00CA0A40"/>
    <w:rsid w:val="00CA0F96"/>
    <w:rsid w:val="00CA116D"/>
    <w:rsid w:val="00CA181A"/>
    <w:rsid w:val="00CA197B"/>
    <w:rsid w:val="00CA1DC9"/>
    <w:rsid w:val="00CA2040"/>
    <w:rsid w:val="00CA2237"/>
    <w:rsid w:val="00CA2262"/>
    <w:rsid w:val="00CA23F8"/>
    <w:rsid w:val="00CA256B"/>
    <w:rsid w:val="00CA25BD"/>
    <w:rsid w:val="00CA2A53"/>
    <w:rsid w:val="00CA2BFA"/>
    <w:rsid w:val="00CA300D"/>
    <w:rsid w:val="00CA3287"/>
    <w:rsid w:val="00CA32B4"/>
    <w:rsid w:val="00CA33CC"/>
    <w:rsid w:val="00CA3892"/>
    <w:rsid w:val="00CA3AC8"/>
    <w:rsid w:val="00CA43F6"/>
    <w:rsid w:val="00CA4AF9"/>
    <w:rsid w:val="00CA4D31"/>
    <w:rsid w:val="00CA518E"/>
    <w:rsid w:val="00CA5438"/>
    <w:rsid w:val="00CA5670"/>
    <w:rsid w:val="00CA59B7"/>
    <w:rsid w:val="00CA5D07"/>
    <w:rsid w:val="00CA5D2D"/>
    <w:rsid w:val="00CA5F04"/>
    <w:rsid w:val="00CA5F99"/>
    <w:rsid w:val="00CA6397"/>
    <w:rsid w:val="00CA6494"/>
    <w:rsid w:val="00CA64A3"/>
    <w:rsid w:val="00CA67EC"/>
    <w:rsid w:val="00CA6D58"/>
    <w:rsid w:val="00CA6E91"/>
    <w:rsid w:val="00CA6FBC"/>
    <w:rsid w:val="00CA7835"/>
    <w:rsid w:val="00CA7AD3"/>
    <w:rsid w:val="00CA7D44"/>
    <w:rsid w:val="00CA7E14"/>
    <w:rsid w:val="00CA7ED1"/>
    <w:rsid w:val="00CA7FB7"/>
    <w:rsid w:val="00CB0052"/>
    <w:rsid w:val="00CB01D0"/>
    <w:rsid w:val="00CB0485"/>
    <w:rsid w:val="00CB087B"/>
    <w:rsid w:val="00CB0958"/>
    <w:rsid w:val="00CB0A17"/>
    <w:rsid w:val="00CB1004"/>
    <w:rsid w:val="00CB125D"/>
    <w:rsid w:val="00CB12F0"/>
    <w:rsid w:val="00CB1A21"/>
    <w:rsid w:val="00CB1E52"/>
    <w:rsid w:val="00CB242B"/>
    <w:rsid w:val="00CB258C"/>
    <w:rsid w:val="00CB2864"/>
    <w:rsid w:val="00CB29D6"/>
    <w:rsid w:val="00CB2F96"/>
    <w:rsid w:val="00CB329A"/>
    <w:rsid w:val="00CB3E43"/>
    <w:rsid w:val="00CB3ED8"/>
    <w:rsid w:val="00CB41FA"/>
    <w:rsid w:val="00CB43DB"/>
    <w:rsid w:val="00CB457B"/>
    <w:rsid w:val="00CB469A"/>
    <w:rsid w:val="00CB4D77"/>
    <w:rsid w:val="00CB5546"/>
    <w:rsid w:val="00CB591D"/>
    <w:rsid w:val="00CB59BA"/>
    <w:rsid w:val="00CB5B59"/>
    <w:rsid w:val="00CB5C4E"/>
    <w:rsid w:val="00CB5CE7"/>
    <w:rsid w:val="00CB5E47"/>
    <w:rsid w:val="00CB65C6"/>
    <w:rsid w:val="00CB65F7"/>
    <w:rsid w:val="00CB66DD"/>
    <w:rsid w:val="00CB734E"/>
    <w:rsid w:val="00CB7598"/>
    <w:rsid w:val="00CB7939"/>
    <w:rsid w:val="00CB7CEC"/>
    <w:rsid w:val="00CB7D64"/>
    <w:rsid w:val="00CC0155"/>
    <w:rsid w:val="00CC015B"/>
    <w:rsid w:val="00CC04A4"/>
    <w:rsid w:val="00CC06CE"/>
    <w:rsid w:val="00CC0E0A"/>
    <w:rsid w:val="00CC141E"/>
    <w:rsid w:val="00CC145A"/>
    <w:rsid w:val="00CC151C"/>
    <w:rsid w:val="00CC17CB"/>
    <w:rsid w:val="00CC1ABB"/>
    <w:rsid w:val="00CC1E99"/>
    <w:rsid w:val="00CC2AA7"/>
    <w:rsid w:val="00CC2EC1"/>
    <w:rsid w:val="00CC32E6"/>
    <w:rsid w:val="00CC3472"/>
    <w:rsid w:val="00CC3811"/>
    <w:rsid w:val="00CC3F44"/>
    <w:rsid w:val="00CC3F82"/>
    <w:rsid w:val="00CC41DE"/>
    <w:rsid w:val="00CC4394"/>
    <w:rsid w:val="00CC4982"/>
    <w:rsid w:val="00CC4B5A"/>
    <w:rsid w:val="00CC4C3E"/>
    <w:rsid w:val="00CC51FC"/>
    <w:rsid w:val="00CC531E"/>
    <w:rsid w:val="00CC5755"/>
    <w:rsid w:val="00CC5D6C"/>
    <w:rsid w:val="00CC6147"/>
    <w:rsid w:val="00CC6460"/>
    <w:rsid w:val="00CC6670"/>
    <w:rsid w:val="00CC677C"/>
    <w:rsid w:val="00CC6A5D"/>
    <w:rsid w:val="00CC7810"/>
    <w:rsid w:val="00CC7CF4"/>
    <w:rsid w:val="00CC7DCC"/>
    <w:rsid w:val="00CC7EFC"/>
    <w:rsid w:val="00CC7F24"/>
    <w:rsid w:val="00CC7F5A"/>
    <w:rsid w:val="00CC7FA7"/>
    <w:rsid w:val="00CD0408"/>
    <w:rsid w:val="00CD053E"/>
    <w:rsid w:val="00CD06B3"/>
    <w:rsid w:val="00CD07A4"/>
    <w:rsid w:val="00CD0A00"/>
    <w:rsid w:val="00CD0AD7"/>
    <w:rsid w:val="00CD0E05"/>
    <w:rsid w:val="00CD0E61"/>
    <w:rsid w:val="00CD0FCD"/>
    <w:rsid w:val="00CD11BC"/>
    <w:rsid w:val="00CD173F"/>
    <w:rsid w:val="00CD25D7"/>
    <w:rsid w:val="00CD3156"/>
    <w:rsid w:val="00CD3877"/>
    <w:rsid w:val="00CD3880"/>
    <w:rsid w:val="00CD3BC2"/>
    <w:rsid w:val="00CD4173"/>
    <w:rsid w:val="00CD4352"/>
    <w:rsid w:val="00CD464E"/>
    <w:rsid w:val="00CD4A7B"/>
    <w:rsid w:val="00CD508D"/>
    <w:rsid w:val="00CD5270"/>
    <w:rsid w:val="00CD55FA"/>
    <w:rsid w:val="00CD5FD1"/>
    <w:rsid w:val="00CD613F"/>
    <w:rsid w:val="00CD75D5"/>
    <w:rsid w:val="00CD7E7E"/>
    <w:rsid w:val="00CE0021"/>
    <w:rsid w:val="00CE03B4"/>
    <w:rsid w:val="00CE04D9"/>
    <w:rsid w:val="00CE07CF"/>
    <w:rsid w:val="00CE084A"/>
    <w:rsid w:val="00CE09FD"/>
    <w:rsid w:val="00CE116E"/>
    <w:rsid w:val="00CE1367"/>
    <w:rsid w:val="00CE16E4"/>
    <w:rsid w:val="00CE171F"/>
    <w:rsid w:val="00CE1741"/>
    <w:rsid w:val="00CE1B37"/>
    <w:rsid w:val="00CE1B94"/>
    <w:rsid w:val="00CE1CA6"/>
    <w:rsid w:val="00CE1E31"/>
    <w:rsid w:val="00CE235E"/>
    <w:rsid w:val="00CE26D6"/>
    <w:rsid w:val="00CE28C5"/>
    <w:rsid w:val="00CE2D02"/>
    <w:rsid w:val="00CE2E48"/>
    <w:rsid w:val="00CE2F8C"/>
    <w:rsid w:val="00CE3003"/>
    <w:rsid w:val="00CE30A1"/>
    <w:rsid w:val="00CE327F"/>
    <w:rsid w:val="00CE335A"/>
    <w:rsid w:val="00CE3C62"/>
    <w:rsid w:val="00CE3CF5"/>
    <w:rsid w:val="00CE40F9"/>
    <w:rsid w:val="00CE4101"/>
    <w:rsid w:val="00CE4229"/>
    <w:rsid w:val="00CE4257"/>
    <w:rsid w:val="00CE43A1"/>
    <w:rsid w:val="00CE4AE1"/>
    <w:rsid w:val="00CE4CB2"/>
    <w:rsid w:val="00CE57EC"/>
    <w:rsid w:val="00CE5862"/>
    <w:rsid w:val="00CE590C"/>
    <w:rsid w:val="00CE5B67"/>
    <w:rsid w:val="00CE6338"/>
    <w:rsid w:val="00CE65F3"/>
    <w:rsid w:val="00CE680A"/>
    <w:rsid w:val="00CE6825"/>
    <w:rsid w:val="00CE6907"/>
    <w:rsid w:val="00CE6A4B"/>
    <w:rsid w:val="00CE6D0D"/>
    <w:rsid w:val="00CE6D6F"/>
    <w:rsid w:val="00CE71E3"/>
    <w:rsid w:val="00CE71F7"/>
    <w:rsid w:val="00CE7451"/>
    <w:rsid w:val="00CE76C5"/>
    <w:rsid w:val="00CE77BA"/>
    <w:rsid w:val="00CE780E"/>
    <w:rsid w:val="00CE7DD9"/>
    <w:rsid w:val="00CE7EB0"/>
    <w:rsid w:val="00CF02E0"/>
    <w:rsid w:val="00CF0321"/>
    <w:rsid w:val="00CF075B"/>
    <w:rsid w:val="00CF0D5D"/>
    <w:rsid w:val="00CF0DB6"/>
    <w:rsid w:val="00CF0FA0"/>
    <w:rsid w:val="00CF0FB6"/>
    <w:rsid w:val="00CF106B"/>
    <w:rsid w:val="00CF112B"/>
    <w:rsid w:val="00CF13AE"/>
    <w:rsid w:val="00CF183E"/>
    <w:rsid w:val="00CF1928"/>
    <w:rsid w:val="00CF1C6B"/>
    <w:rsid w:val="00CF206B"/>
    <w:rsid w:val="00CF2164"/>
    <w:rsid w:val="00CF21CA"/>
    <w:rsid w:val="00CF2543"/>
    <w:rsid w:val="00CF26E1"/>
    <w:rsid w:val="00CF27CE"/>
    <w:rsid w:val="00CF28EB"/>
    <w:rsid w:val="00CF309C"/>
    <w:rsid w:val="00CF352F"/>
    <w:rsid w:val="00CF3566"/>
    <w:rsid w:val="00CF35F4"/>
    <w:rsid w:val="00CF379B"/>
    <w:rsid w:val="00CF3A66"/>
    <w:rsid w:val="00CF3B46"/>
    <w:rsid w:val="00CF3EFA"/>
    <w:rsid w:val="00CF3F8C"/>
    <w:rsid w:val="00CF3F97"/>
    <w:rsid w:val="00CF411D"/>
    <w:rsid w:val="00CF4120"/>
    <w:rsid w:val="00CF4767"/>
    <w:rsid w:val="00CF48A1"/>
    <w:rsid w:val="00CF4AC4"/>
    <w:rsid w:val="00CF5160"/>
    <w:rsid w:val="00CF532A"/>
    <w:rsid w:val="00CF5FAB"/>
    <w:rsid w:val="00CF680C"/>
    <w:rsid w:val="00CF69E8"/>
    <w:rsid w:val="00CF6D7E"/>
    <w:rsid w:val="00CF6EB6"/>
    <w:rsid w:val="00CF7542"/>
    <w:rsid w:val="00CF7A0F"/>
    <w:rsid w:val="00CF7C88"/>
    <w:rsid w:val="00D0017C"/>
    <w:rsid w:val="00D002F2"/>
    <w:rsid w:val="00D00611"/>
    <w:rsid w:val="00D0062C"/>
    <w:rsid w:val="00D008A9"/>
    <w:rsid w:val="00D00AE0"/>
    <w:rsid w:val="00D00C82"/>
    <w:rsid w:val="00D0126D"/>
    <w:rsid w:val="00D01271"/>
    <w:rsid w:val="00D015DE"/>
    <w:rsid w:val="00D01F61"/>
    <w:rsid w:val="00D02607"/>
    <w:rsid w:val="00D0270F"/>
    <w:rsid w:val="00D02DC5"/>
    <w:rsid w:val="00D02F9B"/>
    <w:rsid w:val="00D0343B"/>
    <w:rsid w:val="00D0358C"/>
    <w:rsid w:val="00D03642"/>
    <w:rsid w:val="00D03CA4"/>
    <w:rsid w:val="00D03CC3"/>
    <w:rsid w:val="00D03E70"/>
    <w:rsid w:val="00D03FD0"/>
    <w:rsid w:val="00D03FE6"/>
    <w:rsid w:val="00D042BC"/>
    <w:rsid w:val="00D04C50"/>
    <w:rsid w:val="00D04DC4"/>
    <w:rsid w:val="00D04EED"/>
    <w:rsid w:val="00D050BC"/>
    <w:rsid w:val="00D053AC"/>
    <w:rsid w:val="00D05D81"/>
    <w:rsid w:val="00D05E3F"/>
    <w:rsid w:val="00D05FD5"/>
    <w:rsid w:val="00D06102"/>
    <w:rsid w:val="00D061AA"/>
    <w:rsid w:val="00D064BF"/>
    <w:rsid w:val="00D06737"/>
    <w:rsid w:val="00D0674B"/>
    <w:rsid w:val="00D06901"/>
    <w:rsid w:val="00D06A92"/>
    <w:rsid w:val="00D07134"/>
    <w:rsid w:val="00D07357"/>
    <w:rsid w:val="00D075E3"/>
    <w:rsid w:val="00D07D72"/>
    <w:rsid w:val="00D07FF1"/>
    <w:rsid w:val="00D100F8"/>
    <w:rsid w:val="00D104D2"/>
    <w:rsid w:val="00D1057E"/>
    <w:rsid w:val="00D10955"/>
    <w:rsid w:val="00D10A7F"/>
    <w:rsid w:val="00D10E08"/>
    <w:rsid w:val="00D1130D"/>
    <w:rsid w:val="00D113EF"/>
    <w:rsid w:val="00D1160C"/>
    <w:rsid w:val="00D11625"/>
    <w:rsid w:val="00D118DE"/>
    <w:rsid w:val="00D11A17"/>
    <w:rsid w:val="00D12279"/>
    <w:rsid w:val="00D1243D"/>
    <w:rsid w:val="00D12489"/>
    <w:rsid w:val="00D12794"/>
    <w:rsid w:val="00D12958"/>
    <w:rsid w:val="00D1320B"/>
    <w:rsid w:val="00D13BC1"/>
    <w:rsid w:val="00D14BC5"/>
    <w:rsid w:val="00D155DA"/>
    <w:rsid w:val="00D1568F"/>
    <w:rsid w:val="00D15966"/>
    <w:rsid w:val="00D15AA4"/>
    <w:rsid w:val="00D15DB6"/>
    <w:rsid w:val="00D15FC1"/>
    <w:rsid w:val="00D1624E"/>
    <w:rsid w:val="00D162D1"/>
    <w:rsid w:val="00D168FE"/>
    <w:rsid w:val="00D171A1"/>
    <w:rsid w:val="00D17511"/>
    <w:rsid w:val="00D17705"/>
    <w:rsid w:val="00D1797D"/>
    <w:rsid w:val="00D17CB5"/>
    <w:rsid w:val="00D17FF6"/>
    <w:rsid w:val="00D2017E"/>
    <w:rsid w:val="00D20186"/>
    <w:rsid w:val="00D204D4"/>
    <w:rsid w:val="00D20914"/>
    <w:rsid w:val="00D20CC0"/>
    <w:rsid w:val="00D21002"/>
    <w:rsid w:val="00D210A2"/>
    <w:rsid w:val="00D212E9"/>
    <w:rsid w:val="00D213C7"/>
    <w:rsid w:val="00D215CB"/>
    <w:rsid w:val="00D2187F"/>
    <w:rsid w:val="00D22BAA"/>
    <w:rsid w:val="00D22BEA"/>
    <w:rsid w:val="00D23943"/>
    <w:rsid w:val="00D24250"/>
    <w:rsid w:val="00D24319"/>
    <w:rsid w:val="00D24533"/>
    <w:rsid w:val="00D24D07"/>
    <w:rsid w:val="00D2531F"/>
    <w:rsid w:val="00D2550A"/>
    <w:rsid w:val="00D2580B"/>
    <w:rsid w:val="00D258E3"/>
    <w:rsid w:val="00D25A43"/>
    <w:rsid w:val="00D25DA8"/>
    <w:rsid w:val="00D25E49"/>
    <w:rsid w:val="00D26419"/>
    <w:rsid w:val="00D267A8"/>
    <w:rsid w:val="00D26A6D"/>
    <w:rsid w:val="00D26A9D"/>
    <w:rsid w:val="00D26C17"/>
    <w:rsid w:val="00D26E5E"/>
    <w:rsid w:val="00D26F0D"/>
    <w:rsid w:val="00D27384"/>
    <w:rsid w:val="00D27449"/>
    <w:rsid w:val="00D2752A"/>
    <w:rsid w:val="00D27F03"/>
    <w:rsid w:val="00D301D9"/>
    <w:rsid w:val="00D30E0A"/>
    <w:rsid w:val="00D30F49"/>
    <w:rsid w:val="00D30FBB"/>
    <w:rsid w:val="00D31195"/>
    <w:rsid w:val="00D316D5"/>
    <w:rsid w:val="00D31AB5"/>
    <w:rsid w:val="00D31EB3"/>
    <w:rsid w:val="00D31F33"/>
    <w:rsid w:val="00D32330"/>
    <w:rsid w:val="00D328D4"/>
    <w:rsid w:val="00D32C71"/>
    <w:rsid w:val="00D32F30"/>
    <w:rsid w:val="00D332FF"/>
    <w:rsid w:val="00D334C1"/>
    <w:rsid w:val="00D334EF"/>
    <w:rsid w:val="00D3368A"/>
    <w:rsid w:val="00D33954"/>
    <w:rsid w:val="00D3399B"/>
    <w:rsid w:val="00D33B0F"/>
    <w:rsid w:val="00D340EF"/>
    <w:rsid w:val="00D3479E"/>
    <w:rsid w:val="00D34D87"/>
    <w:rsid w:val="00D34F40"/>
    <w:rsid w:val="00D35894"/>
    <w:rsid w:val="00D35918"/>
    <w:rsid w:val="00D3594A"/>
    <w:rsid w:val="00D35B59"/>
    <w:rsid w:val="00D35C15"/>
    <w:rsid w:val="00D35E6D"/>
    <w:rsid w:val="00D360D0"/>
    <w:rsid w:val="00D36317"/>
    <w:rsid w:val="00D363A6"/>
    <w:rsid w:val="00D3645A"/>
    <w:rsid w:val="00D36D17"/>
    <w:rsid w:val="00D3713A"/>
    <w:rsid w:val="00D37254"/>
    <w:rsid w:val="00D376C8"/>
    <w:rsid w:val="00D37DBB"/>
    <w:rsid w:val="00D37DE1"/>
    <w:rsid w:val="00D37EBC"/>
    <w:rsid w:val="00D4010F"/>
    <w:rsid w:val="00D401A3"/>
    <w:rsid w:val="00D403F1"/>
    <w:rsid w:val="00D40871"/>
    <w:rsid w:val="00D409FB"/>
    <w:rsid w:val="00D40DA5"/>
    <w:rsid w:val="00D40F13"/>
    <w:rsid w:val="00D41463"/>
    <w:rsid w:val="00D4146E"/>
    <w:rsid w:val="00D416C1"/>
    <w:rsid w:val="00D4178B"/>
    <w:rsid w:val="00D41807"/>
    <w:rsid w:val="00D41D58"/>
    <w:rsid w:val="00D4208E"/>
    <w:rsid w:val="00D42350"/>
    <w:rsid w:val="00D423DC"/>
    <w:rsid w:val="00D42FE0"/>
    <w:rsid w:val="00D4308D"/>
    <w:rsid w:val="00D43135"/>
    <w:rsid w:val="00D4319C"/>
    <w:rsid w:val="00D4325F"/>
    <w:rsid w:val="00D433E6"/>
    <w:rsid w:val="00D433EB"/>
    <w:rsid w:val="00D43596"/>
    <w:rsid w:val="00D435A0"/>
    <w:rsid w:val="00D43A43"/>
    <w:rsid w:val="00D43B23"/>
    <w:rsid w:val="00D43B95"/>
    <w:rsid w:val="00D43F8C"/>
    <w:rsid w:val="00D445BC"/>
    <w:rsid w:val="00D44CE9"/>
    <w:rsid w:val="00D451DC"/>
    <w:rsid w:val="00D4526F"/>
    <w:rsid w:val="00D452F0"/>
    <w:rsid w:val="00D453F0"/>
    <w:rsid w:val="00D45983"/>
    <w:rsid w:val="00D45E90"/>
    <w:rsid w:val="00D45F71"/>
    <w:rsid w:val="00D462AF"/>
    <w:rsid w:val="00D462CB"/>
    <w:rsid w:val="00D464F5"/>
    <w:rsid w:val="00D46905"/>
    <w:rsid w:val="00D46977"/>
    <w:rsid w:val="00D46A6F"/>
    <w:rsid w:val="00D46B19"/>
    <w:rsid w:val="00D46C42"/>
    <w:rsid w:val="00D47384"/>
    <w:rsid w:val="00D477C3"/>
    <w:rsid w:val="00D47BF0"/>
    <w:rsid w:val="00D47C25"/>
    <w:rsid w:val="00D47D24"/>
    <w:rsid w:val="00D47D8F"/>
    <w:rsid w:val="00D501F7"/>
    <w:rsid w:val="00D509D9"/>
    <w:rsid w:val="00D50A85"/>
    <w:rsid w:val="00D50BA3"/>
    <w:rsid w:val="00D50C28"/>
    <w:rsid w:val="00D50FE5"/>
    <w:rsid w:val="00D513BF"/>
    <w:rsid w:val="00D513EB"/>
    <w:rsid w:val="00D51429"/>
    <w:rsid w:val="00D5147A"/>
    <w:rsid w:val="00D515DC"/>
    <w:rsid w:val="00D51718"/>
    <w:rsid w:val="00D51862"/>
    <w:rsid w:val="00D519BB"/>
    <w:rsid w:val="00D51C34"/>
    <w:rsid w:val="00D51FEB"/>
    <w:rsid w:val="00D52026"/>
    <w:rsid w:val="00D522E4"/>
    <w:rsid w:val="00D525BA"/>
    <w:rsid w:val="00D52AA7"/>
    <w:rsid w:val="00D52B6C"/>
    <w:rsid w:val="00D52EA2"/>
    <w:rsid w:val="00D532D0"/>
    <w:rsid w:val="00D533C5"/>
    <w:rsid w:val="00D53483"/>
    <w:rsid w:val="00D53720"/>
    <w:rsid w:val="00D53B26"/>
    <w:rsid w:val="00D547E9"/>
    <w:rsid w:val="00D5506F"/>
    <w:rsid w:val="00D552EB"/>
    <w:rsid w:val="00D55BA8"/>
    <w:rsid w:val="00D55CB5"/>
    <w:rsid w:val="00D55D22"/>
    <w:rsid w:val="00D55D81"/>
    <w:rsid w:val="00D56193"/>
    <w:rsid w:val="00D56832"/>
    <w:rsid w:val="00D56860"/>
    <w:rsid w:val="00D56A42"/>
    <w:rsid w:val="00D56C21"/>
    <w:rsid w:val="00D574F0"/>
    <w:rsid w:val="00D577FD"/>
    <w:rsid w:val="00D57812"/>
    <w:rsid w:val="00D57A6B"/>
    <w:rsid w:val="00D57F70"/>
    <w:rsid w:val="00D6043E"/>
    <w:rsid w:val="00D60691"/>
    <w:rsid w:val="00D60766"/>
    <w:rsid w:val="00D60DED"/>
    <w:rsid w:val="00D61100"/>
    <w:rsid w:val="00D61316"/>
    <w:rsid w:val="00D61419"/>
    <w:rsid w:val="00D6147B"/>
    <w:rsid w:val="00D61BE3"/>
    <w:rsid w:val="00D62020"/>
    <w:rsid w:val="00D623E0"/>
    <w:rsid w:val="00D623F5"/>
    <w:rsid w:val="00D624D5"/>
    <w:rsid w:val="00D624DC"/>
    <w:rsid w:val="00D625E5"/>
    <w:rsid w:val="00D62742"/>
    <w:rsid w:val="00D62DC7"/>
    <w:rsid w:val="00D62E68"/>
    <w:rsid w:val="00D62EF0"/>
    <w:rsid w:val="00D636AB"/>
    <w:rsid w:val="00D636D9"/>
    <w:rsid w:val="00D6380E"/>
    <w:rsid w:val="00D6391D"/>
    <w:rsid w:val="00D63AEC"/>
    <w:rsid w:val="00D63D1C"/>
    <w:rsid w:val="00D63E17"/>
    <w:rsid w:val="00D63EB8"/>
    <w:rsid w:val="00D64932"/>
    <w:rsid w:val="00D64965"/>
    <w:rsid w:val="00D64AA7"/>
    <w:rsid w:val="00D64B5A"/>
    <w:rsid w:val="00D64C91"/>
    <w:rsid w:val="00D64E61"/>
    <w:rsid w:val="00D650AE"/>
    <w:rsid w:val="00D650B9"/>
    <w:rsid w:val="00D650E0"/>
    <w:rsid w:val="00D6521C"/>
    <w:rsid w:val="00D652A2"/>
    <w:rsid w:val="00D65BC6"/>
    <w:rsid w:val="00D65D46"/>
    <w:rsid w:val="00D667AC"/>
    <w:rsid w:val="00D66D5D"/>
    <w:rsid w:val="00D66D66"/>
    <w:rsid w:val="00D670A2"/>
    <w:rsid w:val="00D670CC"/>
    <w:rsid w:val="00D6738A"/>
    <w:rsid w:val="00D67632"/>
    <w:rsid w:val="00D67766"/>
    <w:rsid w:val="00D67C40"/>
    <w:rsid w:val="00D67D67"/>
    <w:rsid w:val="00D67E30"/>
    <w:rsid w:val="00D70244"/>
    <w:rsid w:val="00D7050A"/>
    <w:rsid w:val="00D705FC"/>
    <w:rsid w:val="00D712C0"/>
    <w:rsid w:val="00D712DF"/>
    <w:rsid w:val="00D717D3"/>
    <w:rsid w:val="00D71CA7"/>
    <w:rsid w:val="00D71DDD"/>
    <w:rsid w:val="00D72366"/>
    <w:rsid w:val="00D72798"/>
    <w:rsid w:val="00D728B1"/>
    <w:rsid w:val="00D72C98"/>
    <w:rsid w:val="00D72E5F"/>
    <w:rsid w:val="00D733FB"/>
    <w:rsid w:val="00D73489"/>
    <w:rsid w:val="00D73678"/>
    <w:rsid w:val="00D7387B"/>
    <w:rsid w:val="00D73BC2"/>
    <w:rsid w:val="00D73C2A"/>
    <w:rsid w:val="00D73DFD"/>
    <w:rsid w:val="00D73E65"/>
    <w:rsid w:val="00D7478A"/>
    <w:rsid w:val="00D74983"/>
    <w:rsid w:val="00D74BC4"/>
    <w:rsid w:val="00D74BDC"/>
    <w:rsid w:val="00D74D02"/>
    <w:rsid w:val="00D74DF5"/>
    <w:rsid w:val="00D750B6"/>
    <w:rsid w:val="00D764D3"/>
    <w:rsid w:val="00D76923"/>
    <w:rsid w:val="00D77006"/>
    <w:rsid w:val="00D771D7"/>
    <w:rsid w:val="00D77241"/>
    <w:rsid w:val="00D774D2"/>
    <w:rsid w:val="00D776F9"/>
    <w:rsid w:val="00D77AEE"/>
    <w:rsid w:val="00D80067"/>
    <w:rsid w:val="00D800DB"/>
    <w:rsid w:val="00D804D5"/>
    <w:rsid w:val="00D807DE"/>
    <w:rsid w:val="00D80821"/>
    <w:rsid w:val="00D80A39"/>
    <w:rsid w:val="00D80C67"/>
    <w:rsid w:val="00D80E3F"/>
    <w:rsid w:val="00D80EC2"/>
    <w:rsid w:val="00D81433"/>
    <w:rsid w:val="00D81816"/>
    <w:rsid w:val="00D818E5"/>
    <w:rsid w:val="00D81EBD"/>
    <w:rsid w:val="00D82257"/>
    <w:rsid w:val="00D82970"/>
    <w:rsid w:val="00D829E5"/>
    <w:rsid w:val="00D82B91"/>
    <w:rsid w:val="00D82D7B"/>
    <w:rsid w:val="00D83104"/>
    <w:rsid w:val="00D83394"/>
    <w:rsid w:val="00D83482"/>
    <w:rsid w:val="00D836B6"/>
    <w:rsid w:val="00D836B8"/>
    <w:rsid w:val="00D83C75"/>
    <w:rsid w:val="00D83F2E"/>
    <w:rsid w:val="00D841A1"/>
    <w:rsid w:val="00D847EE"/>
    <w:rsid w:val="00D84CDA"/>
    <w:rsid w:val="00D84E7F"/>
    <w:rsid w:val="00D851EB"/>
    <w:rsid w:val="00D85704"/>
    <w:rsid w:val="00D857CC"/>
    <w:rsid w:val="00D85C28"/>
    <w:rsid w:val="00D85FC5"/>
    <w:rsid w:val="00D86238"/>
    <w:rsid w:val="00D86D9F"/>
    <w:rsid w:val="00D86E2E"/>
    <w:rsid w:val="00D86EF4"/>
    <w:rsid w:val="00D873AC"/>
    <w:rsid w:val="00D87680"/>
    <w:rsid w:val="00D90100"/>
    <w:rsid w:val="00D9061E"/>
    <w:rsid w:val="00D90805"/>
    <w:rsid w:val="00D9084C"/>
    <w:rsid w:val="00D90952"/>
    <w:rsid w:val="00D90A7B"/>
    <w:rsid w:val="00D90D55"/>
    <w:rsid w:val="00D90D88"/>
    <w:rsid w:val="00D91042"/>
    <w:rsid w:val="00D9179D"/>
    <w:rsid w:val="00D91ADB"/>
    <w:rsid w:val="00D91F7D"/>
    <w:rsid w:val="00D922D2"/>
    <w:rsid w:val="00D92349"/>
    <w:rsid w:val="00D92651"/>
    <w:rsid w:val="00D92844"/>
    <w:rsid w:val="00D92E24"/>
    <w:rsid w:val="00D93836"/>
    <w:rsid w:val="00D939B5"/>
    <w:rsid w:val="00D93BB5"/>
    <w:rsid w:val="00D93F3A"/>
    <w:rsid w:val="00D94199"/>
    <w:rsid w:val="00D943A3"/>
    <w:rsid w:val="00D94415"/>
    <w:rsid w:val="00D94457"/>
    <w:rsid w:val="00D9468F"/>
    <w:rsid w:val="00D94BA1"/>
    <w:rsid w:val="00D94BA5"/>
    <w:rsid w:val="00D94DC3"/>
    <w:rsid w:val="00D95529"/>
    <w:rsid w:val="00D9558F"/>
    <w:rsid w:val="00D960EB"/>
    <w:rsid w:val="00D96131"/>
    <w:rsid w:val="00D961E8"/>
    <w:rsid w:val="00D9678F"/>
    <w:rsid w:val="00D9695D"/>
    <w:rsid w:val="00D96A38"/>
    <w:rsid w:val="00D96BDC"/>
    <w:rsid w:val="00D971E5"/>
    <w:rsid w:val="00D97449"/>
    <w:rsid w:val="00D975D1"/>
    <w:rsid w:val="00D977DA"/>
    <w:rsid w:val="00DA0A8E"/>
    <w:rsid w:val="00DA0C25"/>
    <w:rsid w:val="00DA0F8F"/>
    <w:rsid w:val="00DA1194"/>
    <w:rsid w:val="00DA121C"/>
    <w:rsid w:val="00DA125E"/>
    <w:rsid w:val="00DA135E"/>
    <w:rsid w:val="00DA158F"/>
    <w:rsid w:val="00DA197D"/>
    <w:rsid w:val="00DA1EE7"/>
    <w:rsid w:val="00DA213A"/>
    <w:rsid w:val="00DA221B"/>
    <w:rsid w:val="00DA2688"/>
    <w:rsid w:val="00DA28BF"/>
    <w:rsid w:val="00DA29A6"/>
    <w:rsid w:val="00DA2E79"/>
    <w:rsid w:val="00DA3250"/>
    <w:rsid w:val="00DA32FD"/>
    <w:rsid w:val="00DA3404"/>
    <w:rsid w:val="00DA3859"/>
    <w:rsid w:val="00DA39A0"/>
    <w:rsid w:val="00DA3AC8"/>
    <w:rsid w:val="00DA3D32"/>
    <w:rsid w:val="00DA3EA3"/>
    <w:rsid w:val="00DA3F65"/>
    <w:rsid w:val="00DA421D"/>
    <w:rsid w:val="00DA458F"/>
    <w:rsid w:val="00DA4C34"/>
    <w:rsid w:val="00DA4CB1"/>
    <w:rsid w:val="00DA4EED"/>
    <w:rsid w:val="00DA5C3C"/>
    <w:rsid w:val="00DA6C98"/>
    <w:rsid w:val="00DA6D49"/>
    <w:rsid w:val="00DA6FA1"/>
    <w:rsid w:val="00DA708B"/>
    <w:rsid w:val="00DA71C4"/>
    <w:rsid w:val="00DA7201"/>
    <w:rsid w:val="00DA7495"/>
    <w:rsid w:val="00DA783F"/>
    <w:rsid w:val="00DA7F31"/>
    <w:rsid w:val="00DB0199"/>
    <w:rsid w:val="00DB05F0"/>
    <w:rsid w:val="00DB077A"/>
    <w:rsid w:val="00DB0A5F"/>
    <w:rsid w:val="00DB0FBE"/>
    <w:rsid w:val="00DB0FD4"/>
    <w:rsid w:val="00DB156B"/>
    <w:rsid w:val="00DB1B22"/>
    <w:rsid w:val="00DB1DB4"/>
    <w:rsid w:val="00DB1E2E"/>
    <w:rsid w:val="00DB20A2"/>
    <w:rsid w:val="00DB285A"/>
    <w:rsid w:val="00DB28DE"/>
    <w:rsid w:val="00DB2A62"/>
    <w:rsid w:val="00DB2DE4"/>
    <w:rsid w:val="00DB308F"/>
    <w:rsid w:val="00DB351C"/>
    <w:rsid w:val="00DB36D0"/>
    <w:rsid w:val="00DB3A43"/>
    <w:rsid w:val="00DB3BE9"/>
    <w:rsid w:val="00DB3D43"/>
    <w:rsid w:val="00DB404A"/>
    <w:rsid w:val="00DB41F5"/>
    <w:rsid w:val="00DB43CD"/>
    <w:rsid w:val="00DB4408"/>
    <w:rsid w:val="00DB48E0"/>
    <w:rsid w:val="00DB4F46"/>
    <w:rsid w:val="00DB58E7"/>
    <w:rsid w:val="00DB5F2B"/>
    <w:rsid w:val="00DB6056"/>
    <w:rsid w:val="00DB6092"/>
    <w:rsid w:val="00DB630D"/>
    <w:rsid w:val="00DB64CA"/>
    <w:rsid w:val="00DB68E7"/>
    <w:rsid w:val="00DB6D0D"/>
    <w:rsid w:val="00DB7599"/>
    <w:rsid w:val="00DB773E"/>
    <w:rsid w:val="00DB7947"/>
    <w:rsid w:val="00DB7FB2"/>
    <w:rsid w:val="00DC039B"/>
    <w:rsid w:val="00DC09E7"/>
    <w:rsid w:val="00DC0A28"/>
    <w:rsid w:val="00DC0C8F"/>
    <w:rsid w:val="00DC0DCD"/>
    <w:rsid w:val="00DC153B"/>
    <w:rsid w:val="00DC1696"/>
    <w:rsid w:val="00DC1906"/>
    <w:rsid w:val="00DC1B01"/>
    <w:rsid w:val="00DC1C24"/>
    <w:rsid w:val="00DC2114"/>
    <w:rsid w:val="00DC21EF"/>
    <w:rsid w:val="00DC24E0"/>
    <w:rsid w:val="00DC25D2"/>
    <w:rsid w:val="00DC2996"/>
    <w:rsid w:val="00DC37D5"/>
    <w:rsid w:val="00DC38EB"/>
    <w:rsid w:val="00DC3B73"/>
    <w:rsid w:val="00DC3BF9"/>
    <w:rsid w:val="00DC402C"/>
    <w:rsid w:val="00DC409F"/>
    <w:rsid w:val="00DC4438"/>
    <w:rsid w:val="00DC4781"/>
    <w:rsid w:val="00DC47C9"/>
    <w:rsid w:val="00DC47ED"/>
    <w:rsid w:val="00DC4A02"/>
    <w:rsid w:val="00DC4BC8"/>
    <w:rsid w:val="00DC5187"/>
    <w:rsid w:val="00DC52DD"/>
    <w:rsid w:val="00DC5332"/>
    <w:rsid w:val="00DC5CCA"/>
    <w:rsid w:val="00DC5E65"/>
    <w:rsid w:val="00DC633F"/>
    <w:rsid w:val="00DC6445"/>
    <w:rsid w:val="00DC64B6"/>
    <w:rsid w:val="00DC6594"/>
    <w:rsid w:val="00DC690A"/>
    <w:rsid w:val="00DC6AC0"/>
    <w:rsid w:val="00DC6BA6"/>
    <w:rsid w:val="00DC6C9E"/>
    <w:rsid w:val="00DC6DAD"/>
    <w:rsid w:val="00DC70B7"/>
    <w:rsid w:val="00DC71AF"/>
    <w:rsid w:val="00DC7592"/>
    <w:rsid w:val="00DC7654"/>
    <w:rsid w:val="00DC7B4D"/>
    <w:rsid w:val="00DD00B7"/>
    <w:rsid w:val="00DD06D9"/>
    <w:rsid w:val="00DD0976"/>
    <w:rsid w:val="00DD0A4C"/>
    <w:rsid w:val="00DD0C50"/>
    <w:rsid w:val="00DD0EFD"/>
    <w:rsid w:val="00DD10F6"/>
    <w:rsid w:val="00DD1704"/>
    <w:rsid w:val="00DD1866"/>
    <w:rsid w:val="00DD18CB"/>
    <w:rsid w:val="00DD19EA"/>
    <w:rsid w:val="00DD1C66"/>
    <w:rsid w:val="00DD1F6F"/>
    <w:rsid w:val="00DD3372"/>
    <w:rsid w:val="00DD345B"/>
    <w:rsid w:val="00DD37D4"/>
    <w:rsid w:val="00DD3F96"/>
    <w:rsid w:val="00DD421A"/>
    <w:rsid w:val="00DD4267"/>
    <w:rsid w:val="00DD4EA7"/>
    <w:rsid w:val="00DD52BF"/>
    <w:rsid w:val="00DD5310"/>
    <w:rsid w:val="00DD5379"/>
    <w:rsid w:val="00DD5457"/>
    <w:rsid w:val="00DD5467"/>
    <w:rsid w:val="00DD5639"/>
    <w:rsid w:val="00DD59A2"/>
    <w:rsid w:val="00DD5A14"/>
    <w:rsid w:val="00DD5A8A"/>
    <w:rsid w:val="00DD5A9B"/>
    <w:rsid w:val="00DD623A"/>
    <w:rsid w:val="00DD6C3C"/>
    <w:rsid w:val="00DD6DA3"/>
    <w:rsid w:val="00DD6DB0"/>
    <w:rsid w:val="00DD70FB"/>
    <w:rsid w:val="00DD76B8"/>
    <w:rsid w:val="00DD7846"/>
    <w:rsid w:val="00DD7A11"/>
    <w:rsid w:val="00DD7B49"/>
    <w:rsid w:val="00DE00A9"/>
    <w:rsid w:val="00DE0355"/>
    <w:rsid w:val="00DE0584"/>
    <w:rsid w:val="00DE05F5"/>
    <w:rsid w:val="00DE0C4D"/>
    <w:rsid w:val="00DE1264"/>
    <w:rsid w:val="00DE1276"/>
    <w:rsid w:val="00DE143B"/>
    <w:rsid w:val="00DE189D"/>
    <w:rsid w:val="00DE1941"/>
    <w:rsid w:val="00DE195C"/>
    <w:rsid w:val="00DE1AFE"/>
    <w:rsid w:val="00DE1BA3"/>
    <w:rsid w:val="00DE21DE"/>
    <w:rsid w:val="00DE2242"/>
    <w:rsid w:val="00DE2401"/>
    <w:rsid w:val="00DE246C"/>
    <w:rsid w:val="00DE251C"/>
    <w:rsid w:val="00DE2671"/>
    <w:rsid w:val="00DE288B"/>
    <w:rsid w:val="00DE2913"/>
    <w:rsid w:val="00DE2989"/>
    <w:rsid w:val="00DE2E44"/>
    <w:rsid w:val="00DE3500"/>
    <w:rsid w:val="00DE3789"/>
    <w:rsid w:val="00DE39C2"/>
    <w:rsid w:val="00DE3D61"/>
    <w:rsid w:val="00DE3D85"/>
    <w:rsid w:val="00DE4DDB"/>
    <w:rsid w:val="00DE52C8"/>
    <w:rsid w:val="00DE53F4"/>
    <w:rsid w:val="00DE5E63"/>
    <w:rsid w:val="00DE5E89"/>
    <w:rsid w:val="00DE5F18"/>
    <w:rsid w:val="00DE6085"/>
    <w:rsid w:val="00DE613C"/>
    <w:rsid w:val="00DE6188"/>
    <w:rsid w:val="00DE66B8"/>
    <w:rsid w:val="00DE69DD"/>
    <w:rsid w:val="00DE6A76"/>
    <w:rsid w:val="00DE6B53"/>
    <w:rsid w:val="00DE7169"/>
    <w:rsid w:val="00DE73F7"/>
    <w:rsid w:val="00DE78AD"/>
    <w:rsid w:val="00DE792B"/>
    <w:rsid w:val="00DE7C2F"/>
    <w:rsid w:val="00DE7E23"/>
    <w:rsid w:val="00DE7FEE"/>
    <w:rsid w:val="00DF04B4"/>
    <w:rsid w:val="00DF05AA"/>
    <w:rsid w:val="00DF0974"/>
    <w:rsid w:val="00DF09E0"/>
    <w:rsid w:val="00DF0B91"/>
    <w:rsid w:val="00DF0C30"/>
    <w:rsid w:val="00DF0E9C"/>
    <w:rsid w:val="00DF120F"/>
    <w:rsid w:val="00DF1488"/>
    <w:rsid w:val="00DF14CF"/>
    <w:rsid w:val="00DF165E"/>
    <w:rsid w:val="00DF19AA"/>
    <w:rsid w:val="00DF1A29"/>
    <w:rsid w:val="00DF1B4B"/>
    <w:rsid w:val="00DF2200"/>
    <w:rsid w:val="00DF22AA"/>
    <w:rsid w:val="00DF26FA"/>
    <w:rsid w:val="00DF274A"/>
    <w:rsid w:val="00DF2779"/>
    <w:rsid w:val="00DF28E3"/>
    <w:rsid w:val="00DF29CA"/>
    <w:rsid w:val="00DF2B6F"/>
    <w:rsid w:val="00DF2E75"/>
    <w:rsid w:val="00DF3154"/>
    <w:rsid w:val="00DF3224"/>
    <w:rsid w:val="00DF3BC5"/>
    <w:rsid w:val="00DF3D7A"/>
    <w:rsid w:val="00DF3DDD"/>
    <w:rsid w:val="00DF4136"/>
    <w:rsid w:val="00DF4670"/>
    <w:rsid w:val="00DF498E"/>
    <w:rsid w:val="00DF4E08"/>
    <w:rsid w:val="00DF5091"/>
    <w:rsid w:val="00DF5481"/>
    <w:rsid w:val="00DF577C"/>
    <w:rsid w:val="00DF5824"/>
    <w:rsid w:val="00DF5E1B"/>
    <w:rsid w:val="00DF62A0"/>
    <w:rsid w:val="00DF6756"/>
    <w:rsid w:val="00DF6AD2"/>
    <w:rsid w:val="00DF6D40"/>
    <w:rsid w:val="00DF6E04"/>
    <w:rsid w:val="00DF71E3"/>
    <w:rsid w:val="00DF768C"/>
    <w:rsid w:val="00DF7853"/>
    <w:rsid w:val="00DF79DD"/>
    <w:rsid w:val="00DF7DE1"/>
    <w:rsid w:val="00DF7F66"/>
    <w:rsid w:val="00E00159"/>
    <w:rsid w:val="00E001C7"/>
    <w:rsid w:val="00E0021E"/>
    <w:rsid w:val="00E00773"/>
    <w:rsid w:val="00E0084A"/>
    <w:rsid w:val="00E00BB8"/>
    <w:rsid w:val="00E01440"/>
    <w:rsid w:val="00E0156D"/>
    <w:rsid w:val="00E01C49"/>
    <w:rsid w:val="00E01FAB"/>
    <w:rsid w:val="00E02331"/>
    <w:rsid w:val="00E023DC"/>
    <w:rsid w:val="00E02516"/>
    <w:rsid w:val="00E02937"/>
    <w:rsid w:val="00E033FE"/>
    <w:rsid w:val="00E040E2"/>
    <w:rsid w:val="00E04567"/>
    <w:rsid w:val="00E0473E"/>
    <w:rsid w:val="00E04810"/>
    <w:rsid w:val="00E04892"/>
    <w:rsid w:val="00E04A77"/>
    <w:rsid w:val="00E04B5B"/>
    <w:rsid w:val="00E05534"/>
    <w:rsid w:val="00E05BA9"/>
    <w:rsid w:val="00E05D5C"/>
    <w:rsid w:val="00E064EE"/>
    <w:rsid w:val="00E06740"/>
    <w:rsid w:val="00E06924"/>
    <w:rsid w:val="00E070F6"/>
    <w:rsid w:val="00E07147"/>
    <w:rsid w:val="00E07796"/>
    <w:rsid w:val="00E07BE9"/>
    <w:rsid w:val="00E07EEB"/>
    <w:rsid w:val="00E07F72"/>
    <w:rsid w:val="00E10338"/>
    <w:rsid w:val="00E10472"/>
    <w:rsid w:val="00E10490"/>
    <w:rsid w:val="00E10597"/>
    <w:rsid w:val="00E109CF"/>
    <w:rsid w:val="00E10FB3"/>
    <w:rsid w:val="00E11253"/>
    <w:rsid w:val="00E11632"/>
    <w:rsid w:val="00E12257"/>
    <w:rsid w:val="00E129DF"/>
    <w:rsid w:val="00E12B5D"/>
    <w:rsid w:val="00E12FD1"/>
    <w:rsid w:val="00E13182"/>
    <w:rsid w:val="00E133DA"/>
    <w:rsid w:val="00E134B9"/>
    <w:rsid w:val="00E135DC"/>
    <w:rsid w:val="00E13774"/>
    <w:rsid w:val="00E139E0"/>
    <w:rsid w:val="00E13C99"/>
    <w:rsid w:val="00E142AC"/>
    <w:rsid w:val="00E14DD5"/>
    <w:rsid w:val="00E15110"/>
    <w:rsid w:val="00E151BE"/>
    <w:rsid w:val="00E1527D"/>
    <w:rsid w:val="00E15367"/>
    <w:rsid w:val="00E1536E"/>
    <w:rsid w:val="00E154A8"/>
    <w:rsid w:val="00E156E1"/>
    <w:rsid w:val="00E15BFB"/>
    <w:rsid w:val="00E15FBA"/>
    <w:rsid w:val="00E1606F"/>
    <w:rsid w:val="00E16242"/>
    <w:rsid w:val="00E16326"/>
    <w:rsid w:val="00E16578"/>
    <w:rsid w:val="00E165AE"/>
    <w:rsid w:val="00E16671"/>
    <w:rsid w:val="00E166D6"/>
    <w:rsid w:val="00E174B0"/>
    <w:rsid w:val="00E17F5C"/>
    <w:rsid w:val="00E20842"/>
    <w:rsid w:val="00E20BC9"/>
    <w:rsid w:val="00E211C8"/>
    <w:rsid w:val="00E21270"/>
    <w:rsid w:val="00E21323"/>
    <w:rsid w:val="00E213A1"/>
    <w:rsid w:val="00E21886"/>
    <w:rsid w:val="00E21AC7"/>
    <w:rsid w:val="00E21D53"/>
    <w:rsid w:val="00E22135"/>
    <w:rsid w:val="00E222F9"/>
    <w:rsid w:val="00E2247D"/>
    <w:rsid w:val="00E224A0"/>
    <w:rsid w:val="00E2252C"/>
    <w:rsid w:val="00E225A4"/>
    <w:rsid w:val="00E229A4"/>
    <w:rsid w:val="00E22B37"/>
    <w:rsid w:val="00E22C88"/>
    <w:rsid w:val="00E23324"/>
    <w:rsid w:val="00E23391"/>
    <w:rsid w:val="00E233E9"/>
    <w:rsid w:val="00E2345A"/>
    <w:rsid w:val="00E235B7"/>
    <w:rsid w:val="00E2364D"/>
    <w:rsid w:val="00E236E7"/>
    <w:rsid w:val="00E23A92"/>
    <w:rsid w:val="00E23BB5"/>
    <w:rsid w:val="00E23D07"/>
    <w:rsid w:val="00E23E1C"/>
    <w:rsid w:val="00E241A1"/>
    <w:rsid w:val="00E242DF"/>
    <w:rsid w:val="00E2463D"/>
    <w:rsid w:val="00E248BC"/>
    <w:rsid w:val="00E2494B"/>
    <w:rsid w:val="00E249B4"/>
    <w:rsid w:val="00E25219"/>
    <w:rsid w:val="00E2535B"/>
    <w:rsid w:val="00E25443"/>
    <w:rsid w:val="00E25E62"/>
    <w:rsid w:val="00E2629F"/>
    <w:rsid w:val="00E26457"/>
    <w:rsid w:val="00E26576"/>
    <w:rsid w:val="00E2676B"/>
    <w:rsid w:val="00E2676C"/>
    <w:rsid w:val="00E2679C"/>
    <w:rsid w:val="00E26C73"/>
    <w:rsid w:val="00E26C80"/>
    <w:rsid w:val="00E26DEA"/>
    <w:rsid w:val="00E26DF6"/>
    <w:rsid w:val="00E26F04"/>
    <w:rsid w:val="00E271DE"/>
    <w:rsid w:val="00E27258"/>
    <w:rsid w:val="00E27570"/>
    <w:rsid w:val="00E27571"/>
    <w:rsid w:val="00E276E8"/>
    <w:rsid w:val="00E27BF0"/>
    <w:rsid w:val="00E30025"/>
    <w:rsid w:val="00E302B4"/>
    <w:rsid w:val="00E30356"/>
    <w:rsid w:val="00E30523"/>
    <w:rsid w:val="00E307C0"/>
    <w:rsid w:val="00E30C34"/>
    <w:rsid w:val="00E30C62"/>
    <w:rsid w:val="00E310E9"/>
    <w:rsid w:val="00E31121"/>
    <w:rsid w:val="00E3112B"/>
    <w:rsid w:val="00E3113E"/>
    <w:rsid w:val="00E312CC"/>
    <w:rsid w:val="00E317D2"/>
    <w:rsid w:val="00E31930"/>
    <w:rsid w:val="00E31B57"/>
    <w:rsid w:val="00E31F18"/>
    <w:rsid w:val="00E32302"/>
    <w:rsid w:val="00E325C6"/>
    <w:rsid w:val="00E32731"/>
    <w:rsid w:val="00E32A06"/>
    <w:rsid w:val="00E32F78"/>
    <w:rsid w:val="00E33255"/>
    <w:rsid w:val="00E335D7"/>
    <w:rsid w:val="00E337D3"/>
    <w:rsid w:val="00E33B74"/>
    <w:rsid w:val="00E33D30"/>
    <w:rsid w:val="00E33F28"/>
    <w:rsid w:val="00E33F30"/>
    <w:rsid w:val="00E33FA1"/>
    <w:rsid w:val="00E3432E"/>
    <w:rsid w:val="00E34442"/>
    <w:rsid w:val="00E34872"/>
    <w:rsid w:val="00E34C93"/>
    <w:rsid w:val="00E35173"/>
    <w:rsid w:val="00E351D6"/>
    <w:rsid w:val="00E3546B"/>
    <w:rsid w:val="00E35659"/>
    <w:rsid w:val="00E35C48"/>
    <w:rsid w:val="00E35EE4"/>
    <w:rsid w:val="00E36566"/>
    <w:rsid w:val="00E36B57"/>
    <w:rsid w:val="00E36BD5"/>
    <w:rsid w:val="00E36D71"/>
    <w:rsid w:val="00E36D88"/>
    <w:rsid w:val="00E3708D"/>
    <w:rsid w:val="00E371BD"/>
    <w:rsid w:val="00E374FE"/>
    <w:rsid w:val="00E37CF0"/>
    <w:rsid w:val="00E4057B"/>
    <w:rsid w:val="00E40713"/>
    <w:rsid w:val="00E40D15"/>
    <w:rsid w:val="00E41118"/>
    <w:rsid w:val="00E411FF"/>
    <w:rsid w:val="00E414A6"/>
    <w:rsid w:val="00E41A99"/>
    <w:rsid w:val="00E422DA"/>
    <w:rsid w:val="00E4234D"/>
    <w:rsid w:val="00E42404"/>
    <w:rsid w:val="00E42BD1"/>
    <w:rsid w:val="00E42DAF"/>
    <w:rsid w:val="00E42EAF"/>
    <w:rsid w:val="00E43304"/>
    <w:rsid w:val="00E433FA"/>
    <w:rsid w:val="00E4365C"/>
    <w:rsid w:val="00E43981"/>
    <w:rsid w:val="00E43C71"/>
    <w:rsid w:val="00E43F00"/>
    <w:rsid w:val="00E44096"/>
    <w:rsid w:val="00E442FA"/>
    <w:rsid w:val="00E442FF"/>
    <w:rsid w:val="00E44CAA"/>
    <w:rsid w:val="00E44D26"/>
    <w:rsid w:val="00E44F86"/>
    <w:rsid w:val="00E454FC"/>
    <w:rsid w:val="00E454FF"/>
    <w:rsid w:val="00E45508"/>
    <w:rsid w:val="00E45553"/>
    <w:rsid w:val="00E45669"/>
    <w:rsid w:val="00E456AB"/>
    <w:rsid w:val="00E4577D"/>
    <w:rsid w:val="00E459D5"/>
    <w:rsid w:val="00E45B8C"/>
    <w:rsid w:val="00E46265"/>
    <w:rsid w:val="00E46400"/>
    <w:rsid w:val="00E4670D"/>
    <w:rsid w:val="00E4714B"/>
    <w:rsid w:val="00E4761A"/>
    <w:rsid w:val="00E476D0"/>
    <w:rsid w:val="00E477F0"/>
    <w:rsid w:val="00E4786A"/>
    <w:rsid w:val="00E47DF0"/>
    <w:rsid w:val="00E47E20"/>
    <w:rsid w:val="00E50408"/>
    <w:rsid w:val="00E5059A"/>
    <w:rsid w:val="00E50AC0"/>
    <w:rsid w:val="00E50CCF"/>
    <w:rsid w:val="00E50D5A"/>
    <w:rsid w:val="00E5155D"/>
    <w:rsid w:val="00E51A40"/>
    <w:rsid w:val="00E51D85"/>
    <w:rsid w:val="00E51E22"/>
    <w:rsid w:val="00E52165"/>
    <w:rsid w:val="00E52337"/>
    <w:rsid w:val="00E523F7"/>
    <w:rsid w:val="00E52A45"/>
    <w:rsid w:val="00E52A8B"/>
    <w:rsid w:val="00E52E35"/>
    <w:rsid w:val="00E52F22"/>
    <w:rsid w:val="00E53072"/>
    <w:rsid w:val="00E531B4"/>
    <w:rsid w:val="00E5326D"/>
    <w:rsid w:val="00E5332A"/>
    <w:rsid w:val="00E533F7"/>
    <w:rsid w:val="00E53447"/>
    <w:rsid w:val="00E53491"/>
    <w:rsid w:val="00E536B3"/>
    <w:rsid w:val="00E5396A"/>
    <w:rsid w:val="00E53E4A"/>
    <w:rsid w:val="00E53ED6"/>
    <w:rsid w:val="00E54025"/>
    <w:rsid w:val="00E540D3"/>
    <w:rsid w:val="00E5424B"/>
    <w:rsid w:val="00E54A80"/>
    <w:rsid w:val="00E54C37"/>
    <w:rsid w:val="00E5526A"/>
    <w:rsid w:val="00E5537B"/>
    <w:rsid w:val="00E558FB"/>
    <w:rsid w:val="00E5609D"/>
    <w:rsid w:val="00E560E5"/>
    <w:rsid w:val="00E56638"/>
    <w:rsid w:val="00E56690"/>
    <w:rsid w:val="00E567E5"/>
    <w:rsid w:val="00E56992"/>
    <w:rsid w:val="00E56A44"/>
    <w:rsid w:val="00E56BCA"/>
    <w:rsid w:val="00E56FB9"/>
    <w:rsid w:val="00E57256"/>
    <w:rsid w:val="00E573C0"/>
    <w:rsid w:val="00E5740F"/>
    <w:rsid w:val="00E576B3"/>
    <w:rsid w:val="00E57D5A"/>
    <w:rsid w:val="00E60028"/>
    <w:rsid w:val="00E60378"/>
    <w:rsid w:val="00E60A10"/>
    <w:rsid w:val="00E6134C"/>
    <w:rsid w:val="00E613C1"/>
    <w:rsid w:val="00E61AE7"/>
    <w:rsid w:val="00E61B9B"/>
    <w:rsid w:val="00E61FF9"/>
    <w:rsid w:val="00E623A2"/>
    <w:rsid w:val="00E623CC"/>
    <w:rsid w:val="00E6250A"/>
    <w:rsid w:val="00E625FD"/>
    <w:rsid w:val="00E629E7"/>
    <w:rsid w:val="00E62A38"/>
    <w:rsid w:val="00E62ED8"/>
    <w:rsid w:val="00E62FEA"/>
    <w:rsid w:val="00E6348C"/>
    <w:rsid w:val="00E6407E"/>
    <w:rsid w:val="00E64449"/>
    <w:rsid w:val="00E644FF"/>
    <w:rsid w:val="00E65608"/>
    <w:rsid w:val="00E65FDB"/>
    <w:rsid w:val="00E663B6"/>
    <w:rsid w:val="00E66DF8"/>
    <w:rsid w:val="00E66F12"/>
    <w:rsid w:val="00E6705F"/>
    <w:rsid w:val="00E676A4"/>
    <w:rsid w:val="00E678A7"/>
    <w:rsid w:val="00E67E98"/>
    <w:rsid w:val="00E70151"/>
    <w:rsid w:val="00E70321"/>
    <w:rsid w:val="00E70468"/>
    <w:rsid w:val="00E705DC"/>
    <w:rsid w:val="00E70636"/>
    <w:rsid w:val="00E70648"/>
    <w:rsid w:val="00E707A9"/>
    <w:rsid w:val="00E708AD"/>
    <w:rsid w:val="00E70BD0"/>
    <w:rsid w:val="00E70CD9"/>
    <w:rsid w:val="00E71A61"/>
    <w:rsid w:val="00E722FA"/>
    <w:rsid w:val="00E727CE"/>
    <w:rsid w:val="00E72F1C"/>
    <w:rsid w:val="00E7309A"/>
    <w:rsid w:val="00E732EA"/>
    <w:rsid w:val="00E73364"/>
    <w:rsid w:val="00E7387D"/>
    <w:rsid w:val="00E73D35"/>
    <w:rsid w:val="00E73D4B"/>
    <w:rsid w:val="00E74011"/>
    <w:rsid w:val="00E7403C"/>
    <w:rsid w:val="00E74A8D"/>
    <w:rsid w:val="00E74BD8"/>
    <w:rsid w:val="00E74C88"/>
    <w:rsid w:val="00E75249"/>
    <w:rsid w:val="00E753C7"/>
    <w:rsid w:val="00E75B59"/>
    <w:rsid w:val="00E75B7F"/>
    <w:rsid w:val="00E75D5A"/>
    <w:rsid w:val="00E75FF1"/>
    <w:rsid w:val="00E76052"/>
    <w:rsid w:val="00E766A0"/>
    <w:rsid w:val="00E766A2"/>
    <w:rsid w:val="00E767CE"/>
    <w:rsid w:val="00E767F2"/>
    <w:rsid w:val="00E76B4F"/>
    <w:rsid w:val="00E76DD0"/>
    <w:rsid w:val="00E76DE9"/>
    <w:rsid w:val="00E77203"/>
    <w:rsid w:val="00E77531"/>
    <w:rsid w:val="00E77533"/>
    <w:rsid w:val="00E7775A"/>
    <w:rsid w:val="00E77C5F"/>
    <w:rsid w:val="00E801C7"/>
    <w:rsid w:val="00E80203"/>
    <w:rsid w:val="00E806FF"/>
    <w:rsid w:val="00E8081E"/>
    <w:rsid w:val="00E80A22"/>
    <w:rsid w:val="00E8147F"/>
    <w:rsid w:val="00E81588"/>
    <w:rsid w:val="00E817BC"/>
    <w:rsid w:val="00E818E4"/>
    <w:rsid w:val="00E81AEE"/>
    <w:rsid w:val="00E820BD"/>
    <w:rsid w:val="00E822FD"/>
    <w:rsid w:val="00E82318"/>
    <w:rsid w:val="00E829E0"/>
    <w:rsid w:val="00E82A6F"/>
    <w:rsid w:val="00E82CC4"/>
    <w:rsid w:val="00E82DC7"/>
    <w:rsid w:val="00E830BD"/>
    <w:rsid w:val="00E83111"/>
    <w:rsid w:val="00E831BA"/>
    <w:rsid w:val="00E831D3"/>
    <w:rsid w:val="00E8366A"/>
    <w:rsid w:val="00E839B1"/>
    <w:rsid w:val="00E839BD"/>
    <w:rsid w:val="00E83AE9"/>
    <w:rsid w:val="00E83C10"/>
    <w:rsid w:val="00E83EBE"/>
    <w:rsid w:val="00E845D8"/>
    <w:rsid w:val="00E84672"/>
    <w:rsid w:val="00E846FA"/>
    <w:rsid w:val="00E846FF"/>
    <w:rsid w:val="00E84812"/>
    <w:rsid w:val="00E84836"/>
    <w:rsid w:val="00E84981"/>
    <w:rsid w:val="00E84AFC"/>
    <w:rsid w:val="00E84BD1"/>
    <w:rsid w:val="00E8555A"/>
    <w:rsid w:val="00E85650"/>
    <w:rsid w:val="00E858AB"/>
    <w:rsid w:val="00E859B0"/>
    <w:rsid w:val="00E85BE3"/>
    <w:rsid w:val="00E85F6A"/>
    <w:rsid w:val="00E85FB2"/>
    <w:rsid w:val="00E8643C"/>
    <w:rsid w:val="00E864C1"/>
    <w:rsid w:val="00E8674D"/>
    <w:rsid w:val="00E86B39"/>
    <w:rsid w:val="00E86D48"/>
    <w:rsid w:val="00E8719D"/>
    <w:rsid w:val="00E87714"/>
    <w:rsid w:val="00E87A1C"/>
    <w:rsid w:val="00E87C0C"/>
    <w:rsid w:val="00E87EE3"/>
    <w:rsid w:val="00E9000D"/>
    <w:rsid w:val="00E900E4"/>
    <w:rsid w:val="00E90350"/>
    <w:rsid w:val="00E903B6"/>
    <w:rsid w:val="00E9074E"/>
    <w:rsid w:val="00E90C56"/>
    <w:rsid w:val="00E90E61"/>
    <w:rsid w:val="00E90EDE"/>
    <w:rsid w:val="00E912FB"/>
    <w:rsid w:val="00E913DF"/>
    <w:rsid w:val="00E91683"/>
    <w:rsid w:val="00E91CFC"/>
    <w:rsid w:val="00E9233E"/>
    <w:rsid w:val="00E92923"/>
    <w:rsid w:val="00E92B3E"/>
    <w:rsid w:val="00E92B6C"/>
    <w:rsid w:val="00E92F36"/>
    <w:rsid w:val="00E92F6E"/>
    <w:rsid w:val="00E9343C"/>
    <w:rsid w:val="00E936D3"/>
    <w:rsid w:val="00E937D9"/>
    <w:rsid w:val="00E93A7B"/>
    <w:rsid w:val="00E93B69"/>
    <w:rsid w:val="00E93E05"/>
    <w:rsid w:val="00E93E77"/>
    <w:rsid w:val="00E93FC2"/>
    <w:rsid w:val="00E94715"/>
    <w:rsid w:val="00E9471B"/>
    <w:rsid w:val="00E94E42"/>
    <w:rsid w:val="00E94F35"/>
    <w:rsid w:val="00E9501B"/>
    <w:rsid w:val="00E952A4"/>
    <w:rsid w:val="00E958CF"/>
    <w:rsid w:val="00E95D2E"/>
    <w:rsid w:val="00E95D8B"/>
    <w:rsid w:val="00E960BE"/>
    <w:rsid w:val="00E961EC"/>
    <w:rsid w:val="00E9663B"/>
    <w:rsid w:val="00E967E1"/>
    <w:rsid w:val="00E969E4"/>
    <w:rsid w:val="00E96ECE"/>
    <w:rsid w:val="00E9707A"/>
    <w:rsid w:val="00E9733A"/>
    <w:rsid w:val="00E974F8"/>
    <w:rsid w:val="00E97A27"/>
    <w:rsid w:val="00E97AE6"/>
    <w:rsid w:val="00E97B06"/>
    <w:rsid w:val="00EA0257"/>
    <w:rsid w:val="00EA02F2"/>
    <w:rsid w:val="00EA052C"/>
    <w:rsid w:val="00EA063A"/>
    <w:rsid w:val="00EA0BA4"/>
    <w:rsid w:val="00EA0CF9"/>
    <w:rsid w:val="00EA0D34"/>
    <w:rsid w:val="00EA1128"/>
    <w:rsid w:val="00EA13E6"/>
    <w:rsid w:val="00EA1577"/>
    <w:rsid w:val="00EA1689"/>
    <w:rsid w:val="00EA18D5"/>
    <w:rsid w:val="00EA1BCE"/>
    <w:rsid w:val="00EA1C6F"/>
    <w:rsid w:val="00EA24E6"/>
    <w:rsid w:val="00EA2627"/>
    <w:rsid w:val="00EA272D"/>
    <w:rsid w:val="00EA276E"/>
    <w:rsid w:val="00EA2911"/>
    <w:rsid w:val="00EA2C72"/>
    <w:rsid w:val="00EA3786"/>
    <w:rsid w:val="00EA420F"/>
    <w:rsid w:val="00EA43E7"/>
    <w:rsid w:val="00EA48C9"/>
    <w:rsid w:val="00EA4E36"/>
    <w:rsid w:val="00EA4F77"/>
    <w:rsid w:val="00EA5638"/>
    <w:rsid w:val="00EA58AB"/>
    <w:rsid w:val="00EA593D"/>
    <w:rsid w:val="00EA5BAE"/>
    <w:rsid w:val="00EA5F9F"/>
    <w:rsid w:val="00EA61E9"/>
    <w:rsid w:val="00EA6354"/>
    <w:rsid w:val="00EA640A"/>
    <w:rsid w:val="00EA667E"/>
    <w:rsid w:val="00EA6C19"/>
    <w:rsid w:val="00EA71A9"/>
    <w:rsid w:val="00EA7318"/>
    <w:rsid w:val="00EA73E1"/>
    <w:rsid w:val="00EA7422"/>
    <w:rsid w:val="00EA77CA"/>
    <w:rsid w:val="00EA7884"/>
    <w:rsid w:val="00EA7CD7"/>
    <w:rsid w:val="00EA7CF0"/>
    <w:rsid w:val="00EA7DCA"/>
    <w:rsid w:val="00EA7F1A"/>
    <w:rsid w:val="00EB03F8"/>
    <w:rsid w:val="00EB0582"/>
    <w:rsid w:val="00EB0703"/>
    <w:rsid w:val="00EB0759"/>
    <w:rsid w:val="00EB07D1"/>
    <w:rsid w:val="00EB098E"/>
    <w:rsid w:val="00EB0B06"/>
    <w:rsid w:val="00EB0C3E"/>
    <w:rsid w:val="00EB0C81"/>
    <w:rsid w:val="00EB1D86"/>
    <w:rsid w:val="00EB1DE7"/>
    <w:rsid w:val="00EB2216"/>
    <w:rsid w:val="00EB2225"/>
    <w:rsid w:val="00EB2291"/>
    <w:rsid w:val="00EB2378"/>
    <w:rsid w:val="00EB24E4"/>
    <w:rsid w:val="00EB2704"/>
    <w:rsid w:val="00EB2791"/>
    <w:rsid w:val="00EB2A94"/>
    <w:rsid w:val="00EB2F0B"/>
    <w:rsid w:val="00EB339F"/>
    <w:rsid w:val="00EB3513"/>
    <w:rsid w:val="00EB3633"/>
    <w:rsid w:val="00EB391A"/>
    <w:rsid w:val="00EB3928"/>
    <w:rsid w:val="00EB3DC2"/>
    <w:rsid w:val="00EB4173"/>
    <w:rsid w:val="00EB4676"/>
    <w:rsid w:val="00EB479B"/>
    <w:rsid w:val="00EB4AF2"/>
    <w:rsid w:val="00EB4BC6"/>
    <w:rsid w:val="00EB50B3"/>
    <w:rsid w:val="00EB52C8"/>
    <w:rsid w:val="00EB54AC"/>
    <w:rsid w:val="00EB55EC"/>
    <w:rsid w:val="00EB578F"/>
    <w:rsid w:val="00EB5F8F"/>
    <w:rsid w:val="00EB62E9"/>
    <w:rsid w:val="00EB631D"/>
    <w:rsid w:val="00EB633A"/>
    <w:rsid w:val="00EB63BF"/>
    <w:rsid w:val="00EB6403"/>
    <w:rsid w:val="00EB6509"/>
    <w:rsid w:val="00EB653A"/>
    <w:rsid w:val="00EB6927"/>
    <w:rsid w:val="00EB69A4"/>
    <w:rsid w:val="00EB6F77"/>
    <w:rsid w:val="00EB709D"/>
    <w:rsid w:val="00EB7471"/>
    <w:rsid w:val="00EB7870"/>
    <w:rsid w:val="00EB7B37"/>
    <w:rsid w:val="00EB7B9A"/>
    <w:rsid w:val="00EC0322"/>
    <w:rsid w:val="00EC03B4"/>
    <w:rsid w:val="00EC03C4"/>
    <w:rsid w:val="00EC096D"/>
    <w:rsid w:val="00EC0F08"/>
    <w:rsid w:val="00EC120D"/>
    <w:rsid w:val="00EC12AB"/>
    <w:rsid w:val="00EC12CF"/>
    <w:rsid w:val="00EC1352"/>
    <w:rsid w:val="00EC162B"/>
    <w:rsid w:val="00EC16CC"/>
    <w:rsid w:val="00EC1A62"/>
    <w:rsid w:val="00EC1D21"/>
    <w:rsid w:val="00EC2194"/>
    <w:rsid w:val="00EC247A"/>
    <w:rsid w:val="00EC259E"/>
    <w:rsid w:val="00EC3360"/>
    <w:rsid w:val="00EC357E"/>
    <w:rsid w:val="00EC3B44"/>
    <w:rsid w:val="00EC3B8A"/>
    <w:rsid w:val="00EC3D34"/>
    <w:rsid w:val="00EC45B1"/>
    <w:rsid w:val="00EC4748"/>
    <w:rsid w:val="00EC4888"/>
    <w:rsid w:val="00EC4AB5"/>
    <w:rsid w:val="00EC538C"/>
    <w:rsid w:val="00EC5618"/>
    <w:rsid w:val="00EC597D"/>
    <w:rsid w:val="00EC5C76"/>
    <w:rsid w:val="00EC5E6F"/>
    <w:rsid w:val="00EC61E5"/>
    <w:rsid w:val="00EC62B3"/>
    <w:rsid w:val="00EC6542"/>
    <w:rsid w:val="00EC6920"/>
    <w:rsid w:val="00EC6EDE"/>
    <w:rsid w:val="00EC70A5"/>
    <w:rsid w:val="00EC71A8"/>
    <w:rsid w:val="00EC7836"/>
    <w:rsid w:val="00EC7904"/>
    <w:rsid w:val="00EC794F"/>
    <w:rsid w:val="00EC79D0"/>
    <w:rsid w:val="00EC7C8A"/>
    <w:rsid w:val="00EC7EF1"/>
    <w:rsid w:val="00EC7F20"/>
    <w:rsid w:val="00ED017E"/>
    <w:rsid w:val="00ED0A71"/>
    <w:rsid w:val="00ED12FA"/>
    <w:rsid w:val="00ED1897"/>
    <w:rsid w:val="00ED1A84"/>
    <w:rsid w:val="00ED1EE9"/>
    <w:rsid w:val="00ED2989"/>
    <w:rsid w:val="00ED2FC2"/>
    <w:rsid w:val="00ED30C8"/>
    <w:rsid w:val="00ED32AD"/>
    <w:rsid w:val="00ED33D4"/>
    <w:rsid w:val="00ED33F0"/>
    <w:rsid w:val="00ED3461"/>
    <w:rsid w:val="00ED35CB"/>
    <w:rsid w:val="00ED3774"/>
    <w:rsid w:val="00ED38D7"/>
    <w:rsid w:val="00ED3A07"/>
    <w:rsid w:val="00ED3D0A"/>
    <w:rsid w:val="00ED45DD"/>
    <w:rsid w:val="00ED4B0E"/>
    <w:rsid w:val="00ED4CDB"/>
    <w:rsid w:val="00ED502A"/>
    <w:rsid w:val="00ED52FC"/>
    <w:rsid w:val="00ED5793"/>
    <w:rsid w:val="00ED58DC"/>
    <w:rsid w:val="00ED59E5"/>
    <w:rsid w:val="00ED5AB8"/>
    <w:rsid w:val="00ED6371"/>
    <w:rsid w:val="00ED646C"/>
    <w:rsid w:val="00ED64B1"/>
    <w:rsid w:val="00ED6A01"/>
    <w:rsid w:val="00ED6B9F"/>
    <w:rsid w:val="00ED6D70"/>
    <w:rsid w:val="00ED6E46"/>
    <w:rsid w:val="00ED6EA7"/>
    <w:rsid w:val="00ED6F64"/>
    <w:rsid w:val="00ED7436"/>
    <w:rsid w:val="00ED7591"/>
    <w:rsid w:val="00ED7931"/>
    <w:rsid w:val="00EE1727"/>
    <w:rsid w:val="00EE18E5"/>
    <w:rsid w:val="00EE1B0D"/>
    <w:rsid w:val="00EE1CB1"/>
    <w:rsid w:val="00EE2059"/>
    <w:rsid w:val="00EE25C6"/>
    <w:rsid w:val="00EE288C"/>
    <w:rsid w:val="00EE2F59"/>
    <w:rsid w:val="00EE38ED"/>
    <w:rsid w:val="00EE3E9A"/>
    <w:rsid w:val="00EE3ED5"/>
    <w:rsid w:val="00EE3EFF"/>
    <w:rsid w:val="00EE4339"/>
    <w:rsid w:val="00EE4A67"/>
    <w:rsid w:val="00EE4BE8"/>
    <w:rsid w:val="00EE4ED5"/>
    <w:rsid w:val="00EE514C"/>
    <w:rsid w:val="00EE521B"/>
    <w:rsid w:val="00EE5392"/>
    <w:rsid w:val="00EE5622"/>
    <w:rsid w:val="00EE5911"/>
    <w:rsid w:val="00EE59A8"/>
    <w:rsid w:val="00EE5D7C"/>
    <w:rsid w:val="00EE5FAE"/>
    <w:rsid w:val="00EE6014"/>
    <w:rsid w:val="00EE609B"/>
    <w:rsid w:val="00EE6B22"/>
    <w:rsid w:val="00EE6B5B"/>
    <w:rsid w:val="00EE6D83"/>
    <w:rsid w:val="00EE6DF6"/>
    <w:rsid w:val="00EE6E7E"/>
    <w:rsid w:val="00EE7017"/>
    <w:rsid w:val="00EE72F4"/>
    <w:rsid w:val="00EE75DC"/>
    <w:rsid w:val="00EE771B"/>
    <w:rsid w:val="00EE7DC4"/>
    <w:rsid w:val="00EF00DE"/>
    <w:rsid w:val="00EF0318"/>
    <w:rsid w:val="00EF03A2"/>
    <w:rsid w:val="00EF1915"/>
    <w:rsid w:val="00EF1A08"/>
    <w:rsid w:val="00EF1AD9"/>
    <w:rsid w:val="00EF2014"/>
    <w:rsid w:val="00EF2535"/>
    <w:rsid w:val="00EF25FD"/>
    <w:rsid w:val="00EF26F0"/>
    <w:rsid w:val="00EF2953"/>
    <w:rsid w:val="00EF2A1B"/>
    <w:rsid w:val="00EF2D3A"/>
    <w:rsid w:val="00EF2D86"/>
    <w:rsid w:val="00EF302B"/>
    <w:rsid w:val="00EF30AD"/>
    <w:rsid w:val="00EF32F9"/>
    <w:rsid w:val="00EF3310"/>
    <w:rsid w:val="00EF3398"/>
    <w:rsid w:val="00EF3988"/>
    <w:rsid w:val="00EF3C09"/>
    <w:rsid w:val="00EF3D9A"/>
    <w:rsid w:val="00EF40D9"/>
    <w:rsid w:val="00EF4149"/>
    <w:rsid w:val="00EF4180"/>
    <w:rsid w:val="00EF4D83"/>
    <w:rsid w:val="00EF4F91"/>
    <w:rsid w:val="00EF51F0"/>
    <w:rsid w:val="00EF5757"/>
    <w:rsid w:val="00EF5809"/>
    <w:rsid w:val="00EF59B6"/>
    <w:rsid w:val="00EF5DAA"/>
    <w:rsid w:val="00EF64FC"/>
    <w:rsid w:val="00EF67CE"/>
    <w:rsid w:val="00EF6900"/>
    <w:rsid w:val="00EF7750"/>
    <w:rsid w:val="00EF7933"/>
    <w:rsid w:val="00EF7D9D"/>
    <w:rsid w:val="00EF7DF3"/>
    <w:rsid w:val="00EF7FB0"/>
    <w:rsid w:val="00F0012B"/>
    <w:rsid w:val="00F00246"/>
    <w:rsid w:val="00F003E1"/>
    <w:rsid w:val="00F00A4E"/>
    <w:rsid w:val="00F00F1D"/>
    <w:rsid w:val="00F01571"/>
    <w:rsid w:val="00F01765"/>
    <w:rsid w:val="00F0177D"/>
    <w:rsid w:val="00F01BC4"/>
    <w:rsid w:val="00F01C7A"/>
    <w:rsid w:val="00F01CA5"/>
    <w:rsid w:val="00F01E76"/>
    <w:rsid w:val="00F01F36"/>
    <w:rsid w:val="00F021C8"/>
    <w:rsid w:val="00F021D9"/>
    <w:rsid w:val="00F023A7"/>
    <w:rsid w:val="00F02435"/>
    <w:rsid w:val="00F02623"/>
    <w:rsid w:val="00F02852"/>
    <w:rsid w:val="00F02D19"/>
    <w:rsid w:val="00F02E36"/>
    <w:rsid w:val="00F02F29"/>
    <w:rsid w:val="00F02F78"/>
    <w:rsid w:val="00F02FDC"/>
    <w:rsid w:val="00F030D6"/>
    <w:rsid w:val="00F03274"/>
    <w:rsid w:val="00F03B60"/>
    <w:rsid w:val="00F03CD9"/>
    <w:rsid w:val="00F04A40"/>
    <w:rsid w:val="00F04B87"/>
    <w:rsid w:val="00F04E2C"/>
    <w:rsid w:val="00F050E6"/>
    <w:rsid w:val="00F054C9"/>
    <w:rsid w:val="00F05530"/>
    <w:rsid w:val="00F0597C"/>
    <w:rsid w:val="00F05E34"/>
    <w:rsid w:val="00F06166"/>
    <w:rsid w:val="00F0629B"/>
    <w:rsid w:val="00F06A4F"/>
    <w:rsid w:val="00F06CE7"/>
    <w:rsid w:val="00F06FF0"/>
    <w:rsid w:val="00F072EE"/>
    <w:rsid w:val="00F0756B"/>
    <w:rsid w:val="00F07667"/>
    <w:rsid w:val="00F079E1"/>
    <w:rsid w:val="00F07C85"/>
    <w:rsid w:val="00F10410"/>
    <w:rsid w:val="00F10450"/>
    <w:rsid w:val="00F105C9"/>
    <w:rsid w:val="00F1061B"/>
    <w:rsid w:val="00F107FE"/>
    <w:rsid w:val="00F10811"/>
    <w:rsid w:val="00F11014"/>
    <w:rsid w:val="00F1106F"/>
    <w:rsid w:val="00F112EB"/>
    <w:rsid w:val="00F113D2"/>
    <w:rsid w:val="00F11DF4"/>
    <w:rsid w:val="00F11FE2"/>
    <w:rsid w:val="00F1245F"/>
    <w:rsid w:val="00F1278A"/>
    <w:rsid w:val="00F12862"/>
    <w:rsid w:val="00F12C02"/>
    <w:rsid w:val="00F12CC9"/>
    <w:rsid w:val="00F1348F"/>
    <w:rsid w:val="00F13694"/>
    <w:rsid w:val="00F13766"/>
    <w:rsid w:val="00F13B20"/>
    <w:rsid w:val="00F13FAF"/>
    <w:rsid w:val="00F14381"/>
    <w:rsid w:val="00F145AC"/>
    <w:rsid w:val="00F147C4"/>
    <w:rsid w:val="00F1487E"/>
    <w:rsid w:val="00F14A16"/>
    <w:rsid w:val="00F14AC1"/>
    <w:rsid w:val="00F15265"/>
    <w:rsid w:val="00F15285"/>
    <w:rsid w:val="00F15C83"/>
    <w:rsid w:val="00F15D5D"/>
    <w:rsid w:val="00F16034"/>
    <w:rsid w:val="00F1723A"/>
    <w:rsid w:val="00F1782B"/>
    <w:rsid w:val="00F1789C"/>
    <w:rsid w:val="00F17994"/>
    <w:rsid w:val="00F17D10"/>
    <w:rsid w:val="00F17E12"/>
    <w:rsid w:val="00F20145"/>
    <w:rsid w:val="00F204FB"/>
    <w:rsid w:val="00F206B8"/>
    <w:rsid w:val="00F2087F"/>
    <w:rsid w:val="00F20881"/>
    <w:rsid w:val="00F21177"/>
    <w:rsid w:val="00F21774"/>
    <w:rsid w:val="00F2187D"/>
    <w:rsid w:val="00F21D3D"/>
    <w:rsid w:val="00F21DE0"/>
    <w:rsid w:val="00F222A2"/>
    <w:rsid w:val="00F22954"/>
    <w:rsid w:val="00F22BEC"/>
    <w:rsid w:val="00F22E9A"/>
    <w:rsid w:val="00F23122"/>
    <w:rsid w:val="00F23219"/>
    <w:rsid w:val="00F238EF"/>
    <w:rsid w:val="00F23924"/>
    <w:rsid w:val="00F23B87"/>
    <w:rsid w:val="00F23C37"/>
    <w:rsid w:val="00F23CDE"/>
    <w:rsid w:val="00F23E1B"/>
    <w:rsid w:val="00F23F82"/>
    <w:rsid w:val="00F24430"/>
    <w:rsid w:val="00F24757"/>
    <w:rsid w:val="00F2499A"/>
    <w:rsid w:val="00F24B64"/>
    <w:rsid w:val="00F24B72"/>
    <w:rsid w:val="00F24F61"/>
    <w:rsid w:val="00F25009"/>
    <w:rsid w:val="00F250C5"/>
    <w:rsid w:val="00F2511F"/>
    <w:rsid w:val="00F2517C"/>
    <w:rsid w:val="00F25A08"/>
    <w:rsid w:val="00F25BAB"/>
    <w:rsid w:val="00F25D97"/>
    <w:rsid w:val="00F25E74"/>
    <w:rsid w:val="00F25F76"/>
    <w:rsid w:val="00F26285"/>
    <w:rsid w:val="00F26646"/>
    <w:rsid w:val="00F266FE"/>
    <w:rsid w:val="00F26A1D"/>
    <w:rsid w:val="00F26B59"/>
    <w:rsid w:val="00F26E37"/>
    <w:rsid w:val="00F2784C"/>
    <w:rsid w:val="00F2787D"/>
    <w:rsid w:val="00F27D3C"/>
    <w:rsid w:val="00F27ED3"/>
    <w:rsid w:val="00F30894"/>
    <w:rsid w:val="00F308E5"/>
    <w:rsid w:val="00F30C81"/>
    <w:rsid w:val="00F30D4E"/>
    <w:rsid w:val="00F30F55"/>
    <w:rsid w:val="00F310A9"/>
    <w:rsid w:val="00F310DA"/>
    <w:rsid w:val="00F312EF"/>
    <w:rsid w:val="00F315AB"/>
    <w:rsid w:val="00F31E52"/>
    <w:rsid w:val="00F32359"/>
    <w:rsid w:val="00F325F9"/>
    <w:rsid w:val="00F32968"/>
    <w:rsid w:val="00F32DFF"/>
    <w:rsid w:val="00F3317D"/>
    <w:rsid w:val="00F332BC"/>
    <w:rsid w:val="00F336F8"/>
    <w:rsid w:val="00F33767"/>
    <w:rsid w:val="00F33B17"/>
    <w:rsid w:val="00F33CFE"/>
    <w:rsid w:val="00F34013"/>
    <w:rsid w:val="00F3413F"/>
    <w:rsid w:val="00F34350"/>
    <w:rsid w:val="00F345B5"/>
    <w:rsid w:val="00F345DD"/>
    <w:rsid w:val="00F34A9C"/>
    <w:rsid w:val="00F34D7C"/>
    <w:rsid w:val="00F350D1"/>
    <w:rsid w:val="00F35729"/>
    <w:rsid w:val="00F35825"/>
    <w:rsid w:val="00F3591D"/>
    <w:rsid w:val="00F35BA0"/>
    <w:rsid w:val="00F35FA3"/>
    <w:rsid w:val="00F3607C"/>
    <w:rsid w:val="00F362AF"/>
    <w:rsid w:val="00F363F5"/>
    <w:rsid w:val="00F36C8D"/>
    <w:rsid w:val="00F36EA5"/>
    <w:rsid w:val="00F37279"/>
    <w:rsid w:val="00F3749C"/>
    <w:rsid w:val="00F3799B"/>
    <w:rsid w:val="00F37A61"/>
    <w:rsid w:val="00F37A9A"/>
    <w:rsid w:val="00F37C48"/>
    <w:rsid w:val="00F37E1E"/>
    <w:rsid w:val="00F400FC"/>
    <w:rsid w:val="00F40284"/>
    <w:rsid w:val="00F40789"/>
    <w:rsid w:val="00F408DC"/>
    <w:rsid w:val="00F4090B"/>
    <w:rsid w:val="00F40AF3"/>
    <w:rsid w:val="00F40B39"/>
    <w:rsid w:val="00F41532"/>
    <w:rsid w:val="00F41630"/>
    <w:rsid w:val="00F4180E"/>
    <w:rsid w:val="00F41A01"/>
    <w:rsid w:val="00F41DE1"/>
    <w:rsid w:val="00F41DF5"/>
    <w:rsid w:val="00F41FAE"/>
    <w:rsid w:val="00F41FEB"/>
    <w:rsid w:val="00F422D1"/>
    <w:rsid w:val="00F4281C"/>
    <w:rsid w:val="00F42FC0"/>
    <w:rsid w:val="00F432F2"/>
    <w:rsid w:val="00F4344A"/>
    <w:rsid w:val="00F434F3"/>
    <w:rsid w:val="00F435DF"/>
    <w:rsid w:val="00F43679"/>
    <w:rsid w:val="00F43836"/>
    <w:rsid w:val="00F43867"/>
    <w:rsid w:val="00F43BE2"/>
    <w:rsid w:val="00F44071"/>
    <w:rsid w:val="00F442B0"/>
    <w:rsid w:val="00F4451B"/>
    <w:rsid w:val="00F44601"/>
    <w:rsid w:val="00F44644"/>
    <w:rsid w:val="00F44723"/>
    <w:rsid w:val="00F4474A"/>
    <w:rsid w:val="00F44878"/>
    <w:rsid w:val="00F448F8"/>
    <w:rsid w:val="00F4492C"/>
    <w:rsid w:val="00F44BF8"/>
    <w:rsid w:val="00F451CA"/>
    <w:rsid w:val="00F45738"/>
    <w:rsid w:val="00F45D4E"/>
    <w:rsid w:val="00F45DDF"/>
    <w:rsid w:val="00F45DE6"/>
    <w:rsid w:val="00F465F8"/>
    <w:rsid w:val="00F46930"/>
    <w:rsid w:val="00F46ABA"/>
    <w:rsid w:val="00F46ED5"/>
    <w:rsid w:val="00F471AA"/>
    <w:rsid w:val="00F4722B"/>
    <w:rsid w:val="00F474CA"/>
    <w:rsid w:val="00F476B2"/>
    <w:rsid w:val="00F47F0C"/>
    <w:rsid w:val="00F50115"/>
    <w:rsid w:val="00F50307"/>
    <w:rsid w:val="00F50A41"/>
    <w:rsid w:val="00F50B99"/>
    <w:rsid w:val="00F515FE"/>
    <w:rsid w:val="00F51699"/>
    <w:rsid w:val="00F5178B"/>
    <w:rsid w:val="00F51DE6"/>
    <w:rsid w:val="00F51FD4"/>
    <w:rsid w:val="00F51FE2"/>
    <w:rsid w:val="00F52251"/>
    <w:rsid w:val="00F5258C"/>
    <w:rsid w:val="00F52A84"/>
    <w:rsid w:val="00F52EE0"/>
    <w:rsid w:val="00F5309E"/>
    <w:rsid w:val="00F5340D"/>
    <w:rsid w:val="00F53944"/>
    <w:rsid w:val="00F53CDF"/>
    <w:rsid w:val="00F53D4C"/>
    <w:rsid w:val="00F53F38"/>
    <w:rsid w:val="00F54010"/>
    <w:rsid w:val="00F54069"/>
    <w:rsid w:val="00F5437C"/>
    <w:rsid w:val="00F545ED"/>
    <w:rsid w:val="00F54745"/>
    <w:rsid w:val="00F547CC"/>
    <w:rsid w:val="00F54E48"/>
    <w:rsid w:val="00F55472"/>
    <w:rsid w:val="00F5564D"/>
    <w:rsid w:val="00F55695"/>
    <w:rsid w:val="00F55C05"/>
    <w:rsid w:val="00F55CC3"/>
    <w:rsid w:val="00F55DC3"/>
    <w:rsid w:val="00F55F88"/>
    <w:rsid w:val="00F55FFD"/>
    <w:rsid w:val="00F562B8"/>
    <w:rsid w:val="00F565DD"/>
    <w:rsid w:val="00F56725"/>
    <w:rsid w:val="00F569CA"/>
    <w:rsid w:val="00F56C22"/>
    <w:rsid w:val="00F57437"/>
    <w:rsid w:val="00F57A77"/>
    <w:rsid w:val="00F57F4B"/>
    <w:rsid w:val="00F57F71"/>
    <w:rsid w:val="00F60155"/>
    <w:rsid w:val="00F60192"/>
    <w:rsid w:val="00F60967"/>
    <w:rsid w:val="00F60A20"/>
    <w:rsid w:val="00F60B0B"/>
    <w:rsid w:val="00F60C23"/>
    <w:rsid w:val="00F61215"/>
    <w:rsid w:val="00F61CB3"/>
    <w:rsid w:val="00F62D82"/>
    <w:rsid w:val="00F62DEA"/>
    <w:rsid w:val="00F62E64"/>
    <w:rsid w:val="00F62FF6"/>
    <w:rsid w:val="00F6317C"/>
    <w:rsid w:val="00F63336"/>
    <w:rsid w:val="00F63376"/>
    <w:rsid w:val="00F63AF6"/>
    <w:rsid w:val="00F63C14"/>
    <w:rsid w:val="00F63C7A"/>
    <w:rsid w:val="00F64357"/>
    <w:rsid w:val="00F64985"/>
    <w:rsid w:val="00F64B59"/>
    <w:rsid w:val="00F64CED"/>
    <w:rsid w:val="00F64E83"/>
    <w:rsid w:val="00F65140"/>
    <w:rsid w:val="00F6518B"/>
    <w:rsid w:val="00F651E1"/>
    <w:rsid w:val="00F65537"/>
    <w:rsid w:val="00F65AAC"/>
    <w:rsid w:val="00F65C98"/>
    <w:rsid w:val="00F65E83"/>
    <w:rsid w:val="00F66007"/>
    <w:rsid w:val="00F66130"/>
    <w:rsid w:val="00F6635D"/>
    <w:rsid w:val="00F664FB"/>
    <w:rsid w:val="00F6658B"/>
    <w:rsid w:val="00F66630"/>
    <w:rsid w:val="00F6786B"/>
    <w:rsid w:val="00F679F9"/>
    <w:rsid w:val="00F67BA6"/>
    <w:rsid w:val="00F67CDC"/>
    <w:rsid w:val="00F67EB2"/>
    <w:rsid w:val="00F67F2D"/>
    <w:rsid w:val="00F67FEA"/>
    <w:rsid w:val="00F70129"/>
    <w:rsid w:val="00F7052D"/>
    <w:rsid w:val="00F705E8"/>
    <w:rsid w:val="00F70665"/>
    <w:rsid w:val="00F70DB5"/>
    <w:rsid w:val="00F70DD5"/>
    <w:rsid w:val="00F70DFE"/>
    <w:rsid w:val="00F70E51"/>
    <w:rsid w:val="00F710DE"/>
    <w:rsid w:val="00F7157A"/>
    <w:rsid w:val="00F717E7"/>
    <w:rsid w:val="00F723FC"/>
    <w:rsid w:val="00F723FE"/>
    <w:rsid w:val="00F72626"/>
    <w:rsid w:val="00F72724"/>
    <w:rsid w:val="00F727F4"/>
    <w:rsid w:val="00F72822"/>
    <w:rsid w:val="00F72C86"/>
    <w:rsid w:val="00F73099"/>
    <w:rsid w:val="00F73253"/>
    <w:rsid w:val="00F73449"/>
    <w:rsid w:val="00F737EC"/>
    <w:rsid w:val="00F739AA"/>
    <w:rsid w:val="00F73A74"/>
    <w:rsid w:val="00F7418F"/>
    <w:rsid w:val="00F741CB"/>
    <w:rsid w:val="00F742C7"/>
    <w:rsid w:val="00F748D0"/>
    <w:rsid w:val="00F749F4"/>
    <w:rsid w:val="00F74AB5"/>
    <w:rsid w:val="00F74AD1"/>
    <w:rsid w:val="00F74CD5"/>
    <w:rsid w:val="00F75923"/>
    <w:rsid w:val="00F75F4E"/>
    <w:rsid w:val="00F761EF"/>
    <w:rsid w:val="00F766BE"/>
    <w:rsid w:val="00F76FFD"/>
    <w:rsid w:val="00F77210"/>
    <w:rsid w:val="00F772E9"/>
    <w:rsid w:val="00F77724"/>
    <w:rsid w:val="00F777CE"/>
    <w:rsid w:val="00F77C62"/>
    <w:rsid w:val="00F77F9C"/>
    <w:rsid w:val="00F80147"/>
    <w:rsid w:val="00F8021A"/>
    <w:rsid w:val="00F8029A"/>
    <w:rsid w:val="00F80B65"/>
    <w:rsid w:val="00F80C23"/>
    <w:rsid w:val="00F80F67"/>
    <w:rsid w:val="00F81064"/>
    <w:rsid w:val="00F8114A"/>
    <w:rsid w:val="00F8126C"/>
    <w:rsid w:val="00F813A6"/>
    <w:rsid w:val="00F817B5"/>
    <w:rsid w:val="00F8192C"/>
    <w:rsid w:val="00F81C62"/>
    <w:rsid w:val="00F81DEF"/>
    <w:rsid w:val="00F820A1"/>
    <w:rsid w:val="00F82168"/>
    <w:rsid w:val="00F824C2"/>
    <w:rsid w:val="00F82861"/>
    <w:rsid w:val="00F82925"/>
    <w:rsid w:val="00F829B7"/>
    <w:rsid w:val="00F82BF3"/>
    <w:rsid w:val="00F82D4C"/>
    <w:rsid w:val="00F82E5E"/>
    <w:rsid w:val="00F82FB5"/>
    <w:rsid w:val="00F837BF"/>
    <w:rsid w:val="00F839AB"/>
    <w:rsid w:val="00F83D23"/>
    <w:rsid w:val="00F846C7"/>
    <w:rsid w:val="00F84887"/>
    <w:rsid w:val="00F849AA"/>
    <w:rsid w:val="00F84CE3"/>
    <w:rsid w:val="00F8517D"/>
    <w:rsid w:val="00F852BA"/>
    <w:rsid w:val="00F8532E"/>
    <w:rsid w:val="00F85529"/>
    <w:rsid w:val="00F855B6"/>
    <w:rsid w:val="00F85662"/>
    <w:rsid w:val="00F8582C"/>
    <w:rsid w:val="00F85DEE"/>
    <w:rsid w:val="00F85E23"/>
    <w:rsid w:val="00F85E57"/>
    <w:rsid w:val="00F85E9A"/>
    <w:rsid w:val="00F85FCB"/>
    <w:rsid w:val="00F86143"/>
    <w:rsid w:val="00F869AB"/>
    <w:rsid w:val="00F86AD4"/>
    <w:rsid w:val="00F86E89"/>
    <w:rsid w:val="00F871E2"/>
    <w:rsid w:val="00F87219"/>
    <w:rsid w:val="00F87320"/>
    <w:rsid w:val="00F874B6"/>
    <w:rsid w:val="00F8751F"/>
    <w:rsid w:val="00F87533"/>
    <w:rsid w:val="00F875D4"/>
    <w:rsid w:val="00F8798E"/>
    <w:rsid w:val="00F87AC2"/>
    <w:rsid w:val="00F87CAE"/>
    <w:rsid w:val="00F904C7"/>
    <w:rsid w:val="00F9056F"/>
    <w:rsid w:val="00F9059F"/>
    <w:rsid w:val="00F90948"/>
    <w:rsid w:val="00F9122B"/>
    <w:rsid w:val="00F91F7A"/>
    <w:rsid w:val="00F91FF7"/>
    <w:rsid w:val="00F9204F"/>
    <w:rsid w:val="00F925A8"/>
    <w:rsid w:val="00F92636"/>
    <w:rsid w:val="00F92643"/>
    <w:rsid w:val="00F927EA"/>
    <w:rsid w:val="00F929DF"/>
    <w:rsid w:val="00F92A41"/>
    <w:rsid w:val="00F92A75"/>
    <w:rsid w:val="00F92A9B"/>
    <w:rsid w:val="00F92C9C"/>
    <w:rsid w:val="00F92EED"/>
    <w:rsid w:val="00F93157"/>
    <w:rsid w:val="00F934F1"/>
    <w:rsid w:val="00F936B3"/>
    <w:rsid w:val="00F93970"/>
    <w:rsid w:val="00F93A42"/>
    <w:rsid w:val="00F93BBD"/>
    <w:rsid w:val="00F93D5D"/>
    <w:rsid w:val="00F94572"/>
    <w:rsid w:val="00F94656"/>
    <w:rsid w:val="00F94A90"/>
    <w:rsid w:val="00F95528"/>
    <w:rsid w:val="00F95E37"/>
    <w:rsid w:val="00F96360"/>
    <w:rsid w:val="00F9652E"/>
    <w:rsid w:val="00F96A10"/>
    <w:rsid w:val="00F96BE3"/>
    <w:rsid w:val="00F96D7C"/>
    <w:rsid w:val="00F96E5D"/>
    <w:rsid w:val="00F970CB"/>
    <w:rsid w:val="00F9745E"/>
    <w:rsid w:val="00F97A32"/>
    <w:rsid w:val="00F97C41"/>
    <w:rsid w:val="00F97C99"/>
    <w:rsid w:val="00FA03A1"/>
    <w:rsid w:val="00FA05CB"/>
    <w:rsid w:val="00FA0816"/>
    <w:rsid w:val="00FA0B4B"/>
    <w:rsid w:val="00FA0B4F"/>
    <w:rsid w:val="00FA0BE6"/>
    <w:rsid w:val="00FA0CC6"/>
    <w:rsid w:val="00FA0FF0"/>
    <w:rsid w:val="00FA147A"/>
    <w:rsid w:val="00FA14EE"/>
    <w:rsid w:val="00FA170D"/>
    <w:rsid w:val="00FA1EB9"/>
    <w:rsid w:val="00FA2329"/>
    <w:rsid w:val="00FA23EF"/>
    <w:rsid w:val="00FA25AB"/>
    <w:rsid w:val="00FA270F"/>
    <w:rsid w:val="00FA2786"/>
    <w:rsid w:val="00FA2905"/>
    <w:rsid w:val="00FA2DBA"/>
    <w:rsid w:val="00FA3274"/>
    <w:rsid w:val="00FA3543"/>
    <w:rsid w:val="00FA361F"/>
    <w:rsid w:val="00FA3D03"/>
    <w:rsid w:val="00FA3D50"/>
    <w:rsid w:val="00FA3FA2"/>
    <w:rsid w:val="00FA40CB"/>
    <w:rsid w:val="00FA4277"/>
    <w:rsid w:val="00FA4538"/>
    <w:rsid w:val="00FA45E9"/>
    <w:rsid w:val="00FA4827"/>
    <w:rsid w:val="00FA4CEF"/>
    <w:rsid w:val="00FA5650"/>
    <w:rsid w:val="00FA57AF"/>
    <w:rsid w:val="00FA5DB9"/>
    <w:rsid w:val="00FA61BE"/>
    <w:rsid w:val="00FA636A"/>
    <w:rsid w:val="00FA699C"/>
    <w:rsid w:val="00FA6A46"/>
    <w:rsid w:val="00FA6BB4"/>
    <w:rsid w:val="00FA72F2"/>
    <w:rsid w:val="00FA76D0"/>
    <w:rsid w:val="00FA7911"/>
    <w:rsid w:val="00FA7BDB"/>
    <w:rsid w:val="00FA7C60"/>
    <w:rsid w:val="00FA7FD8"/>
    <w:rsid w:val="00FB02B3"/>
    <w:rsid w:val="00FB0367"/>
    <w:rsid w:val="00FB0656"/>
    <w:rsid w:val="00FB0C8E"/>
    <w:rsid w:val="00FB0F4A"/>
    <w:rsid w:val="00FB103E"/>
    <w:rsid w:val="00FB1146"/>
    <w:rsid w:val="00FB1222"/>
    <w:rsid w:val="00FB1684"/>
    <w:rsid w:val="00FB16E4"/>
    <w:rsid w:val="00FB1B0E"/>
    <w:rsid w:val="00FB1CA8"/>
    <w:rsid w:val="00FB1D33"/>
    <w:rsid w:val="00FB1E2C"/>
    <w:rsid w:val="00FB236E"/>
    <w:rsid w:val="00FB2372"/>
    <w:rsid w:val="00FB26CE"/>
    <w:rsid w:val="00FB2815"/>
    <w:rsid w:val="00FB2DC5"/>
    <w:rsid w:val="00FB2F96"/>
    <w:rsid w:val="00FB305E"/>
    <w:rsid w:val="00FB3215"/>
    <w:rsid w:val="00FB35AA"/>
    <w:rsid w:val="00FB3C95"/>
    <w:rsid w:val="00FB3FB3"/>
    <w:rsid w:val="00FB4139"/>
    <w:rsid w:val="00FB44E6"/>
    <w:rsid w:val="00FB49A6"/>
    <w:rsid w:val="00FB49E7"/>
    <w:rsid w:val="00FB4DFE"/>
    <w:rsid w:val="00FB4EB3"/>
    <w:rsid w:val="00FB5028"/>
    <w:rsid w:val="00FB5FAA"/>
    <w:rsid w:val="00FB6336"/>
    <w:rsid w:val="00FB6BCD"/>
    <w:rsid w:val="00FB7041"/>
    <w:rsid w:val="00FB7112"/>
    <w:rsid w:val="00FB7422"/>
    <w:rsid w:val="00FB74EA"/>
    <w:rsid w:val="00FB77D6"/>
    <w:rsid w:val="00FB786B"/>
    <w:rsid w:val="00FB7B49"/>
    <w:rsid w:val="00FB7CF6"/>
    <w:rsid w:val="00FB7F96"/>
    <w:rsid w:val="00FC0260"/>
    <w:rsid w:val="00FC0623"/>
    <w:rsid w:val="00FC0701"/>
    <w:rsid w:val="00FC0EAE"/>
    <w:rsid w:val="00FC146B"/>
    <w:rsid w:val="00FC1938"/>
    <w:rsid w:val="00FC1E4E"/>
    <w:rsid w:val="00FC1F62"/>
    <w:rsid w:val="00FC25B2"/>
    <w:rsid w:val="00FC26AC"/>
    <w:rsid w:val="00FC2828"/>
    <w:rsid w:val="00FC2A8C"/>
    <w:rsid w:val="00FC323C"/>
    <w:rsid w:val="00FC358E"/>
    <w:rsid w:val="00FC36E5"/>
    <w:rsid w:val="00FC3E9E"/>
    <w:rsid w:val="00FC43B0"/>
    <w:rsid w:val="00FC4515"/>
    <w:rsid w:val="00FC497F"/>
    <w:rsid w:val="00FC49D2"/>
    <w:rsid w:val="00FC4A7A"/>
    <w:rsid w:val="00FC4C0D"/>
    <w:rsid w:val="00FC4CB0"/>
    <w:rsid w:val="00FC4EE2"/>
    <w:rsid w:val="00FC4F41"/>
    <w:rsid w:val="00FC5009"/>
    <w:rsid w:val="00FC535A"/>
    <w:rsid w:val="00FC5482"/>
    <w:rsid w:val="00FC577A"/>
    <w:rsid w:val="00FC5B57"/>
    <w:rsid w:val="00FC5E32"/>
    <w:rsid w:val="00FC5FE0"/>
    <w:rsid w:val="00FC64FA"/>
    <w:rsid w:val="00FC66F8"/>
    <w:rsid w:val="00FC6D0F"/>
    <w:rsid w:val="00FC74E0"/>
    <w:rsid w:val="00FC7790"/>
    <w:rsid w:val="00FC790C"/>
    <w:rsid w:val="00FC7DE9"/>
    <w:rsid w:val="00FD07EE"/>
    <w:rsid w:val="00FD096E"/>
    <w:rsid w:val="00FD0C0E"/>
    <w:rsid w:val="00FD0C25"/>
    <w:rsid w:val="00FD0C4C"/>
    <w:rsid w:val="00FD0F44"/>
    <w:rsid w:val="00FD11D6"/>
    <w:rsid w:val="00FD1EBD"/>
    <w:rsid w:val="00FD208F"/>
    <w:rsid w:val="00FD21CF"/>
    <w:rsid w:val="00FD220A"/>
    <w:rsid w:val="00FD2754"/>
    <w:rsid w:val="00FD2A13"/>
    <w:rsid w:val="00FD2BF8"/>
    <w:rsid w:val="00FD2E53"/>
    <w:rsid w:val="00FD2FE5"/>
    <w:rsid w:val="00FD30BE"/>
    <w:rsid w:val="00FD3EB3"/>
    <w:rsid w:val="00FD4041"/>
    <w:rsid w:val="00FD408E"/>
    <w:rsid w:val="00FD46E3"/>
    <w:rsid w:val="00FD497D"/>
    <w:rsid w:val="00FD4A3A"/>
    <w:rsid w:val="00FD4A60"/>
    <w:rsid w:val="00FD4A7B"/>
    <w:rsid w:val="00FD4D10"/>
    <w:rsid w:val="00FD523B"/>
    <w:rsid w:val="00FD555D"/>
    <w:rsid w:val="00FD5E23"/>
    <w:rsid w:val="00FD63EF"/>
    <w:rsid w:val="00FD6D88"/>
    <w:rsid w:val="00FD77FF"/>
    <w:rsid w:val="00FD79B4"/>
    <w:rsid w:val="00FD7A77"/>
    <w:rsid w:val="00FD7BB3"/>
    <w:rsid w:val="00FD7E05"/>
    <w:rsid w:val="00FD7F35"/>
    <w:rsid w:val="00FD7F73"/>
    <w:rsid w:val="00FE0176"/>
    <w:rsid w:val="00FE04F2"/>
    <w:rsid w:val="00FE05D8"/>
    <w:rsid w:val="00FE0A93"/>
    <w:rsid w:val="00FE0AE2"/>
    <w:rsid w:val="00FE0CB5"/>
    <w:rsid w:val="00FE0FBF"/>
    <w:rsid w:val="00FE130D"/>
    <w:rsid w:val="00FE15C9"/>
    <w:rsid w:val="00FE167A"/>
    <w:rsid w:val="00FE16F3"/>
    <w:rsid w:val="00FE1B4F"/>
    <w:rsid w:val="00FE1BB8"/>
    <w:rsid w:val="00FE1ECA"/>
    <w:rsid w:val="00FE1F46"/>
    <w:rsid w:val="00FE22BE"/>
    <w:rsid w:val="00FE2D6B"/>
    <w:rsid w:val="00FE2F4F"/>
    <w:rsid w:val="00FE3255"/>
    <w:rsid w:val="00FE3668"/>
    <w:rsid w:val="00FE388B"/>
    <w:rsid w:val="00FE39FE"/>
    <w:rsid w:val="00FE3BB3"/>
    <w:rsid w:val="00FE4690"/>
    <w:rsid w:val="00FE4A2D"/>
    <w:rsid w:val="00FE4DBC"/>
    <w:rsid w:val="00FE513B"/>
    <w:rsid w:val="00FE549B"/>
    <w:rsid w:val="00FE5798"/>
    <w:rsid w:val="00FE5E6A"/>
    <w:rsid w:val="00FE61BE"/>
    <w:rsid w:val="00FE64EC"/>
    <w:rsid w:val="00FE6579"/>
    <w:rsid w:val="00FE6857"/>
    <w:rsid w:val="00FE6AAC"/>
    <w:rsid w:val="00FE6CD4"/>
    <w:rsid w:val="00FE6D9A"/>
    <w:rsid w:val="00FE73CC"/>
    <w:rsid w:val="00FE73E7"/>
    <w:rsid w:val="00FE77AA"/>
    <w:rsid w:val="00FE7897"/>
    <w:rsid w:val="00FE7903"/>
    <w:rsid w:val="00FE7E1F"/>
    <w:rsid w:val="00FF0319"/>
    <w:rsid w:val="00FF04AF"/>
    <w:rsid w:val="00FF06AD"/>
    <w:rsid w:val="00FF1228"/>
    <w:rsid w:val="00FF124D"/>
    <w:rsid w:val="00FF1379"/>
    <w:rsid w:val="00FF1658"/>
    <w:rsid w:val="00FF1744"/>
    <w:rsid w:val="00FF1746"/>
    <w:rsid w:val="00FF1819"/>
    <w:rsid w:val="00FF19F4"/>
    <w:rsid w:val="00FF1B90"/>
    <w:rsid w:val="00FF20AD"/>
    <w:rsid w:val="00FF2194"/>
    <w:rsid w:val="00FF2AC3"/>
    <w:rsid w:val="00FF2D92"/>
    <w:rsid w:val="00FF2DC0"/>
    <w:rsid w:val="00FF2EF1"/>
    <w:rsid w:val="00FF30C7"/>
    <w:rsid w:val="00FF3AC4"/>
    <w:rsid w:val="00FF3C94"/>
    <w:rsid w:val="00FF3F9C"/>
    <w:rsid w:val="00FF4053"/>
    <w:rsid w:val="00FF41E6"/>
    <w:rsid w:val="00FF435A"/>
    <w:rsid w:val="00FF4659"/>
    <w:rsid w:val="00FF4D3B"/>
    <w:rsid w:val="00FF53FF"/>
    <w:rsid w:val="00FF5758"/>
    <w:rsid w:val="00FF5BAD"/>
    <w:rsid w:val="00FF5F3A"/>
    <w:rsid w:val="00FF5FBE"/>
    <w:rsid w:val="00FF6565"/>
    <w:rsid w:val="00FF6579"/>
    <w:rsid w:val="00FF6A4E"/>
    <w:rsid w:val="00FF6E96"/>
    <w:rsid w:val="00FF6F77"/>
    <w:rsid w:val="00FF7186"/>
    <w:rsid w:val="00FF7C3D"/>
    <w:rsid w:val="00FF7EA4"/>
    <w:rsid w:val="00FF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9474"/>
    <o:shapelayout v:ext="edit">
      <o:idmap v:ext="edit" data="1"/>
    </o:shapelayout>
  </w:shapeDefaults>
  <w:decimalSymbol w:val="."/>
  <w:listSeparator w:val=","/>
  <w14:docId w14:val="5AC60A8C"/>
  <w15:docId w15:val="{47D4A8F7-1BF2-46F2-AC89-72C22E35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52FA"/>
    <w:rPr>
      <w:rFonts w:ascii="Arial" w:hAnsi="Arial"/>
      <w:sz w:val="22"/>
      <w:lang w:eastAsia="en-US"/>
    </w:rPr>
  </w:style>
  <w:style w:type="paragraph" w:styleId="Heading1">
    <w:name w:val="heading 1"/>
    <w:basedOn w:val="Normal"/>
    <w:next w:val="Normal"/>
    <w:qFormat/>
    <w:rsid w:val="00547226"/>
    <w:pPr>
      <w:keepNext/>
      <w:tabs>
        <w:tab w:val="left" w:pos="2410"/>
        <w:tab w:val="left" w:pos="6521"/>
      </w:tabs>
      <w:spacing w:before="120" w:after="240"/>
      <w:jc w:val="both"/>
      <w:outlineLvl w:val="0"/>
    </w:pPr>
    <w:rPr>
      <w:b/>
      <w:sz w:val="20"/>
    </w:rPr>
  </w:style>
  <w:style w:type="paragraph" w:styleId="Heading2">
    <w:name w:val="heading 2"/>
    <w:basedOn w:val="Normal"/>
    <w:next w:val="Normal"/>
    <w:qFormat/>
    <w:rsid w:val="004C44FB"/>
    <w:pPr>
      <w:keepNext/>
      <w:numPr>
        <w:ilvl w:val="1"/>
        <w:numId w:val="3"/>
      </w:numPr>
      <w:jc w:val="center"/>
      <w:outlineLvl w:val="1"/>
    </w:pPr>
    <w:rPr>
      <w:b/>
      <w:sz w:val="18"/>
    </w:rPr>
  </w:style>
  <w:style w:type="paragraph" w:styleId="Heading3">
    <w:name w:val="heading 3"/>
    <w:basedOn w:val="Normal"/>
    <w:next w:val="Normal"/>
    <w:qFormat/>
    <w:rsid w:val="00D4308D"/>
    <w:pPr>
      <w:keepNext/>
      <w:numPr>
        <w:ilvl w:val="2"/>
        <w:numId w:val="3"/>
      </w:numPr>
      <w:spacing w:after="120"/>
      <w:jc w:val="both"/>
      <w:outlineLvl w:val="2"/>
    </w:pPr>
  </w:style>
  <w:style w:type="paragraph" w:styleId="Heading4">
    <w:name w:val="heading 4"/>
    <w:basedOn w:val="Normal"/>
    <w:next w:val="Normal"/>
    <w:qFormat/>
    <w:rsid w:val="004C44FB"/>
    <w:pPr>
      <w:keepNext/>
      <w:numPr>
        <w:ilvl w:val="3"/>
        <w:numId w:val="3"/>
      </w:numPr>
      <w:outlineLvl w:val="3"/>
    </w:pPr>
    <w:rPr>
      <w:b/>
      <w:sz w:val="32"/>
    </w:rPr>
  </w:style>
  <w:style w:type="paragraph" w:styleId="Heading5">
    <w:name w:val="heading 5"/>
    <w:basedOn w:val="Normal"/>
    <w:next w:val="Normal"/>
    <w:qFormat/>
    <w:rsid w:val="004C44FB"/>
    <w:pPr>
      <w:keepNext/>
      <w:numPr>
        <w:ilvl w:val="4"/>
        <w:numId w:val="3"/>
      </w:numPr>
      <w:spacing w:before="40"/>
      <w:jc w:val="center"/>
      <w:outlineLvl w:val="4"/>
    </w:pPr>
    <w:rPr>
      <w:b/>
      <w:sz w:val="18"/>
    </w:rPr>
  </w:style>
  <w:style w:type="paragraph" w:styleId="Heading6">
    <w:name w:val="heading 6"/>
    <w:basedOn w:val="Normal"/>
    <w:next w:val="Normal"/>
    <w:qFormat/>
    <w:rsid w:val="004C44FB"/>
    <w:pPr>
      <w:keepNext/>
      <w:numPr>
        <w:ilvl w:val="5"/>
        <w:numId w:val="3"/>
      </w:numPr>
      <w:tabs>
        <w:tab w:val="left" w:pos="567"/>
        <w:tab w:val="left" w:pos="886"/>
      </w:tabs>
      <w:outlineLvl w:val="5"/>
    </w:pPr>
    <w:rPr>
      <w:b/>
      <w:sz w:val="18"/>
    </w:rPr>
  </w:style>
  <w:style w:type="paragraph" w:styleId="Heading7">
    <w:name w:val="heading 7"/>
    <w:basedOn w:val="Normal"/>
    <w:next w:val="Normal"/>
    <w:qFormat/>
    <w:rsid w:val="004C44FB"/>
    <w:pPr>
      <w:keepNext/>
      <w:numPr>
        <w:ilvl w:val="6"/>
        <w:numId w:val="3"/>
      </w:numPr>
      <w:spacing w:before="60"/>
      <w:jc w:val="right"/>
      <w:outlineLvl w:val="6"/>
    </w:pPr>
    <w:rPr>
      <w:sz w:val="18"/>
      <w:u w:val="double"/>
    </w:rPr>
  </w:style>
  <w:style w:type="paragraph" w:styleId="Heading8">
    <w:name w:val="heading 8"/>
    <w:basedOn w:val="Normal"/>
    <w:next w:val="Normal"/>
    <w:qFormat/>
    <w:rsid w:val="004C44FB"/>
    <w:pPr>
      <w:keepNext/>
      <w:numPr>
        <w:ilvl w:val="7"/>
        <w:numId w:val="3"/>
      </w:numPr>
      <w:tabs>
        <w:tab w:val="left" w:pos="2869"/>
      </w:tabs>
      <w:jc w:val="both"/>
      <w:outlineLvl w:val="7"/>
    </w:pPr>
    <w:rPr>
      <w:sz w:val="18"/>
      <w:u w:val="single"/>
    </w:rPr>
  </w:style>
  <w:style w:type="paragraph" w:styleId="Heading9">
    <w:name w:val="heading 9"/>
    <w:basedOn w:val="Normal"/>
    <w:next w:val="Normal"/>
    <w:qFormat/>
    <w:rsid w:val="004C44FB"/>
    <w:pPr>
      <w:keepNext/>
      <w:numPr>
        <w:ilvl w:val="8"/>
        <w:numId w:val="3"/>
      </w:numPr>
      <w:jc w:val="both"/>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tyle>
  <w:style w:type="paragraph" w:styleId="BodyText">
    <w:name w:val="Body Text"/>
    <w:basedOn w:val="Normal"/>
    <w:pPr>
      <w:tabs>
        <w:tab w:val="left" w:pos="426"/>
      </w:tabs>
      <w:jc w:val="both"/>
    </w:pPr>
    <w:rPr>
      <w:sz w:val="18"/>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09"/>
        <w:tab w:val="left" w:pos="2127"/>
      </w:tabs>
      <w:ind w:left="709" w:hanging="709"/>
      <w:jc w:val="both"/>
    </w:pPr>
  </w:style>
  <w:style w:type="paragraph" w:styleId="BodyText2">
    <w:name w:val="Body Text 2"/>
    <w:basedOn w:val="Normal"/>
    <w:pPr>
      <w:tabs>
        <w:tab w:val="left" w:pos="284"/>
      </w:tabs>
    </w:pPr>
    <w:rPr>
      <w:sz w:val="18"/>
    </w:rPr>
  </w:style>
  <w:style w:type="paragraph" w:styleId="BodyTextIndent2">
    <w:name w:val="Body Text Indent 2"/>
    <w:basedOn w:val="Normal"/>
    <w:pPr>
      <w:tabs>
        <w:tab w:val="left" w:pos="426"/>
      </w:tabs>
      <w:ind w:left="426"/>
      <w:jc w:val="both"/>
    </w:pPr>
    <w:rPr>
      <w:sz w:val="18"/>
    </w:rPr>
  </w:style>
  <w:style w:type="paragraph" w:styleId="BodyTextIndent3">
    <w:name w:val="Body Text Indent 3"/>
    <w:basedOn w:val="Normal"/>
    <w:pPr>
      <w:tabs>
        <w:tab w:val="left" w:pos="426"/>
      </w:tabs>
      <w:ind w:left="426" w:hanging="426"/>
    </w:pPr>
    <w:rPr>
      <w:b/>
      <w:sz w:val="18"/>
    </w:rPr>
  </w:style>
  <w:style w:type="paragraph" w:styleId="BodyText3">
    <w:name w:val="Body Text 3"/>
    <w:basedOn w:val="Normal"/>
    <w:pPr>
      <w:jc w:val="both"/>
    </w:pPr>
    <w:rPr>
      <w:sz w:val="16"/>
    </w:rPr>
  </w:style>
  <w:style w:type="paragraph" w:styleId="BlockText">
    <w:name w:val="Block Text"/>
    <w:basedOn w:val="Normal"/>
    <w:pPr>
      <w:tabs>
        <w:tab w:val="left" w:pos="4253"/>
      </w:tabs>
      <w:ind w:left="-567" w:right="539"/>
      <w:jc w:val="both"/>
    </w:pPr>
    <w:rPr>
      <w:sz w:val="18"/>
    </w:rPr>
  </w:style>
  <w:style w:type="paragraph" w:styleId="Caption">
    <w:name w:val="caption"/>
    <w:basedOn w:val="Normal"/>
    <w:next w:val="Normal"/>
    <w:qFormat/>
    <w:pPr>
      <w:ind w:left="-851"/>
      <w:jc w:val="center"/>
    </w:pPr>
    <w:rPr>
      <w:b/>
      <w:sz w:val="32"/>
    </w:rPr>
  </w:style>
  <w:style w:type="paragraph" w:styleId="BalloonText">
    <w:name w:val="Balloon Text"/>
    <w:basedOn w:val="Normal"/>
    <w:semiHidden/>
    <w:rPr>
      <w:rFonts w:ascii="Tahoma" w:hAnsi="Tahoma" w:cs="Book Antiqua"/>
      <w:sz w:val="16"/>
      <w:szCs w:val="16"/>
    </w:rPr>
  </w:style>
  <w:style w:type="paragraph" w:customStyle="1" w:styleId="CommitteeBody">
    <w:name w:val="Committee Body"/>
    <w:pPr>
      <w:tabs>
        <w:tab w:val="num" w:pos="567"/>
      </w:tabs>
      <w:spacing w:after="120"/>
      <w:ind w:left="567" w:hanging="567"/>
      <w:jc w:val="both"/>
    </w:pPr>
    <w:rPr>
      <w:rFonts w:ascii="Arial" w:hAnsi="Arial"/>
      <w:sz w:val="24"/>
    </w:rPr>
  </w:style>
  <w:style w:type="paragraph" w:customStyle="1" w:styleId="Level1">
    <w:name w:val="Level 1"/>
    <w:basedOn w:val="Normal"/>
    <w:pPr>
      <w:keepNext/>
      <w:tabs>
        <w:tab w:val="num" w:pos="851"/>
      </w:tabs>
      <w:spacing w:before="60" w:after="60"/>
      <w:ind w:left="851" w:hanging="851"/>
      <w:outlineLvl w:val="0"/>
    </w:pPr>
    <w:rPr>
      <w:b/>
      <w:caps/>
      <w:snapToGrid w:val="0"/>
      <w:sz w:val="24"/>
    </w:rPr>
  </w:style>
  <w:style w:type="paragraph" w:customStyle="1" w:styleId="Level3">
    <w:name w:val="Level 3"/>
    <w:basedOn w:val="Level2"/>
    <w:pPr>
      <w:tabs>
        <w:tab w:val="num" w:pos="851"/>
      </w:tabs>
      <w:ind w:left="851" w:hanging="851"/>
      <w:outlineLvl w:val="2"/>
    </w:pPr>
  </w:style>
  <w:style w:type="paragraph" w:customStyle="1" w:styleId="Level2">
    <w:name w:val="Level 2"/>
    <w:basedOn w:val="Normal"/>
    <w:pPr>
      <w:spacing w:after="120"/>
      <w:jc w:val="both"/>
      <w:outlineLvl w:val="1"/>
    </w:pPr>
    <w:rPr>
      <w:snapToGrid w:val="0"/>
      <w:sz w:val="24"/>
    </w:rPr>
  </w:style>
  <w:style w:type="paragraph" w:customStyle="1" w:styleId="Level4">
    <w:name w:val="Level 4"/>
    <w:basedOn w:val="Normal"/>
    <w:pPr>
      <w:tabs>
        <w:tab w:val="num" w:pos="1211"/>
      </w:tabs>
      <w:spacing w:after="120"/>
      <w:ind w:left="284" w:firstLine="567"/>
      <w:jc w:val="both"/>
      <w:outlineLvl w:val="3"/>
    </w:pPr>
    <w:rPr>
      <w:b/>
      <w:snapToGrid w:val="0"/>
      <w:sz w:val="24"/>
    </w:rPr>
  </w:style>
  <w:style w:type="paragraph" w:customStyle="1" w:styleId="Level5">
    <w:name w:val="Level 5"/>
    <w:basedOn w:val="Level4"/>
    <w:pPr>
      <w:tabs>
        <w:tab w:val="clear" w:pos="1211"/>
        <w:tab w:val="num" w:pos="360"/>
      </w:tabs>
      <w:spacing w:after="0"/>
      <w:ind w:left="360" w:hanging="360"/>
      <w:outlineLvl w:val="4"/>
    </w:pPr>
    <w:rPr>
      <w:b w:val="0"/>
    </w:rPr>
  </w:style>
  <w:style w:type="paragraph" w:customStyle="1" w:styleId="Bullet1">
    <w:name w:val="Bullet 1"/>
    <w:basedOn w:val="Normal"/>
    <w:pPr>
      <w:keepLines/>
      <w:tabs>
        <w:tab w:val="num" w:pos="360"/>
      </w:tabs>
      <w:spacing w:after="120"/>
      <w:ind w:left="360" w:hanging="360"/>
    </w:pPr>
  </w:style>
  <w:style w:type="paragraph" w:customStyle="1" w:styleId="Bullet2">
    <w:name w:val="Bullet 2"/>
    <w:basedOn w:val="Bullet1"/>
    <w:pPr>
      <w:ind w:left="720"/>
      <w:outlineLvl w:val="6"/>
    </w:pPr>
  </w:style>
  <w:style w:type="paragraph" w:customStyle="1" w:styleId="Bullets">
    <w:name w:val="Bullets"/>
    <w:basedOn w:val="Normal"/>
    <w:rsid w:val="00CC0155"/>
    <w:pPr>
      <w:numPr>
        <w:numId w:val="1"/>
      </w:numPr>
      <w:tabs>
        <w:tab w:val="left" w:pos="3062"/>
      </w:tabs>
      <w:spacing w:before="30" w:line="264" w:lineRule="auto"/>
    </w:pPr>
    <w:rPr>
      <w:rFonts w:ascii="Times" w:hAnsi="Times"/>
      <w:sz w:val="21"/>
    </w:rPr>
  </w:style>
  <w:style w:type="paragraph" w:styleId="NormalWeb">
    <w:name w:val="Normal (Web)"/>
    <w:basedOn w:val="Normal"/>
    <w:uiPriority w:val="99"/>
    <w:rsid w:val="00CC0155"/>
    <w:pPr>
      <w:spacing w:before="100" w:beforeAutospacing="1" w:after="100" w:afterAutospacing="1"/>
    </w:pPr>
    <w:rPr>
      <w:rFonts w:cs="Arial"/>
      <w:sz w:val="20"/>
      <w:lang w:eastAsia="en-GB"/>
    </w:rPr>
  </w:style>
  <w:style w:type="character" w:styleId="Hyperlink">
    <w:name w:val="Hyperlink"/>
    <w:uiPriority w:val="99"/>
    <w:rsid w:val="006A6CB5"/>
    <w:rPr>
      <w:color w:val="0000FF"/>
      <w:u w:val="single"/>
    </w:rPr>
  </w:style>
  <w:style w:type="character" w:styleId="FollowedHyperlink">
    <w:name w:val="FollowedHyperlink"/>
    <w:rsid w:val="006A6CB5"/>
    <w:rPr>
      <w:color w:val="800080"/>
      <w:u w:val="single"/>
    </w:rPr>
  </w:style>
  <w:style w:type="paragraph" w:customStyle="1" w:styleId="Heading1SoA">
    <w:name w:val="Heading 1 SoA"/>
    <w:basedOn w:val="Normal"/>
    <w:rsid w:val="004C44FB"/>
    <w:pPr>
      <w:spacing w:after="360"/>
      <w:jc w:val="center"/>
    </w:pPr>
    <w:rPr>
      <w:sz w:val="36"/>
    </w:rPr>
  </w:style>
  <w:style w:type="paragraph" w:customStyle="1" w:styleId="Heading2SoA">
    <w:name w:val="Heading 2 SoA"/>
    <w:basedOn w:val="Normal"/>
    <w:rsid w:val="00457077"/>
    <w:pPr>
      <w:numPr>
        <w:numId w:val="2"/>
      </w:numPr>
      <w:spacing w:before="120" w:after="120"/>
      <w:ind w:right="284"/>
      <w:jc w:val="both"/>
    </w:pPr>
    <w:rPr>
      <w:b/>
    </w:rPr>
  </w:style>
  <w:style w:type="paragraph" w:customStyle="1" w:styleId="Heading3SoAText">
    <w:name w:val="Heading 3 SoA Text"/>
    <w:basedOn w:val="Normal"/>
    <w:rsid w:val="00D4308D"/>
    <w:pPr>
      <w:numPr>
        <w:ilvl w:val="1"/>
        <w:numId w:val="4"/>
      </w:numPr>
      <w:spacing w:after="120"/>
      <w:ind w:right="283"/>
      <w:jc w:val="both"/>
    </w:pPr>
  </w:style>
  <w:style w:type="paragraph" w:customStyle="1" w:styleId="Style1">
    <w:name w:val="Style1"/>
    <w:basedOn w:val="Heading3SoAText"/>
    <w:rsid w:val="004C44FB"/>
    <w:pPr>
      <w:numPr>
        <w:ilvl w:val="0"/>
        <w:numId w:val="3"/>
      </w:numPr>
    </w:pPr>
  </w:style>
  <w:style w:type="paragraph" w:styleId="TOC1">
    <w:name w:val="toc 1"/>
    <w:basedOn w:val="Normal"/>
    <w:next w:val="Normal"/>
    <w:autoRedefine/>
    <w:uiPriority w:val="39"/>
    <w:qFormat/>
    <w:rsid w:val="00064E83"/>
    <w:pPr>
      <w:tabs>
        <w:tab w:val="left" w:leader="dot" w:pos="426"/>
        <w:tab w:val="center" w:leader="dot" w:pos="9356"/>
        <w:tab w:val="right" w:leader="dot" w:pos="13892"/>
      </w:tabs>
      <w:spacing w:line="360" w:lineRule="auto"/>
      <w:ind w:left="425" w:right="233" w:firstLine="1"/>
    </w:pPr>
    <w:rPr>
      <w:noProof/>
      <w:color w:val="000000"/>
      <w:sz w:val="24"/>
      <w:szCs w:val="24"/>
    </w:rPr>
  </w:style>
  <w:style w:type="table" w:styleId="TableGrid">
    <w:name w:val="Table Grid"/>
    <w:basedOn w:val="TableNormal"/>
    <w:uiPriority w:val="39"/>
    <w:rsid w:val="008F3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aliases w:val="Before:  0.75 cm,Before:  6 pt,After:  3 pt"/>
    <w:basedOn w:val="Normal"/>
    <w:link w:val="NormalJustifiedChar"/>
    <w:rsid w:val="00E04567"/>
    <w:pPr>
      <w:spacing w:before="120" w:after="120"/>
      <w:jc w:val="both"/>
    </w:pPr>
    <w:rPr>
      <w:b/>
      <w:szCs w:val="22"/>
    </w:rPr>
  </w:style>
  <w:style w:type="paragraph" w:customStyle="1" w:styleId="NormalBold">
    <w:name w:val="Normal + Bold"/>
    <w:basedOn w:val="Heading1SoA"/>
    <w:rsid w:val="00F36C8D"/>
    <w:pPr>
      <w:spacing w:before="120" w:after="120"/>
      <w:jc w:val="both"/>
    </w:pPr>
    <w:rPr>
      <w:b/>
      <w:sz w:val="22"/>
      <w:szCs w:val="22"/>
    </w:rPr>
  </w:style>
  <w:style w:type="paragraph" w:customStyle="1" w:styleId="Default">
    <w:name w:val="Default"/>
    <w:uiPriority w:val="99"/>
    <w:rsid w:val="0011428E"/>
    <w:pPr>
      <w:autoSpaceDE w:val="0"/>
      <w:autoSpaceDN w:val="0"/>
      <w:adjustRightInd w:val="0"/>
    </w:pPr>
    <w:rPr>
      <w:rFonts w:ascii="Arial" w:hAnsi="Arial" w:cs="Arial"/>
      <w:color w:val="000000"/>
      <w:sz w:val="24"/>
      <w:szCs w:val="24"/>
    </w:rPr>
  </w:style>
  <w:style w:type="paragraph" w:customStyle="1" w:styleId="straight">
    <w:name w:val="straight"/>
    <w:basedOn w:val="Normal"/>
    <w:rsid w:val="0011428E"/>
    <w:pPr>
      <w:jc w:val="both"/>
    </w:pPr>
    <w:rPr>
      <w:sz w:val="24"/>
      <w:lang w:eastAsia="en-GB"/>
    </w:rPr>
  </w:style>
  <w:style w:type="paragraph" w:customStyle="1" w:styleId="StandardText">
    <w:name w:val="Standard Text"/>
    <w:basedOn w:val="Default"/>
    <w:next w:val="Default"/>
    <w:rsid w:val="00CB59BA"/>
    <w:rPr>
      <w:rFonts w:cs="Times New Roman"/>
      <w:color w:val="auto"/>
    </w:rPr>
  </w:style>
  <w:style w:type="character" w:customStyle="1" w:styleId="KirstyNutton">
    <w:name w:val="Kirsty Nutton"/>
    <w:semiHidden/>
    <w:rsid w:val="007E6692"/>
    <w:rPr>
      <w:rFonts w:ascii="Comic Sans MS" w:hAnsi="Comic Sans MS"/>
      <w:b w:val="0"/>
      <w:bCs w:val="0"/>
      <w:i w:val="0"/>
      <w:iCs w:val="0"/>
      <w:strike w:val="0"/>
      <w:color w:val="auto"/>
      <w:sz w:val="20"/>
      <w:szCs w:val="20"/>
      <w:u w:val="none"/>
    </w:rPr>
  </w:style>
  <w:style w:type="paragraph" w:styleId="Index1">
    <w:name w:val="index 1"/>
    <w:basedOn w:val="Normal"/>
    <w:next w:val="Normal"/>
    <w:autoRedefine/>
    <w:semiHidden/>
    <w:rsid w:val="00F2187D"/>
    <w:pPr>
      <w:ind w:left="220" w:hanging="220"/>
    </w:pPr>
  </w:style>
  <w:style w:type="character" w:customStyle="1" w:styleId="NormalJustifiedChar">
    <w:name w:val="Normal + Justified Char"/>
    <w:aliases w:val="Before:  0.75 cm Char,Before:  6 pt Char,After:  3 pt Char Char"/>
    <w:link w:val="NormalJustified"/>
    <w:rsid w:val="00784CAB"/>
    <w:rPr>
      <w:rFonts w:ascii="Arial" w:hAnsi="Arial"/>
      <w:b/>
      <w:sz w:val="22"/>
      <w:szCs w:val="22"/>
      <w:lang w:val="en-GB" w:eastAsia="en-US" w:bidi="ar-SA"/>
    </w:rPr>
  </w:style>
  <w:style w:type="paragraph" w:styleId="TOC2">
    <w:name w:val="toc 2"/>
    <w:basedOn w:val="Normal"/>
    <w:next w:val="Normal"/>
    <w:autoRedefine/>
    <w:uiPriority w:val="39"/>
    <w:semiHidden/>
    <w:qFormat/>
    <w:rsid w:val="00784CAB"/>
    <w:pPr>
      <w:ind w:left="240"/>
    </w:pPr>
    <w:rPr>
      <w:rFonts w:ascii="Times New Roman" w:hAnsi="Times New Roman"/>
      <w:sz w:val="24"/>
      <w:szCs w:val="24"/>
      <w:lang w:eastAsia="en-GB"/>
    </w:rPr>
  </w:style>
  <w:style w:type="paragraph" w:styleId="TOC3">
    <w:name w:val="toc 3"/>
    <w:basedOn w:val="Normal"/>
    <w:next w:val="Normal"/>
    <w:autoRedefine/>
    <w:uiPriority w:val="39"/>
    <w:semiHidden/>
    <w:qFormat/>
    <w:rsid w:val="00784CAB"/>
    <w:pPr>
      <w:ind w:left="480"/>
    </w:pPr>
    <w:rPr>
      <w:rFonts w:ascii="Times New Roman" w:hAnsi="Times New Roman"/>
      <w:sz w:val="24"/>
      <w:szCs w:val="24"/>
      <w:lang w:eastAsia="en-GB"/>
    </w:rPr>
  </w:style>
  <w:style w:type="paragraph" w:styleId="TOC4">
    <w:name w:val="toc 4"/>
    <w:basedOn w:val="Normal"/>
    <w:next w:val="Normal"/>
    <w:autoRedefine/>
    <w:semiHidden/>
    <w:rsid w:val="00784CAB"/>
    <w:pPr>
      <w:ind w:left="720"/>
    </w:pPr>
    <w:rPr>
      <w:rFonts w:ascii="Times New Roman" w:hAnsi="Times New Roman"/>
      <w:sz w:val="24"/>
      <w:szCs w:val="24"/>
      <w:lang w:eastAsia="en-GB"/>
    </w:rPr>
  </w:style>
  <w:style w:type="paragraph" w:styleId="TOC5">
    <w:name w:val="toc 5"/>
    <w:basedOn w:val="Normal"/>
    <w:next w:val="Normal"/>
    <w:autoRedefine/>
    <w:semiHidden/>
    <w:rsid w:val="00784CAB"/>
    <w:pPr>
      <w:ind w:left="960"/>
    </w:pPr>
    <w:rPr>
      <w:rFonts w:ascii="Times New Roman" w:hAnsi="Times New Roman"/>
      <w:sz w:val="24"/>
      <w:szCs w:val="24"/>
      <w:lang w:eastAsia="en-GB"/>
    </w:rPr>
  </w:style>
  <w:style w:type="paragraph" w:styleId="TOC6">
    <w:name w:val="toc 6"/>
    <w:basedOn w:val="Normal"/>
    <w:next w:val="Normal"/>
    <w:autoRedefine/>
    <w:semiHidden/>
    <w:rsid w:val="00784CAB"/>
    <w:pPr>
      <w:ind w:left="1200"/>
    </w:pPr>
    <w:rPr>
      <w:rFonts w:ascii="Times New Roman" w:hAnsi="Times New Roman"/>
      <w:sz w:val="24"/>
      <w:szCs w:val="24"/>
      <w:lang w:eastAsia="en-GB"/>
    </w:rPr>
  </w:style>
  <w:style w:type="paragraph" w:styleId="TOC7">
    <w:name w:val="toc 7"/>
    <w:basedOn w:val="Normal"/>
    <w:next w:val="Normal"/>
    <w:autoRedefine/>
    <w:semiHidden/>
    <w:rsid w:val="00784CAB"/>
    <w:pPr>
      <w:ind w:left="1440"/>
    </w:pPr>
    <w:rPr>
      <w:rFonts w:ascii="Times New Roman" w:hAnsi="Times New Roman"/>
      <w:sz w:val="24"/>
      <w:szCs w:val="24"/>
      <w:lang w:eastAsia="en-GB"/>
    </w:rPr>
  </w:style>
  <w:style w:type="paragraph" w:styleId="TOC8">
    <w:name w:val="toc 8"/>
    <w:basedOn w:val="Normal"/>
    <w:next w:val="Normal"/>
    <w:autoRedefine/>
    <w:semiHidden/>
    <w:rsid w:val="00784CAB"/>
    <w:pPr>
      <w:ind w:left="1680"/>
    </w:pPr>
    <w:rPr>
      <w:rFonts w:ascii="Times New Roman" w:hAnsi="Times New Roman"/>
      <w:sz w:val="24"/>
      <w:szCs w:val="24"/>
      <w:lang w:eastAsia="en-GB"/>
    </w:rPr>
  </w:style>
  <w:style w:type="paragraph" w:styleId="TOC9">
    <w:name w:val="toc 9"/>
    <w:basedOn w:val="Normal"/>
    <w:next w:val="Normal"/>
    <w:autoRedefine/>
    <w:semiHidden/>
    <w:rsid w:val="00784CAB"/>
    <w:pPr>
      <w:ind w:left="1920"/>
    </w:pPr>
    <w:rPr>
      <w:rFonts w:ascii="Times New Roman" w:hAnsi="Times New Roman"/>
      <w:sz w:val="24"/>
      <w:szCs w:val="24"/>
      <w:lang w:eastAsia="en-GB"/>
    </w:rPr>
  </w:style>
  <w:style w:type="paragraph" w:customStyle="1" w:styleId="NormalComplexArial">
    <w:name w:val="Normal + (Complex) Arial"/>
    <w:aliases w:val="(Complex) 11 pt,Justified,Before:  0.76 cm,After... ..."/>
    <w:basedOn w:val="Normal"/>
    <w:rsid w:val="00B54029"/>
    <w:pPr>
      <w:ind w:left="426"/>
      <w:jc w:val="both"/>
    </w:pPr>
    <w:rPr>
      <w:rFonts w:cs="Arial"/>
      <w:szCs w:val="22"/>
      <w:lang w:eastAsia="en-GB"/>
    </w:rPr>
  </w:style>
  <w:style w:type="paragraph" w:customStyle="1" w:styleId="NormalComplex11pt">
    <w:name w:val="Normal + (Complex) 11 pt"/>
    <w:aliases w:val="(Latin) Italic"/>
    <w:basedOn w:val="Heading2SoA"/>
    <w:rsid w:val="00B54029"/>
    <w:pPr>
      <w:numPr>
        <w:numId w:val="0"/>
      </w:numPr>
      <w:spacing w:before="0"/>
      <w:ind w:left="431" w:right="26"/>
    </w:pPr>
    <w:rPr>
      <w:b w:val="0"/>
      <w:bCs/>
    </w:rPr>
  </w:style>
  <w:style w:type="paragraph" w:styleId="FootnoteText">
    <w:name w:val="footnote text"/>
    <w:basedOn w:val="Normal"/>
    <w:link w:val="FootnoteTextChar"/>
    <w:uiPriority w:val="99"/>
    <w:semiHidden/>
    <w:rsid w:val="003A4832"/>
    <w:rPr>
      <w:sz w:val="20"/>
    </w:rPr>
  </w:style>
  <w:style w:type="character" w:styleId="FootnoteReference">
    <w:name w:val="footnote reference"/>
    <w:uiPriority w:val="99"/>
    <w:semiHidden/>
    <w:rsid w:val="003A4832"/>
    <w:rPr>
      <w:vertAlign w:val="superscript"/>
    </w:rPr>
  </w:style>
  <w:style w:type="paragraph" w:customStyle="1" w:styleId="NormalLeft076cm">
    <w:name w:val="Normal + Left:  0.76 cm"/>
    <w:aliases w:val="After:  6 pt + Not Bold,Before:  0 pt"/>
    <w:basedOn w:val="Heading2SoA"/>
    <w:rsid w:val="00905501"/>
    <w:pPr>
      <w:numPr>
        <w:numId w:val="0"/>
      </w:numPr>
      <w:spacing w:before="240"/>
      <w:ind w:left="431"/>
    </w:pPr>
  </w:style>
  <w:style w:type="paragraph" w:customStyle="1" w:styleId="inlinenormal">
    <w:name w:val="inlinenormal"/>
    <w:basedOn w:val="Normal"/>
    <w:rsid w:val="005E3FD5"/>
    <w:pPr>
      <w:autoSpaceDN w:val="0"/>
      <w:spacing w:before="120" w:after="60" w:line="264" w:lineRule="auto"/>
    </w:pPr>
    <w:rPr>
      <w:rFonts w:cs="Arial"/>
      <w:sz w:val="24"/>
      <w:szCs w:val="24"/>
      <w:lang w:eastAsia="en-GB"/>
    </w:rPr>
  </w:style>
  <w:style w:type="character" w:styleId="Strong">
    <w:name w:val="Strong"/>
    <w:uiPriority w:val="22"/>
    <w:qFormat/>
    <w:rsid w:val="005E3FD5"/>
    <w:rPr>
      <w:rFonts w:cs="Times New Roman"/>
      <w:b/>
      <w:bCs/>
    </w:rPr>
  </w:style>
  <w:style w:type="character" w:styleId="Emphasis">
    <w:name w:val="Emphasis"/>
    <w:uiPriority w:val="20"/>
    <w:qFormat/>
    <w:rsid w:val="005E3FD5"/>
    <w:rPr>
      <w:rFonts w:cs="Times New Roman"/>
      <w:i/>
      <w:iCs/>
    </w:rPr>
  </w:style>
  <w:style w:type="character" w:customStyle="1" w:styleId="apple-style-span">
    <w:name w:val="apple-style-span"/>
    <w:basedOn w:val="DefaultParagraphFont"/>
    <w:rsid w:val="00BF7259"/>
  </w:style>
  <w:style w:type="paragraph" w:styleId="ListParagraph">
    <w:name w:val="List Paragraph"/>
    <w:basedOn w:val="Normal"/>
    <w:link w:val="ListParagraphChar"/>
    <w:uiPriority w:val="34"/>
    <w:qFormat/>
    <w:rsid w:val="00681049"/>
    <w:pPr>
      <w:ind w:left="720"/>
      <w:contextualSpacing/>
    </w:pPr>
    <w:rPr>
      <w:szCs w:val="24"/>
      <w:lang w:eastAsia="en-GB"/>
    </w:rPr>
  </w:style>
  <w:style w:type="character" w:styleId="CommentReference">
    <w:name w:val="annotation reference"/>
    <w:uiPriority w:val="99"/>
    <w:rsid w:val="002E416C"/>
    <w:rPr>
      <w:sz w:val="16"/>
      <w:szCs w:val="16"/>
    </w:rPr>
  </w:style>
  <w:style w:type="paragraph" w:styleId="CommentText">
    <w:name w:val="annotation text"/>
    <w:basedOn w:val="Normal"/>
    <w:link w:val="CommentTextChar"/>
    <w:uiPriority w:val="99"/>
    <w:rsid w:val="002E416C"/>
    <w:rPr>
      <w:sz w:val="20"/>
    </w:rPr>
  </w:style>
  <w:style w:type="character" w:customStyle="1" w:styleId="CommentTextChar">
    <w:name w:val="Comment Text Char"/>
    <w:link w:val="CommentText"/>
    <w:uiPriority w:val="99"/>
    <w:rsid w:val="002E416C"/>
    <w:rPr>
      <w:rFonts w:ascii="Arial" w:hAnsi="Arial"/>
      <w:lang w:eastAsia="en-US"/>
    </w:rPr>
  </w:style>
  <w:style w:type="paragraph" w:styleId="CommentSubject">
    <w:name w:val="annotation subject"/>
    <w:basedOn w:val="CommentText"/>
    <w:next w:val="CommentText"/>
    <w:link w:val="CommentSubjectChar"/>
    <w:rsid w:val="002E416C"/>
    <w:rPr>
      <w:b/>
      <w:bCs/>
    </w:rPr>
  </w:style>
  <w:style w:type="character" w:customStyle="1" w:styleId="CommentSubjectChar">
    <w:name w:val="Comment Subject Char"/>
    <w:link w:val="CommentSubject"/>
    <w:rsid w:val="002E416C"/>
    <w:rPr>
      <w:rFonts w:ascii="Arial" w:hAnsi="Arial"/>
      <w:b/>
      <w:bCs/>
      <w:lang w:eastAsia="en-US"/>
    </w:rPr>
  </w:style>
  <w:style w:type="paragraph" w:styleId="TableofFigures">
    <w:name w:val="table of figures"/>
    <w:basedOn w:val="Normal"/>
    <w:next w:val="Normal"/>
    <w:rsid w:val="00D1243D"/>
  </w:style>
  <w:style w:type="character" w:customStyle="1" w:styleId="HeaderChar">
    <w:name w:val="Header Char"/>
    <w:basedOn w:val="DefaultParagraphFont"/>
    <w:link w:val="Header"/>
    <w:uiPriority w:val="99"/>
    <w:rsid w:val="00C3703B"/>
    <w:rPr>
      <w:rFonts w:ascii="Arial" w:hAnsi="Arial"/>
      <w:sz w:val="22"/>
      <w:lang w:eastAsia="en-US"/>
    </w:rPr>
  </w:style>
  <w:style w:type="character" w:customStyle="1" w:styleId="FooterChar">
    <w:name w:val="Footer Char"/>
    <w:basedOn w:val="DefaultParagraphFont"/>
    <w:link w:val="Footer"/>
    <w:uiPriority w:val="99"/>
    <w:rsid w:val="00C3703B"/>
    <w:rPr>
      <w:rFonts w:ascii="Arial" w:hAnsi="Arial"/>
      <w:sz w:val="22"/>
      <w:lang w:eastAsia="en-US"/>
    </w:rPr>
  </w:style>
  <w:style w:type="paragraph" w:customStyle="1" w:styleId="MainSoAHeading">
    <w:name w:val="Main SoA Heading"/>
    <w:basedOn w:val="Normal"/>
    <w:link w:val="MainSoAHeadingChar"/>
    <w:qFormat/>
    <w:rsid w:val="005F7042"/>
    <w:pPr>
      <w:tabs>
        <w:tab w:val="left" w:pos="8505"/>
      </w:tabs>
      <w:spacing w:after="120"/>
      <w:outlineLvl w:val="0"/>
    </w:pPr>
    <w:rPr>
      <w:b/>
      <w:sz w:val="36"/>
      <w:szCs w:val="36"/>
    </w:rPr>
  </w:style>
  <w:style w:type="paragraph" w:styleId="TOCHeading">
    <w:name w:val="TOC Heading"/>
    <w:basedOn w:val="Heading1"/>
    <w:next w:val="Normal"/>
    <w:uiPriority w:val="39"/>
    <w:semiHidden/>
    <w:unhideWhenUsed/>
    <w:qFormat/>
    <w:rsid w:val="00BF4EB2"/>
    <w:pPr>
      <w:keepLines/>
      <w:tabs>
        <w:tab w:val="clear" w:pos="2410"/>
        <w:tab w:val="clear" w:pos="6521"/>
      </w:tabs>
      <w:spacing w:before="480" w:after="0" w:line="276" w:lineRule="auto"/>
      <w:jc w:val="left"/>
      <w:outlineLvl w:val="9"/>
    </w:pPr>
    <w:rPr>
      <w:rFonts w:asciiTheme="majorHAnsi" w:eastAsiaTheme="majorEastAsia" w:hAnsiTheme="majorHAnsi" w:cstheme="majorBidi"/>
      <w:bCs/>
      <w:color w:val="2E74B5" w:themeColor="accent1" w:themeShade="BF"/>
      <w:sz w:val="28"/>
      <w:szCs w:val="28"/>
      <w:lang w:val="en-US" w:eastAsia="ja-JP"/>
    </w:rPr>
  </w:style>
  <w:style w:type="character" w:customStyle="1" w:styleId="MainSoAHeadingChar">
    <w:name w:val="Main SoA Heading Char"/>
    <w:basedOn w:val="DefaultParagraphFont"/>
    <w:link w:val="MainSoAHeading"/>
    <w:rsid w:val="005F7042"/>
    <w:rPr>
      <w:rFonts w:ascii="Arial" w:hAnsi="Arial"/>
      <w:b/>
      <w:sz w:val="36"/>
      <w:szCs w:val="36"/>
      <w:lang w:eastAsia="en-US"/>
    </w:rPr>
  </w:style>
  <w:style w:type="paragraph" w:styleId="Title">
    <w:name w:val="Title"/>
    <w:basedOn w:val="Normal"/>
    <w:link w:val="TitleChar"/>
    <w:uiPriority w:val="99"/>
    <w:qFormat/>
    <w:rsid w:val="00A80E72"/>
    <w:pPr>
      <w:jc w:val="center"/>
    </w:pPr>
    <w:rPr>
      <w:rFonts w:ascii="Palatino Linotype" w:hAnsi="Palatino Linotype"/>
      <w:b/>
      <w:bCs/>
      <w:sz w:val="16"/>
      <w:szCs w:val="16"/>
      <w:u w:val="single"/>
      <w:lang w:eastAsia="en-GB"/>
    </w:rPr>
  </w:style>
  <w:style w:type="character" w:customStyle="1" w:styleId="TitleChar">
    <w:name w:val="Title Char"/>
    <w:basedOn w:val="DefaultParagraphFont"/>
    <w:link w:val="Title"/>
    <w:uiPriority w:val="99"/>
    <w:rsid w:val="00A80E72"/>
    <w:rPr>
      <w:rFonts w:ascii="Palatino Linotype" w:hAnsi="Palatino Linotype"/>
      <w:b/>
      <w:bCs/>
      <w:sz w:val="16"/>
      <w:szCs w:val="16"/>
      <w:u w:val="single"/>
    </w:rPr>
  </w:style>
  <w:style w:type="paragraph" w:styleId="EndnoteText">
    <w:name w:val="endnote text"/>
    <w:basedOn w:val="Normal"/>
    <w:link w:val="EndnoteTextChar"/>
    <w:rsid w:val="00481AA5"/>
    <w:rPr>
      <w:sz w:val="20"/>
    </w:rPr>
  </w:style>
  <w:style w:type="character" w:customStyle="1" w:styleId="EndnoteTextChar">
    <w:name w:val="Endnote Text Char"/>
    <w:basedOn w:val="DefaultParagraphFont"/>
    <w:link w:val="EndnoteText"/>
    <w:rsid w:val="00481AA5"/>
    <w:rPr>
      <w:rFonts w:ascii="Arial" w:hAnsi="Arial"/>
      <w:lang w:eastAsia="en-US"/>
    </w:rPr>
  </w:style>
  <w:style w:type="character" w:styleId="EndnoteReference">
    <w:name w:val="endnote reference"/>
    <w:basedOn w:val="DefaultParagraphFont"/>
    <w:rsid w:val="00481AA5"/>
    <w:rPr>
      <w:vertAlign w:val="superscript"/>
    </w:rPr>
  </w:style>
  <w:style w:type="paragraph" w:customStyle="1" w:styleId="EFHeading">
    <w:name w:val="EF Heading"/>
    <w:basedOn w:val="ListParagraph"/>
    <w:link w:val="EFHeadingChar"/>
    <w:qFormat/>
    <w:rsid w:val="002F76FD"/>
    <w:pPr>
      <w:numPr>
        <w:numId w:val="16"/>
      </w:numPr>
      <w:spacing w:after="200"/>
      <w:ind w:left="0" w:firstLine="0"/>
      <w:contextualSpacing w:val="0"/>
      <w:jc w:val="both"/>
    </w:pPr>
    <w:rPr>
      <w:rFonts w:eastAsiaTheme="minorHAnsi" w:cs="Arial"/>
      <w:b/>
      <w:sz w:val="24"/>
      <w:lang w:eastAsia="en-US"/>
    </w:rPr>
  </w:style>
  <w:style w:type="character" w:customStyle="1" w:styleId="EFHeadingChar">
    <w:name w:val="EF Heading Char"/>
    <w:basedOn w:val="DefaultParagraphFont"/>
    <w:link w:val="EFHeading"/>
    <w:rsid w:val="002F76FD"/>
    <w:rPr>
      <w:rFonts w:ascii="Arial" w:eastAsiaTheme="minorHAnsi" w:hAnsi="Arial" w:cs="Arial"/>
      <w:b/>
      <w:sz w:val="24"/>
      <w:szCs w:val="24"/>
      <w:lang w:eastAsia="en-US"/>
    </w:rPr>
  </w:style>
  <w:style w:type="character" w:customStyle="1" w:styleId="ListParagraphChar">
    <w:name w:val="List Paragraph Char"/>
    <w:basedOn w:val="DefaultParagraphFont"/>
    <w:link w:val="ListParagraph"/>
    <w:rsid w:val="002F76FD"/>
    <w:rPr>
      <w:rFonts w:ascii="Arial" w:hAnsi="Arial"/>
      <w:sz w:val="22"/>
      <w:szCs w:val="24"/>
    </w:rPr>
  </w:style>
  <w:style w:type="table" w:customStyle="1" w:styleId="TableGrid1">
    <w:name w:val="Table Grid1"/>
    <w:basedOn w:val="TableNormal"/>
    <w:next w:val="TableGrid"/>
    <w:uiPriority w:val="59"/>
    <w:rsid w:val="0035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C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542D"/>
    <w:rPr>
      <w:rFonts w:ascii="Arial" w:hAnsi="Arial"/>
      <w:sz w:val="22"/>
      <w:lang w:eastAsia="en-US"/>
    </w:rPr>
  </w:style>
  <w:style w:type="character" w:customStyle="1" w:styleId="apple-converted-space">
    <w:name w:val="apple-converted-space"/>
    <w:basedOn w:val="DefaultParagraphFont"/>
    <w:rsid w:val="001F2D6B"/>
  </w:style>
  <w:style w:type="paragraph" w:customStyle="1" w:styleId="BulletPoint">
    <w:name w:val="Bullet Point"/>
    <w:rsid w:val="001F2D6B"/>
    <w:pPr>
      <w:numPr>
        <w:numId w:val="19"/>
      </w:numPr>
      <w:spacing w:before="200" w:after="240"/>
    </w:pPr>
    <w:rPr>
      <w:rFonts w:ascii="Arial" w:hAnsi="Arial"/>
      <w:sz w:val="24"/>
    </w:rPr>
  </w:style>
  <w:style w:type="paragraph" w:customStyle="1" w:styleId="NumberList1">
    <w:name w:val="Number List 1"/>
    <w:basedOn w:val="BulletPoint"/>
    <w:rsid w:val="001F2D6B"/>
    <w:pPr>
      <w:numPr>
        <w:ilvl w:val="1"/>
      </w:numPr>
      <w:spacing w:before="0"/>
    </w:pPr>
  </w:style>
  <w:style w:type="paragraph" w:customStyle="1" w:styleId="NumberList2">
    <w:name w:val="Number List 2"/>
    <w:basedOn w:val="NumberList1"/>
    <w:rsid w:val="001F2D6B"/>
    <w:pPr>
      <w:numPr>
        <w:ilvl w:val="2"/>
      </w:numPr>
    </w:pPr>
  </w:style>
  <w:style w:type="paragraph" w:customStyle="1" w:styleId="BulletLevel2">
    <w:name w:val="Bullet Level 2"/>
    <w:uiPriority w:val="99"/>
    <w:semiHidden/>
    <w:rsid w:val="00D851EB"/>
    <w:pPr>
      <w:numPr>
        <w:ilvl w:val="1"/>
        <w:numId w:val="22"/>
      </w:numPr>
      <w:spacing w:before="60" w:after="60"/>
    </w:pPr>
    <w:rPr>
      <w:rFonts w:ascii="Arial" w:hAnsi="Arial"/>
    </w:rPr>
  </w:style>
  <w:style w:type="paragraph" w:customStyle="1" w:styleId="BulletLevel3">
    <w:name w:val="Bullet Level 3"/>
    <w:uiPriority w:val="99"/>
    <w:semiHidden/>
    <w:rsid w:val="00D851EB"/>
    <w:pPr>
      <w:numPr>
        <w:ilvl w:val="2"/>
        <w:numId w:val="22"/>
      </w:numPr>
      <w:spacing w:before="60" w:after="60"/>
    </w:pPr>
    <w:rPr>
      <w:rFonts w:ascii="Arial" w:hAnsi="Arial"/>
    </w:rPr>
  </w:style>
  <w:style w:type="paragraph" w:customStyle="1" w:styleId="AppendixHeading-Level1">
    <w:name w:val="Appendix Heading - Level 1"/>
    <w:next w:val="BodyText"/>
    <w:locked/>
    <w:rsid w:val="008E3DC0"/>
    <w:pPr>
      <w:pageBreakBefore/>
      <w:numPr>
        <w:numId w:val="23"/>
      </w:numPr>
      <w:suppressAutoHyphens/>
      <w:spacing w:after="240"/>
    </w:pPr>
    <w:rPr>
      <w:rFonts w:ascii="Arial" w:hAnsi="Arial"/>
      <w:b/>
      <w:sz w:val="24"/>
      <w:lang w:eastAsia="en-US"/>
    </w:rPr>
  </w:style>
  <w:style w:type="character" w:customStyle="1" w:styleId="pretext">
    <w:name w:val="pretext"/>
    <w:basedOn w:val="DefaultParagraphFont"/>
    <w:rsid w:val="00837BDA"/>
  </w:style>
  <w:style w:type="character" w:customStyle="1" w:styleId="output">
    <w:name w:val="output"/>
    <w:basedOn w:val="DefaultParagraphFont"/>
    <w:rsid w:val="00837BDA"/>
  </w:style>
  <w:style w:type="character" w:customStyle="1" w:styleId="boxhighlightnotbold">
    <w:name w:val="boxhighlight_notbold"/>
    <w:basedOn w:val="DefaultParagraphFont"/>
    <w:rsid w:val="003B6E4C"/>
  </w:style>
  <w:style w:type="character" w:styleId="PlaceholderText">
    <w:name w:val="Placeholder Text"/>
    <w:basedOn w:val="DefaultParagraphFont"/>
    <w:uiPriority w:val="99"/>
    <w:semiHidden/>
    <w:rsid w:val="003154CB"/>
    <w:rPr>
      <w:color w:val="808080"/>
    </w:rPr>
  </w:style>
  <w:style w:type="character" w:customStyle="1" w:styleId="FootnoteTextChar">
    <w:name w:val="Footnote Text Char"/>
    <w:basedOn w:val="DefaultParagraphFont"/>
    <w:link w:val="FootnoteText"/>
    <w:uiPriority w:val="99"/>
    <w:semiHidden/>
    <w:rsid w:val="00296642"/>
    <w:rPr>
      <w:rFonts w:ascii="Arial" w:hAnsi="Arial"/>
      <w:lang w:eastAsia="en-US"/>
    </w:rPr>
  </w:style>
  <w:style w:type="paragraph" w:customStyle="1" w:styleId="MainHeading">
    <w:name w:val="Main Heading"/>
    <w:basedOn w:val="ListParagraph"/>
    <w:qFormat/>
    <w:rsid w:val="00017C0E"/>
    <w:pPr>
      <w:numPr>
        <w:numId w:val="29"/>
      </w:numPr>
      <w:tabs>
        <w:tab w:val="left" w:pos="709"/>
      </w:tabs>
      <w:jc w:val="both"/>
    </w:pPr>
    <w:rPr>
      <w:b/>
      <w:sz w:val="32"/>
      <w:szCs w:val="32"/>
    </w:rPr>
  </w:style>
  <w:style w:type="paragraph" w:customStyle="1" w:styleId="SDRSub1">
    <w:name w:val="SDR Sub 1"/>
    <w:basedOn w:val="MainHeading"/>
    <w:link w:val="SDRSub1Char"/>
    <w:qFormat/>
    <w:rsid w:val="00017C0E"/>
    <w:pPr>
      <w:numPr>
        <w:ilvl w:val="1"/>
      </w:numPr>
      <w:tabs>
        <w:tab w:val="clear" w:pos="709"/>
        <w:tab w:val="left" w:pos="567"/>
      </w:tabs>
      <w:spacing w:before="240" w:after="240"/>
    </w:pPr>
    <w:rPr>
      <w:sz w:val="24"/>
      <w:szCs w:val="24"/>
    </w:rPr>
  </w:style>
  <w:style w:type="paragraph" w:customStyle="1" w:styleId="SDRText1">
    <w:name w:val="SDR Text 1"/>
    <w:basedOn w:val="MainHeading"/>
    <w:qFormat/>
    <w:rsid w:val="00017C0E"/>
    <w:pPr>
      <w:numPr>
        <w:ilvl w:val="2"/>
      </w:numPr>
      <w:tabs>
        <w:tab w:val="clear" w:pos="709"/>
        <w:tab w:val="left" w:pos="567"/>
      </w:tabs>
      <w:spacing w:before="240" w:after="240"/>
      <w:contextualSpacing w:val="0"/>
    </w:pPr>
    <w:rPr>
      <w:b w:val="0"/>
      <w:sz w:val="24"/>
      <w:szCs w:val="24"/>
    </w:rPr>
  </w:style>
  <w:style w:type="character" w:customStyle="1" w:styleId="SDRSub1Char">
    <w:name w:val="SDR Sub 1 Char"/>
    <w:basedOn w:val="DefaultParagraphFont"/>
    <w:link w:val="SDRSub1"/>
    <w:rsid w:val="00017C0E"/>
    <w:rPr>
      <w:rFonts w:ascii="Arial" w:hAnsi="Arial"/>
      <w:b/>
      <w:sz w:val="24"/>
      <w:szCs w:val="24"/>
    </w:rPr>
  </w:style>
  <w:style w:type="paragraph" w:customStyle="1" w:styleId="SDRText2">
    <w:name w:val="SDR Text 2"/>
    <w:basedOn w:val="ListParagraph"/>
    <w:qFormat/>
    <w:rsid w:val="00017C0E"/>
    <w:pPr>
      <w:numPr>
        <w:ilvl w:val="3"/>
        <w:numId w:val="29"/>
      </w:numPr>
      <w:tabs>
        <w:tab w:val="left" w:pos="1134"/>
      </w:tabs>
      <w:spacing w:before="240" w:after="240"/>
      <w:contextualSpacing w:val="0"/>
      <w:jc w:val="both"/>
    </w:pPr>
    <w:rPr>
      <w:rFonts w:cs="Arial"/>
      <w:color w:val="000000"/>
      <w:sz w:val="24"/>
    </w:rPr>
  </w:style>
  <w:style w:type="character" w:customStyle="1" w:styleId="mon-misspelling-potential">
    <w:name w:val="mon-misspelling-potential"/>
    <w:basedOn w:val="DefaultParagraphFont"/>
    <w:rsid w:val="008650EA"/>
  </w:style>
  <w:style w:type="character" w:customStyle="1" w:styleId="hgkelc">
    <w:name w:val="hgkelc"/>
    <w:basedOn w:val="DefaultParagraphFont"/>
    <w:rsid w:val="00557F3D"/>
  </w:style>
  <w:style w:type="paragraph" w:styleId="ListNumber">
    <w:name w:val="List Number"/>
    <w:basedOn w:val="Normal"/>
    <w:uiPriority w:val="2"/>
    <w:qFormat/>
    <w:rsid w:val="00022CBC"/>
    <w:pPr>
      <w:numPr>
        <w:numId w:val="38"/>
      </w:numPr>
      <w:tabs>
        <w:tab w:val="clear" w:pos="284"/>
        <w:tab w:val="num" w:pos="720"/>
      </w:tabs>
      <w:spacing w:after="120" w:line="240" w:lineRule="atLeast"/>
      <w:ind w:left="720" w:hanging="360"/>
    </w:pPr>
    <w:rPr>
      <w:sz w:val="18"/>
      <w:szCs w:val="18"/>
    </w:rPr>
  </w:style>
  <w:style w:type="paragraph" w:styleId="ListNumber2">
    <w:name w:val="List Number 2"/>
    <w:basedOn w:val="Normal"/>
    <w:uiPriority w:val="2"/>
    <w:qFormat/>
    <w:rsid w:val="00022CBC"/>
    <w:pPr>
      <w:numPr>
        <w:ilvl w:val="1"/>
        <w:numId w:val="38"/>
      </w:numPr>
      <w:tabs>
        <w:tab w:val="clear" w:pos="567"/>
        <w:tab w:val="num" w:pos="1440"/>
      </w:tabs>
      <w:spacing w:after="120" w:line="240" w:lineRule="atLeast"/>
      <w:ind w:left="1440" w:hanging="360"/>
    </w:pPr>
    <w:rPr>
      <w:sz w:val="18"/>
      <w:szCs w:val="18"/>
    </w:rPr>
  </w:style>
  <w:style w:type="paragraph" w:styleId="ListNumber3">
    <w:name w:val="List Number 3"/>
    <w:basedOn w:val="Normal"/>
    <w:uiPriority w:val="2"/>
    <w:qFormat/>
    <w:rsid w:val="00022CBC"/>
    <w:pPr>
      <w:numPr>
        <w:ilvl w:val="2"/>
        <w:numId w:val="38"/>
      </w:numPr>
      <w:tabs>
        <w:tab w:val="clear" w:pos="851"/>
        <w:tab w:val="num" w:pos="2160"/>
      </w:tabs>
      <w:spacing w:after="120" w:line="240" w:lineRule="atLeast"/>
      <w:ind w:left="2160" w:hanging="360"/>
    </w:pPr>
    <w:rPr>
      <w:sz w:val="18"/>
      <w:szCs w:val="18"/>
    </w:rPr>
  </w:style>
  <w:style w:type="numbering" w:customStyle="1" w:styleId="GTListNumber">
    <w:name w:val="GT List Number"/>
    <w:uiPriority w:val="99"/>
    <w:rsid w:val="00022CB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110">
      <w:bodyDiv w:val="1"/>
      <w:marLeft w:val="0"/>
      <w:marRight w:val="0"/>
      <w:marTop w:val="0"/>
      <w:marBottom w:val="0"/>
      <w:divBdr>
        <w:top w:val="none" w:sz="0" w:space="0" w:color="auto"/>
        <w:left w:val="none" w:sz="0" w:space="0" w:color="auto"/>
        <w:bottom w:val="none" w:sz="0" w:space="0" w:color="auto"/>
        <w:right w:val="none" w:sz="0" w:space="0" w:color="auto"/>
      </w:divBdr>
    </w:div>
    <w:div w:id="12265405">
      <w:bodyDiv w:val="1"/>
      <w:marLeft w:val="0"/>
      <w:marRight w:val="0"/>
      <w:marTop w:val="0"/>
      <w:marBottom w:val="0"/>
      <w:divBdr>
        <w:top w:val="none" w:sz="0" w:space="0" w:color="auto"/>
        <w:left w:val="none" w:sz="0" w:space="0" w:color="auto"/>
        <w:bottom w:val="none" w:sz="0" w:space="0" w:color="auto"/>
        <w:right w:val="none" w:sz="0" w:space="0" w:color="auto"/>
      </w:divBdr>
    </w:div>
    <w:div w:id="19405824">
      <w:bodyDiv w:val="1"/>
      <w:marLeft w:val="0"/>
      <w:marRight w:val="0"/>
      <w:marTop w:val="0"/>
      <w:marBottom w:val="0"/>
      <w:divBdr>
        <w:top w:val="none" w:sz="0" w:space="0" w:color="auto"/>
        <w:left w:val="none" w:sz="0" w:space="0" w:color="auto"/>
        <w:bottom w:val="none" w:sz="0" w:space="0" w:color="auto"/>
        <w:right w:val="none" w:sz="0" w:space="0" w:color="auto"/>
      </w:divBdr>
    </w:div>
    <w:div w:id="21367819">
      <w:bodyDiv w:val="1"/>
      <w:marLeft w:val="0"/>
      <w:marRight w:val="0"/>
      <w:marTop w:val="0"/>
      <w:marBottom w:val="0"/>
      <w:divBdr>
        <w:top w:val="none" w:sz="0" w:space="0" w:color="auto"/>
        <w:left w:val="none" w:sz="0" w:space="0" w:color="auto"/>
        <w:bottom w:val="none" w:sz="0" w:space="0" w:color="auto"/>
        <w:right w:val="none" w:sz="0" w:space="0" w:color="auto"/>
      </w:divBdr>
    </w:div>
    <w:div w:id="21632803">
      <w:bodyDiv w:val="1"/>
      <w:marLeft w:val="0"/>
      <w:marRight w:val="0"/>
      <w:marTop w:val="0"/>
      <w:marBottom w:val="0"/>
      <w:divBdr>
        <w:top w:val="none" w:sz="0" w:space="0" w:color="auto"/>
        <w:left w:val="none" w:sz="0" w:space="0" w:color="auto"/>
        <w:bottom w:val="none" w:sz="0" w:space="0" w:color="auto"/>
        <w:right w:val="none" w:sz="0" w:space="0" w:color="auto"/>
      </w:divBdr>
    </w:div>
    <w:div w:id="27731340">
      <w:bodyDiv w:val="1"/>
      <w:marLeft w:val="0"/>
      <w:marRight w:val="0"/>
      <w:marTop w:val="0"/>
      <w:marBottom w:val="0"/>
      <w:divBdr>
        <w:top w:val="none" w:sz="0" w:space="0" w:color="auto"/>
        <w:left w:val="none" w:sz="0" w:space="0" w:color="auto"/>
        <w:bottom w:val="none" w:sz="0" w:space="0" w:color="auto"/>
        <w:right w:val="none" w:sz="0" w:space="0" w:color="auto"/>
      </w:divBdr>
    </w:div>
    <w:div w:id="40250236">
      <w:bodyDiv w:val="1"/>
      <w:marLeft w:val="0"/>
      <w:marRight w:val="0"/>
      <w:marTop w:val="0"/>
      <w:marBottom w:val="0"/>
      <w:divBdr>
        <w:top w:val="none" w:sz="0" w:space="0" w:color="auto"/>
        <w:left w:val="none" w:sz="0" w:space="0" w:color="auto"/>
        <w:bottom w:val="none" w:sz="0" w:space="0" w:color="auto"/>
        <w:right w:val="none" w:sz="0" w:space="0" w:color="auto"/>
      </w:divBdr>
    </w:div>
    <w:div w:id="42874896">
      <w:bodyDiv w:val="1"/>
      <w:marLeft w:val="0"/>
      <w:marRight w:val="0"/>
      <w:marTop w:val="0"/>
      <w:marBottom w:val="0"/>
      <w:divBdr>
        <w:top w:val="none" w:sz="0" w:space="0" w:color="auto"/>
        <w:left w:val="none" w:sz="0" w:space="0" w:color="auto"/>
        <w:bottom w:val="none" w:sz="0" w:space="0" w:color="auto"/>
        <w:right w:val="none" w:sz="0" w:space="0" w:color="auto"/>
      </w:divBdr>
    </w:div>
    <w:div w:id="59404353">
      <w:bodyDiv w:val="1"/>
      <w:marLeft w:val="0"/>
      <w:marRight w:val="0"/>
      <w:marTop w:val="0"/>
      <w:marBottom w:val="0"/>
      <w:divBdr>
        <w:top w:val="none" w:sz="0" w:space="0" w:color="auto"/>
        <w:left w:val="none" w:sz="0" w:space="0" w:color="auto"/>
        <w:bottom w:val="none" w:sz="0" w:space="0" w:color="auto"/>
        <w:right w:val="none" w:sz="0" w:space="0" w:color="auto"/>
      </w:divBdr>
    </w:div>
    <w:div w:id="59528011">
      <w:bodyDiv w:val="1"/>
      <w:marLeft w:val="0"/>
      <w:marRight w:val="0"/>
      <w:marTop w:val="0"/>
      <w:marBottom w:val="0"/>
      <w:divBdr>
        <w:top w:val="none" w:sz="0" w:space="0" w:color="auto"/>
        <w:left w:val="none" w:sz="0" w:space="0" w:color="auto"/>
        <w:bottom w:val="none" w:sz="0" w:space="0" w:color="auto"/>
        <w:right w:val="none" w:sz="0" w:space="0" w:color="auto"/>
      </w:divBdr>
    </w:div>
    <w:div w:id="60445803">
      <w:bodyDiv w:val="1"/>
      <w:marLeft w:val="0"/>
      <w:marRight w:val="0"/>
      <w:marTop w:val="0"/>
      <w:marBottom w:val="0"/>
      <w:divBdr>
        <w:top w:val="none" w:sz="0" w:space="0" w:color="auto"/>
        <w:left w:val="none" w:sz="0" w:space="0" w:color="auto"/>
        <w:bottom w:val="none" w:sz="0" w:space="0" w:color="auto"/>
        <w:right w:val="none" w:sz="0" w:space="0" w:color="auto"/>
      </w:divBdr>
    </w:div>
    <w:div w:id="63185642">
      <w:bodyDiv w:val="1"/>
      <w:marLeft w:val="0"/>
      <w:marRight w:val="0"/>
      <w:marTop w:val="0"/>
      <w:marBottom w:val="0"/>
      <w:divBdr>
        <w:top w:val="none" w:sz="0" w:space="0" w:color="auto"/>
        <w:left w:val="none" w:sz="0" w:space="0" w:color="auto"/>
        <w:bottom w:val="none" w:sz="0" w:space="0" w:color="auto"/>
        <w:right w:val="none" w:sz="0" w:space="0" w:color="auto"/>
      </w:divBdr>
    </w:div>
    <w:div w:id="64840280">
      <w:bodyDiv w:val="1"/>
      <w:marLeft w:val="0"/>
      <w:marRight w:val="0"/>
      <w:marTop w:val="0"/>
      <w:marBottom w:val="0"/>
      <w:divBdr>
        <w:top w:val="none" w:sz="0" w:space="0" w:color="auto"/>
        <w:left w:val="none" w:sz="0" w:space="0" w:color="auto"/>
        <w:bottom w:val="none" w:sz="0" w:space="0" w:color="auto"/>
        <w:right w:val="none" w:sz="0" w:space="0" w:color="auto"/>
      </w:divBdr>
    </w:div>
    <w:div w:id="90661612">
      <w:bodyDiv w:val="1"/>
      <w:marLeft w:val="0"/>
      <w:marRight w:val="0"/>
      <w:marTop w:val="0"/>
      <w:marBottom w:val="0"/>
      <w:divBdr>
        <w:top w:val="none" w:sz="0" w:space="0" w:color="auto"/>
        <w:left w:val="none" w:sz="0" w:space="0" w:color="auto"/>
        <w:bottom w:val="none" w:sz="0" w:space="0" w:color="auto"/>
        <w:right w:val="none" w:sz="0" w:space="0" w:color="auto"/>
      </w:divBdr>
    </w:div>
    <w:div w:id="107968814">
      <w:bodyDiv w:val="1"/>
      <w:marLeft w:val="0"/>
      <w:marRight w:val="0"/>
      <w:marTop w:val="0"/>
      <w:marBottom w:val="0"/>
      <w:divBdr>
        <w:top w:val="none" w:sz="0" w:space="0" w:color="auto"/>
        <w:left w:val="none" w:sz="0" w:space="0" w:color="auto"/>
        <w:bottom w:val="none" w:sz="0" w:space="0" w:color="auto"/>
        <w:right w:val="none" w:sz="0" w:space="0" w:color="auto"/>
      </w:divBdr>
      <w:divsChild>
        <w:div w:id="504520363">
          <w:marLeft w:val="0"/>
          <w:marRight w:val="0"/>
          <w:marTop w:val="0"/>
          <w:marBottom w:val="0"/>
          <w:divBdr>
            <w:top w:val="none" w:sz="0" w:space="0" w:color="auto"/>
            <w:left w:val="none" w:sz="0" w:space="0" w:color="auto"/>
            <w:bottom w:val="none" w:sz="0" w:space="0" w:color="auto"/>
            <w:right w:val="none" w:sz="0" w:space="0" w:color="auto"/>
          </w:divBdr>
        </w:div>
        <w:div w:id="1637252672">
          <w:marLeft w:val="0"/>
          <w:marRight w:val="0"/>
          <w:marTop w:val="0"/>
          <w:marBottom w:val="0"/>
          <w:divBdr>
            <w:top w:val="none" w:sz="0" w:space="0" w:color="auto"/>
            <w:left w:val="none" w:sz="0" w:space="0" w:color="auto"/>
            <w:bottom w:val="none" w:sz="0" w:space="0" w:color="auto"/>
            <w:right w:val="none" w:sz="0" w:space="0" w:color="auto"/>
          </w:divBdr>
          <w:divsChild>
            <w:div w:id="1979454798">
              <w:marLeft w:val="0"/>
              <w:marRight w:val="0"/>
              <w:marTop w:val="0"/>
              <w:marBottom w:val="0"/>
              <w:divBdr>
                <w:top w:val="none" w:sz="0" w:space="0" w:color="auto"/>
                <w:left w:val="none" w:sz="0" w:space="0" w:color="auto"/>
                <w:bottom w:val="none" w:sz="0" w:space="0" w:color="auto"/>
                <w:right w:val="none" w:sz="0" w:space="0" w:color="auto"/>
              </w:divBdr>
            </w:div>
          </w:divsChild>
        </w:div>
        <w:div w:id="1966499074">
          <w:marLeft w:val="0"/>
          <w:marRight w:val="0"/>
          <w:marTop w:val="100"/>
          <w:marBottom w:val="150"/>
          <w:divBdr>
            <w:top w:val="none" w:sz="0" w:space="0" w:color="auto"/>
            <w:left w:val="none" w:sz="0" w:space="0" w:color="auto"/>
            <w:bottom w:val="none" w:sz="0" w:space="0" w:color="auto"/>
            <w:right w:val="none" w:sz="0" w:space="0" w:color="auto"/>
          </w:divBdr>
          <w:divsChild>
            <w:div w:id="46807861">
              <w:marLeft w:val="0"/>
              <w:marRight w:val="0"/>
              <w:marTop w:val="0"/>
              <w:marBottom w:val="0"/>
              <w:divBdr>
                <w:top w:val="none" w:sz="0" w:space="0" w:color="auto"/>
                <w:left w:val="none" w:sz="0" w:space="0" w:color="auto"/>
                <w:bottom w:val="none" w:sz="0" w:space="0" w:color="auto"/>
                <w:right w:val="none" w:sz="0" w:space="0" w:color="auto"/>
              </w:divBdr>
            </w:div>
          </w:divsChild>
        </w:div>
        <w:div w:id="519011974">
          <w:marLeft w:val="0"/>
          <w:marRight w:val="0"/>
          <w:marTop w:val="0"/>
          <w:marBottom w:val="0"/>
          <w:divBdr>
            <w:top w:val="none" w:sz="0" w:space="0" w:color="auto"/>
            <w:left w:val="none" w:sz="0" w:space="0" w:color="auto"/>
            <w:bottom w:val="none" w:sz="0" w:space="0" w:color="auto"/>
            <w:right w:val="none" w:sz="0" w:space="0" w:color="auto"/>
          </w:divBdr>
        </w:div>
      </w:divsChild>
    </w:div>
    <w:div w:id="120152066">
      <w:bodyDiv w:val="1"/>
      <w:marLeft w:val="0"/>
      <w:marRight w:val="0"/>
      <w:marTop w:val="0"/>
      <w:marBottom w:val="0"/>
      <w:divBdr>
        <w:top w:val="none" w:sz="0" w:space="0" w:color="auto"/>
        <w:left w:val="none" w:sz="0" w:space="0" w:color="auto"/>
        <w:bottom w:val="none" w:sz="0" w:space="0" w:color="auto"/>
        <w:right w:val="none" w:sz="0" w:space="0" w:color="auto"/>
      </w:divBdr>
    </w:div>
    <w:div w:id="127549304">
      <w:bodyDiv w:val="1"/>
      <w:marLeft w:val="0"/>
      <w:marRight w:val="0"/>
      <w:marTop w:val="0"/>
      <w:marBottom w:val="0"/>
      <w:divBdr>
        <w:top w:val="none" w:sz="0" w:space="0" w:color="auto"/>
        <w:left w:val="none" w:sz="0" w:space="0" w:color="auto"/>
        <w:bottom w:val="none" w:sz="0" w:space="0" w:color="auto"/>
        <w:right w:val="none" w:sz="0" w:space="0" w:color="auto"/>
      </w:divBdr>
    </w:div>
    <w:div w:id="131793163">
      <w:bodyDiv w:val="1"/>
      <w:marLeft w:val="0"/>
      <w:marRight w:val="0"/>
      <w:marTop w:val="0"/>
      <w:marBottom w:val="0"/>
      <w:divBdr>
        <w:top w:val="none" w:sz="0" w:space="0" w:color="auto"/>
        <w:left w:val="none" w:sz="0" w:space="0" w:color="auto"/>
        <w:bottom w:val="none" w:sz="0" w:space="0" w:color="auto"/>
        <w:right w:val="none" w:sz="0" w:space="0" w:color="auto"/>
      </w:divBdr>
    </w:div>
    <w:div w:id="135686402">
      <w:bodyDiv w:val="1"/>
      <w:marLeft w:val="0"/>
      <w:marRight w:val="0"/>
      <w:marTop w:val="0"/>
      <w:marBottom w:val="0"/>
      <w:divBdr>
        <w:top w:val="none" w:sz="0" w:space="0" w:color="auto"/>
        <w:left w:val="none" w:sz="0" w:space="0" w:color="auto"/>
        <w:bottom w:val="none" w:sz="0" w:space="0" w:color="auto"/>
        <w:right w:val="none" w:sz="0" w:space="0" w:color="auto"/>
      </w:divBdr>
    </w:div>
    <w:div w:id="140391602">
      <w:bodyDiv w:val="1"/>
      <w:marLeft w:val="0"/>
      <w:marRight w:val="0"/>
      <w:marTop w:val="0"/>
      <w:marBottom w:val="0"/>
      <w:divBdr>
        <w:top w:val="none" w:sz="0" w:space="0" w:color="auto"/>
        <w:left w:val="none" w:sz="0" w:space="0" w:color="auto"/>
        <w:bottom w:val="none" w:sz="0" w:space="0" w:color="auto"/>
        <w:right w:val="none" w:sz="0" w:space="0" w:color="auto"/>
      </w:divBdr>
    </w:div>
    <w:div w:id="147866786">
      <w:bodyDiv w:val="1"/>
      <w:marLeft w:val="0"/>
      <w:marRight w:val="0"/>
      <w:marTop w:val="0"/>
      <w:marBottom w:val="0"/>
      <w:divBdr>
        <w:top w:val="none" w:sz="0" w:space="0" w:color="auto"/>
        <w:left w:val="none" w:sz="0" w:space="0" w:color="auto"/>
        <w:bottom w:val="none" w:sz="0" w:space="0" w:color="auto"/>
        <w:right w:val="none" w:sz="0" w:space="0" w:color="auto"/>
      </w:divBdr>
    </w:div>
    <w:div w:id="162209638">
      <w:bodyDiv w:val="1"/>
      <w:marLeft w:val="0"/>
      <w:marRight w:val="0"/>
      <w:marTop w:val="0"/>
      <w:marBottom w:val="0"/>
      <w:divBdr>
        <w:top w:val="none" w:sz="0" w:space="0" w:color="auto"/>
        <w:left w:val="none" w:sz="0" w:space="0" w:color="auto"/>
        <w:bottom w:val="none" w:sz="0" w:space="0" w:color="auto"/>
        <w:right w:val="none" w:sz="0" w:space="0" w:color="auto"/>
      </w:divBdr>
    </w:div>
    <w:div w:id="167184393">
      <w:bodyDiv w:val="1"/>
      <w:marLeft w:val="0"/>
      <w:marRight w:val="0"/>
      <w:marTop w:val="0"/>
      <w:marBottom w:val="0"/>
      <w:divBdr>
        <w:top w:val="none" w:sz="0" w:space="0" w:color="auto"/>
        <w:left w:val="none" w:sz="0" w:space="0" w:color="auto"/>
        <w:bottom w:val="none" w:sz="0" w:space="0" w:color="auto"/>
        <w:right w:val="none" w:sz="0" w:space="0" w:color="auto"/>
      </w:divBdr>
    </w:div>
    <w:div w:id="175122780">
      <w:bodyDiv w:val="1"/>
      <w:marLeft w:val="0"/>
      <w:marRight w:val="0"/>
      <w:marTop w:val="0"/>
      <w:marBottom w:val="0"/>
      <w:divBdr>
        <w:top w:val="none" w:sz="0" w:space="0" w:color="auto"/>
        <w:left w:val="none" w:sz="0" w:space="0" w:color="auto"/>
        <w:bottom w:val="none" w:sz="0" w:space="0" w:color="auto"/>
        <w:right w:val="none" w:sz="0" w:space="0" w:color="auto"/>
      </w:divBdr>
    </w:div>
    <w:div w:id="177239423">
      <w:bodyDiv w:val="1"/>
      <w:marLeft w:val="0"/>
      <w:marRight w:val="0"/>
      <w:marTop w:val="0"/>
      <w:marBottom w:val="0"/>
      <w:divBdr>
        <w:top w:val="none" w:sz="0" w:space="0" w:color="auto"/>
        <w:left w:val="none" w:sz="0" w:space="0" w:color="auto"/>
        <w:bottom w:val="none" w:sz="0" w:space="0" w:color="auto"/>
        <w:right w:val="none" w:sz="0" w:space="0" w:color="auto"/>
      </w:divBdr>
    </w:div>
    <w:div w:id="193469332">
      <w:bodyDiv w:val="1"/>
      <w:marLeft w:val="0"/>
      <w:marRight w:val="0"/>
      <w:marTop w:val="0"/>
      <w:marBottom w:val="0"/>
      <w:divBdr>
        <w:top w:val="none" w:sz="0" w:space="0" w:color="auto"/>
        <w:left w:val="none" w:sz="0" w:space="0" w:color="auto"/>
        <w:bottom w:val="none" w:sz="0" w:space="0" w:color="auto"/>
        <w:right w:val="none" w:sz="0" w:space="0" w:color="auto"/>
      </w:divBdr>
    </w:div>
    <w:div w:id="226913723">
      <w:bodyDiv w:val="1"/>
      <w:marLeft w:val="0"/>
      <w:marRight w:val="0"/>
      <w:marTop w:val="0"/>
      <w:marBottom w:val="0"/>
      <w:divBdr>
        <w:top w:val="none" w:sz="0" w:space="0" w:color="auto"/>
        <w:left w:val="none" w:sz="0" w:space="0" w:color="auto"/>
        <w:bottom w:val="none" w:sz="0" w:space="0" w:color="auto"/>
        <w:right w:val="none" w:sz="0" w:space="0" w:color="auto"/>
      </w:divBdr>
    </w:div>
    <w:div w:id="255675789">
      <w:bodyDiv w:val="1"/>
      <w:marLeft w:val="0"/>
      <w:marRight w:val="0"/>
      <w:marTop w:val="0"/>
      <w:marBottom w:val="0"/>
      <w:divBdr>
        <w:top w:val="none" w:sz="0" w:space="0" w:color="auto"/>
        <w:left w:val="none" w:sz="0" w:space="0" w:color="auto"/>
        <w:bottom w:val="none" w:sz="0" w:space="0" w:color="auto"/>
        <w:right w:val="none" w:sz="0" w:space="0" w:color="auto"/>
      </w:divBdr>
    </w:div>
    <w:div w:id="261571509">
      <w:bodyDiv w:val="1"/>
      <w:marLeft w:val="0"/>
      <w:marRight w:val="0"/>
      <w:marTop w:val="0"/>
      <w:marBottom w:val="0"/>
      <w:divBdr>
        <w:top w:val="none" w:sz="0" w:space="0" w:color="auto"/>
        <w:left w:val="none" w:sz="0" w:space="0" w:color="auto"/>
        <w:bottom w:val="none" w:sz="0" w:space="0" w:color="auto"/>
        <w:right w:val="none" w:sz="0" w:space="0" w:color="auto"/>
      </w:divBdr>
    </w:div>
    <w:div w:id="277682410">
      <w:bodyDiv w:val="1"/>
      <w:marLeft w:val="0"/>
      <w:marRight w:val="0"/>
      <w:marTop w:val="0"/>
      <w:marBottom w:val="0"/>
      <w:divBdr>
        <w:top w:val="none" w:sz="0" w:space="0" w:color="auto"/>
        <w:left w:val="none" w:sz="0" w:space="0" w:color="auto"/>
        <w:bottom w:val="none" w:sz="0" w:space="0" w:color="auto"/>
        <w:right w:val="none" w:sz="0" w:space="0" w:color="auto"/>
      </w:divBdr>
    </w:div>
    <w:div w:id="308025209">
      <w:bodyDiv w:val="1"/>
      <w:marLeft w:val="0"/>
      <w:marRight w:val="0"/>
      <w:marTop w:val="0"/>
      <w:marBottom w:val="0"/>
      <w:divBdr>
        <w:top w:val="none" w:sz="0" w:space="0" w:color="auto"/>
        <w:left w:val="none" w:sz="0" w:space="0" w:color="auto"/>
        <w:bottom w:val="none" w:sz="0" w:space="0" w:color="auto"/>
        <w:right w:val="none" w:sz="0" w:space="0" w:color="auto"/>
      </w:divBdr>
    </w:div>
    <w:div w:id="308899778">
      <w:bodyDiv w:val="1"/>
      <w:marLeft w:val="0"/>
      <w:marRight w:val="0"/>
      <w:marTop w:val="0"/>
      <w:marBottom w:val="0"/>
      <w:divBdr>
        <w:top w:val="none" w:sz="0" w:space="0" w:color="auto"/>
        <w:left w:val="none" w:sz="0" w:space="0" w:color="auto"/>
        <w:bottom w:val="none" w:sz="0" w:space="0" w:color="auto"/>
        <w:right w:val="none" w:sz="0" w:space="0" w:color="auto"/>
      </w:divBdr>
    </w:div>
    <w:div w:id="341708201">
      <w:bodyDiv w:val="1"/>
      <w:marLeft w:val="0"/>
      <w:marRight w:val="0"/>
      <w:marTop w:val="0"/>
      <w:marBottom w:val="0"/>
      <w:divBdr>
        <w:top w:val="none" w:sz="0" w:space="0" w:color="auto"/>
        <w:left w:val="none" w:sz="0" w:space="0" w:color="auto"/>
        <w:bottom w:val="none" w:sz="0" w:space="0" w:color="auto"/>
        <w:right w:val="none" w:sz="0" w:space="0" w:color="auto"/>
      </w:divBdr>
    </w:div>
    <w:div w:id="342169133">
      <w:bodyDiv w:val="1"/>
      <w:marLeft w:val="0"/>
      <w:marRight w:val="0"/>
      <w:marTop w:val="0"/>
      <w:marBottom w:val="0"/>
      <w:divBdr>
        <w:top w:val="none" w:sz="0" w:space="0" w:color="auto"/>
        <w:left w:val="none" w:sz="0" w:space="0" w:color="auto"/>
        <w:bottom w:val="none" w:sz="0" w:space="0" w:color="auto"/>
        <w:right w:val="none" w:sz="0" w:space="0" w:color="auto"/>
      </w:divBdr>
    </w:div>
    <w:div w:id="343286110">
      <w:bodyDiv w:val="1"/>
      <w:marLeft w:val="0"/>
      <w:marRight w:val="0"/>
      <w:marTop w:val="0"/>
      <w:marBottom w:val="0"/>
      <w:divBdr>
        <w:top w:val="none" w:sz="0" w:space="0" w:color="auto"/>
        <w:left w:val="none" w:sz="0" w:space="0" w:color="auto"/>
        <w:bottom w:val="none" w:sz="0" w:space="0" w:color="auto"/>
        <w:right w:val="none" w:sz="0" w:space="0" w:color="auto"/>
      </w:divBdr>
      <w:divsChild>
        <w:div w:id="841240681">
          <w:marLeft w:val="0"/>
          <w:marRight w:val="0"/>
          <w:marTop w:val="0"/>
          <w:marBottom w:val="0"/>
          <w:divBdr>
            <w:top w:val="none" w:sz="0" w:space="0" w:color="auto"/>
            <w:left w:val="none" w:sz="0" w:space="0" w:color="auto"/>
            <w:bottom w:val="none" w:sz="0" w:space="0" w:color="auto"/>
            <w:right w:val="none" w:sz="0" w:space="0" w:color="auto"/>
          </w:divBdr>
        </w:div>
        <w:div w:id="962886936">
          <w:marLeft w:val="0"/>
          <w:marRight w:val="0"/>
          <w:marTop w:val="0"/>
          <w:marBottom w:val="0"/>
          <w:divBdr>
            <w:top w:val="none" w:sz="0" w:space="0" w:color="auto"/>
            <w:left w:val="none" w:sz="0" w:space="0" w:color="auto"/>
            <w:bottom w:val="none" w:sz="0" w:space="0" w:color="auto"/>
            <w:right w:val="none" w:sz="0" w:space="0" w:color="auto"/>
          </w:divBdr>
          <w:divsChild>
            <w:div w:id="1580022142">
              <w:marLeft w:val="0"/>
              <w:marRight w:val="0"/>
              <w:marTop w:val="0"/>
              <w:marBottom w:val="0"/>
              <w:divBdr>
                <w:top w:val="none" w:sz="0" w:space="0" w:color="auto"/>
                <w:left w:val="none" w:sz="0" w:space="0" w:color="auto"/>
                <w:bottom w:val="none" w:sz="0" w:space="0" w:color="auto"/>
                <w:right w:val="none" w:sz="0" w:space="0" w:color="auto"/>
              </w:divBdr>
            </w:div>
          </w:divsChild>
        </w:div>
        <w:div w:id="1538159368">
          <w:marLeft w:val="0"/>
          <w:marRight w:val="0"/>
          <w:marTop w:val="100"/>
          <w:marBottom w:val="150"/>
          <w:divBdr>
            <w:top w:val="none" w:sz="0" w:space="0" w:color="auto"/>
            <w:left w:val="none" w:sz="0" w:space="0" w:color="auto"/>
            <w:bottom w:val="none" w:sz="0" w:space="0" w:color="auto"/>
            <w:right w:val="none" w:sz="0" w:space="0" w:color="auto"/>
          </w:divBdr>
          <w:divsChild>
            <w:div w:id="993070156">
              <w:marLeft w:val="0"/>
              <w:marRight w:val="0"/>
              <w:marTop w:val="0"/>
              <w:marBottom w:val="0"/>
              <w:divBdr>
                <w:top w:val="none" w:sz="0" w:space="0" w:color="auto"/>
                <w:left w:val="none" w:sz="0" w:space="0" w:color="auto"/>
                <w:bottom w:val="none" w:sz="0" w:space="0" w:color="auto"/>
                <w:right w:val="none" w:sz="0" w:space="0" w:color="auto"/>
              </w:divBdr>
            </w:div>
          </w:divsChild>
        </w:div>
        <w:div w:id="888227515">
          <w:marLeft w:val="0"/>
          <w:marRight w:val="0"/>
          <w:marTop w:val="0"/>
          <w:marBottom w:val="0"/>
          <w:divBdr>
            <w:top w:val="none" w:sz="0" w:space="0" w:color="auto"/>
            <w:left w:val="none" w:sz="0" w:space="0" w:color="auto"/>
            <w:bottom w:val="none" w:sz="0" w:space="0" w:color="auto"/>
            <w:right w:val="none" w:sz="0" w:space="0" w:color="auto"/>
          </w:divBdr>
        </w:div>
      </w:divsChild>
    </w:div>
    <w:div w:id="357856770">
      <w:bodyDiv w:val="1"/>
      <w:marLeft w:val="0"/>
      <w:marRight w:val="0"/>
      <w:marTop w:val="0"/>
      <w:marBottom w:val="0"/>
      <w:divBdr>
        <w:top w:val="none" w:sz="0" w:space="0" w:color="auto"/>
        <w:left w:val="none" w:sz="0" w:space="0" w:color="auto"/>
        <w:bottom w:val="none" w:sz="0" w:space="0" w:color="auto"/>
        <w:right w:val="none" w:sz="0" w:space="0" w:color="auto"/>
      </w:divBdr>
    </w:div>
    <w:div w:id="358313852">
      <w:bodyDiv w:val="1"/>
      <w:marLeft w:val="0"/>
      <w:marRight w:val="0"/>
      <w:marTop w:val="0"/>
      <w:marBottom w:val="0"/>
      <w:divBdr>
        <w:top w:val="none" w:sz="0" w:space="0" w:color="auto"/>
        <w:left w:val="none" w:sz="0" w:space="0" w:color="auto"/>
        <w:bottom w:val="none" w:sz="0" w:space="0" w:color="auto"/>
        <w:right w:val="none" w:sz="0" w:space="0" w:color="auto"/>
      </w:divBdr>
    </w:div>
    <w:div w:id="374473587">
      <w:bodyDiv w:val="1"/>
      <w:marLeft w:val="0"/>
      <w:marRight w:val="0"/>
      <w:marTop w:val="0"/>
      <w:marBottom w:val="0"/>
      <w:divBdr>
        <w:top w:val="none" w:sz="0" w:space="0" w:color="auto"/>
        <w:left w:val="none" w:sz="0" w:space="0" w:color="auto"/>
        <w:bottom w:val="none" w:sz="0" w:space="0" w:color="auto"/>
        <w:right w:val="none" w:sz="0" w:space="0" w:color="auto"/>
      </w:divBdr>
    </w:div>
    <w:div w:id="377707581">
      <w:bodyDiv w:val="1"/>
      <w:marLeft w:val="0"/>
      <w:marRight w:val="0"/>
      <w:marTop w:val="0"/>
      <w:marBottom w:val="0"/>
      <w:divBdr>
        <w:top w:val="none" w:sz="0" w:space="0" w:color="auto"/>
        <w:left w:val="none" w:sz="0" w:space="0" w:color="auto"/>
        <w:bottom w:val="none" w:sz="0" w:space="0" w:color="auto"/>
        <w:right w:val="none" w:sz="0" w:space="0" w:color="auto"/>
      </w:divBdr>
    </w:div>
    <w:div w:id="380062573">
      <w:bodyDiv w:val="1"/>
      <w:marLeft w:val="0"/>
      <w:marRight w:val="0"/>
      <w:marTop w:val="0"/>
      <w:marBottom w:val="0"/>
      <w:divBdr>
        <w:top w:val="none" w:sz="0" w:space="0" w:color="auto"/>
        <w:left w:val="none" w:sz="0" w:space="0" w:color="auto"/>
        <w:bottom w:val="none" w:sz="0" w:space="0" w:color="auto"/>
        <w:right w:val="none" w:sz="0" w:space="0" w:color="auto"/>
      </w:divBdr>
    </w:div>
    <w:div w:id="400907759">
      <w:bodyDiv w:val="1"/>
      <w:marLeft w:val="0"/>
      <w:marRight w:val="0"/>
      <w:marTop w:val="0"/>
      <w:marBottom w:val="0"/>
      <w:divBdr>
        <w:top w:val="none" w:sz="0" w:space="0" w:color="auto"/>
        <w:left w:val="none" w:sz="0" w:space="0" w:color="auto"/>
        <w:bottom w:val="none" w:sz="0" w:space="0" w:color="auto"/>
        <w:right w:val="none" w:sz="0" w:space="0" w:color="auto"/>
      </w:divBdr>
    </w:div>
    <w:div w:id="405568894">
      <w:bodyDiv w:val="1"/>
      <w:marLeft w:val="0"/>
      <w:marRight w:val="0"/>
      <w:marTop w:val="0"/>
      <w:marBottom w:val="0"/>
      <w:divBdr>
        <w:top w:val="none" w:sz="0" w:space="0" w:color="auto"/>
        <w:left w:val="none" w:sz="0" w:space="0" w:color="auto"/>
        <w:bottom w:val="none" w:sz="0" w:space="0" w:color="auto"/>
        <w:right w:val="none" w:sz="0" w:space="0" w:color="auto"/>
      </w:divBdr>
    </w:div>
    <w:div w:id="406080315">
      <w:bodyDiv w:val="1"/>
      <w:marLeft w:val="0"/>
      <w:marRight w:val="0"/>
      <w:marTop w:val="0"/>
      <w:marBottom w:val="0"/>
      <w:divBdr>
        <w:top w:val="none" w:sz="0" w:space="0" w:color="auto"/>
        <w:left w:val="none" w:sz="0" w:space="0" w:color="auto"/>
        <w:bottom w:val="none" w:sz="0" w:space="0" w:color="auto"/>
        <w:right w:val="none" w:sz="0" w:space="0" w:color="auto"/>
      </w:divBdr>
    </w:div>
    <w:div w:id="422803890">
      <w:bodyDiv w:val="1"/>
      <w:marLeft w:val="0"/>
      <w:marRight w:val="0"/>
      <w:marTop w:val="0"/>
      <w:marBottom w:val="0"/>
      <w:divBdr>
        <w:top w:val="none" w:sz="0" w:space="0" w:color="auto"/>
        <w:left w:val="none" w:sz="0" w:space="0" w:color="auto"/>
        <w:bottom w:val="none" w:sz="0" w:space="0" w:color="auto"/>
        <w:right w:val="none" w:sz="0" w:space="0" w:color="auto"/>
      </w:divBdr>
    </w:div>
    <w:div w:id="423846433">
      <w:bodyDiv w:val="1"/>
      <w:marLeft w:val="0"/>
      <w:marRight w:val="0"/>
      <w:marTop w:val="0"/>
      <w:marBottom w:val="0"/>
      <w:divBdr>
        <w:top w:val="none" w:sz="0" w:space="0" w:color="auto"/>
        <w:left w:val="none" w:sz="0" w:space="0" w:color="auto"/>
        <w:bottom w:val="none" w:sz="0" w:space="0" w:color="auto"/>
        <w:right w:val="none" w:sz="0" w:space="0" w:color="auto"/>
      </w:divBdr>
    </w:div>
    <w:div w:id="430931002">
      <w:bodyDiv w:val="1"/>
      <w:marLeft w:val="0"/>
      <w:marRight w:val="0"/>
      <w:marTop w:val="0"/>
      <w:marBottom w:val="0"/>
      <w:divBdr>
        <w:top w:val="none" w:sz="0" w:space="0" w:color="auto"/>
        <w:left w:val="none" w:sz="0" w:space="0" w:color="auto"/>
        <w:bottom w:val="none" w:sz="0" w:space="0" w:color="auto"/>
        <w:right w:val="none" w:sz="0" w:space="0" w:color="auto"/>
      </w:divBdr>
    </w:div>
    <w:div w:id="433062742">
      <w:bodyDiv w:val="1"/>
      <w:marLeft w:val="0"/>
      <w:marRight w:val="0"/>
      <w:marTop w:val="0"/>
      <w:marBottom w:val="0"/>
      <w:divBdr>
        <w:top w:val="none" w:sz="0" w:space="0" w:color="auto"/>
        <w:left w:val="none" w:sz="0" w:space="0" w:color="auto"/>
        <w:bottom w:val="none" w:sz="0" w:space="0" w:color="auto"/>
        <w:right w:val="none" w:sz="0" w:space="0" w:color="auto"/>
      </w:divBdr>
    </w:div>
    <w:div w:id="463430768">
      <w:bodyDiv w:val="1"/>
      <w:marLeft w:val="0"/>
      <w:marRight w:val="0"/>
      <w:marTop w:val="0"/>
      <w:marBottom w:val="0"/>
      <w:divBdr>
        <w:top w:val="none" w:sz="0" w:space="0" w:color="auto"/>
        <w:left w:val="none" w:sz="0" w:space="0" w:color="auto"/>
        <w:bottom w:val="none" w:sz="0" w:space="0" w:color="auto"/>
        <w:right w:val="none" w:sz="0" w:space="0" w:color="auto"/>
      </w:divBdr>
    </w:div>
    <w:div w:id="472676691">
      <w:bodyDiv w:val="1"/>
      <w:marLeft w:val="0"/>
      <w:marRight w:val="0"/>
      <w:marTop w:val="0"/>
      <w:marBottom w:val="0"/>
      <w:divBdr>
        <w:top w:val="none" w:sz="0" w:space="0" w:color="auto"/>
        <w:left w:val="none" w:sz="0" w:space="0" w:color="auto"/>
        <w:bottom w:val="none" w:sz="0" w:space="0" w:color="auto"/>
        <w:right w:val="none" w:sz="0" w:space="0" w:color="auto"/>
      </w:divBdr>
    </w:div>
    <w:div w:id="489908719">
      <w:bodyDiv w:val="1"/>
      <w:marLeft w:val="0"/>
      <w:marRight w:val="0"/>
      <w:marTop w:val="0"/>
      <w:marBottom w:val="0"/>
      <w:divBdr>
        <w:top w:val="none" w:sz="0" w:space="0" w:color="auto"/>
        <w:left w:val="none" w:sz="0" w:space="0" w:color="auto"/>
        <w:bottom w:val="none" w:sz="0" w:space="0" w:color="auto"/>
        <w:right w:val="none" w:sz="0" w:space="0" w:color="auto"/>
      </w:divBdr>
    </w:div>
    <w:div w:id="509105642">
      <w:bodyDiv w:val="1"/>
      <w:marLeft w:val="0"/>
      <w:marRight w:val="0"/>
      <w:marTop w:val="0"/>
      <w:marBottom w:val="0"/>
      <w:divBdr>
        <w:top w:val="none" w:sz="0" w:space="0" w:color="auto"/>
        <w:left w:val="none" w:sz="0" w:space="0" w:color="auto"/>
        <w:bottom w:val="none" w:sz="0" w:space="0" w:color="auto"/>
        <w:right w:val="none" w:sz="0" w:space="0" w:color="auto"/>
      </w:divBdr>
    </w:div>
    <w:div w:id="518156108">
      <w:bodyDiv w:val="1"/>
      <w:marLeft w:val="0"/>
      <w:marRight w:val="0"/>
      <w:marTop w:val="0"/>
      <w:marBottom w:val="0"/>
      <w:divBdr>
        <w:top w:val="none" w:sz="0" w:space="0" w:color="auto"/>
        <w:left w:val="none" w:sz="0" w:space="0" w:color="auto"/>
        <w:bottom w:val="none" w:sz="0" w:space="0" w:color="auto"/>
        <w:right w:val="none" w:sz="0" w:space="0" w:color="auto"/>
      </w:divBdr>
    </w:div>
    <w:div w:id="538398492">
      <w:bodyDiv w:val="1"/>
      <w:marLeft w:val="0"/>
      <w:marRight w:val="0"/>
      <w:marTop w:val="0"/>
      <w:marBottom w:val="0"/>
      <w:divBdr>
        <w:top w:val="none" w:sz="0" w:space="0" w:color="auto"/>
        <w:left w:val="none" w:sz="0" w:space="0" w:color="auto"/>
        <w:bottom w:val="none" w:sz="0" w:space="0" w:color="auto"/>
        <w:right w:val="none" w:sz="0" w:space="0" w:color="auto"/>
      </w:divBdr>
      <w:divsChild>
        <w:div w:id="1459180898">
          <w:marLeft w:val="0"/>
          <w:marRight w:val="0"/>
          <w:marTop w:val="0"/>
          <w:marBottom w:val="0"/>
          <w:divBdr>
            <w:top w:val="none" w:sz="0" w:space="0" w:color="auto"/>
            <w:left w:val="none" w:sz="0" w:space="0" w:color="auto"/>
            <w:bottom w:val="none" w:sz="0" w:space="0" w:color="auto"/>
            <w:right w:val="none" w:sz="0" w:space="0" w:color="auto"/>
          </w:divBdr>
          <w:divsChild>
            <w:div w:id="1971980694">
              <w:marLeft w:val="0"/>
              <w:marRight w:val="0"/>
              <w:marTop w:val="0"/>
              <w:marBottom w:val="0"/>
              <w:divBdr>
                <w:top w:val="none" w:sz="0" w:space="0" w:color="auto"/>
                <w:left w:val="none" w:sz="0" w:space="0" w:color="auto"/>
                <w:bottom w:val="none" w:sz="0" w:space="0" w:color="auto"/>
                <w:right w:val="none" w:sz="0" w:space="0" w:color="auto"/>
              </w:divBdr>
              <w:divsChild>
                <w:div w:id="973369742">
                  <w:marLeft w:val="0"/>
                  <w:marRight w:val="0"/>
                  <w:marTop w:val="0"/>
                  <w:marBottom w:val="0"/>
                  <w:divBdr>
                    <w:top w:val="none" w:sz="0" w:space="0" w:color="auto"/>
                    <w:left w:val="none" w:sz="0" w:space="0" w:color="auto"/>
                    <w:bottom w:val="none" w:sz="0" w:space="0" w:color="auto"/>
                    <w:right w:val="none" w:sz="0" w:space="0" w:color="auto"/>
                  </w:divBdr>
                  <w:divsChild>
                    <w:div w:id="1516992075">
                      <w:marLeft w:val="0"/>
                      <w:marRight w:val="-3225"/>
                      <w:marTop w:val="0"/>
                      <w:marBottom w:val="0"/>
                      <w:divBdr>
                        <w:top w:val="none" w:sz="0" w:space="0" w:color="auto"/>
                        <w:left w:val="none" w:sz="0" w:space="0" w:color="auto"/>
                        <w:bottom w:val="none" w:sz="0" w:space="0" w:color="auto"/>
                        <w:right w:val="none" w:sz="0" w:space="0" w:color="auto"/>
                      </w:divBdr>
                      <w:divsChild>
                        <w:div w:id="1522695472">
                          <w:marLeft w:val="2715"/>
                          <w:marRight w:val="3225"/>
                          <w:marTop w:val="0"/>
                          <w:marBottom w:val="0"/>
                          <w:divBdr>
                            <w:top w:val="none" w:sz="0" w:space="0" w:color="auto"/>
                            <w:left w:val="none" w:sz="0" w:space="0" w:color="auto"/>
                            <w:bottom w:val="none" w:sz="0" w:space="0" w:color="auto"/>
                            <w:right w:val="none" w:sz="0" w:space="0" w:color="auto"/>
                          </w:divBdr>
                          <w:divsChild>
                            <w:div w:id="729233231">
                              <w:marLeft w:val="300"/>
                              <w:marRight w:val="300"/>
                              <w:marTop w:val="300"/>
                              <w:marBottom w:val="300"/>
                              <w:divBdr>
                                <w:top w:val="none" w:sz="0" w:space="0" w:color="auto"/>
                                <w:left w:val="none" w:sz="0" w:space="0" w:color="auto"/>
                                <w:bottom w:val="dotted" w:sz="6" w:space="15" w:color="333366"/>
                                <w:right w:val="none" w:sz="0" w:space="0" w:color="auto"/>
                              </w:divBdr>
                            </w:div>
                          </w:divsChild>
                        </w:div>
                      </w:divsChild>
                    </w:div>
                  </w:divsChild>
                </w:div>
              </w:divsChild>
            </w:div>
          </w:divsChild>
        </w:div>
      </w:divsChild>
    </w:div>
    <w:div w:id="549807192">
      <w:bodyDiv w:val="1"/>
      <w:marLeft w:val="0"/>
      <w:marRight w:val="0"/>
      <w:marTop w:val="0"/>
      <w:marBottom w:val="0"/>
      <w:divBdr>
        <w:top w:val="none" w:sz="0" w:space="0" w:color="auto"/>
        <w:left w:val="none" w:sz="0" w:space="0" w:color="auto"/>
        <w:bottom w:val="none" w:sz="0" w:space="0" w:color="auto"/>
        <w:right w:val="none" w:sz="0" w:space="0" w:color="auto"/>
      </w:divBdr>
    </w:div>
    <w:div w:id="550533568">
      <w:bodyDiv w:val="1"/>
      <w:marLeft w:val="0"/>
      <w:marRight w:val="0"/>
      <w:marTop w:val="0"/>
      <w:marBottom w:val="0"/>
      <w:divBdr>
        <w:top w:val="none" w:sz="0" w:space="0" w:color="auto"/>
        <w:left w:val="none" w:sz="0" w:space="0" w:color="auto"/>
        <w:bottom w:val="none" w:sz="0" w:space="0" w:color="auto"/>
        <w:right w:val="none" w:sz="0" w:space="0" w:color="auto"/>
      </w:divBdr>
    </w:div>
    <w:div w:id="568884673">
      <w:bodyDiv w:val="1"/>
      <w:marLeft w:val="0"/>
      <w:marRight w:val="0"/>
      <w:marTop w:val="0"/>
      <w:marBottom w:val="0"/>
      <w:divBdr>
        <w:top w:val="none" w:sz="0" w:space="0" w:color="auto"/>
        <w:left w:val="none" w:sz="0" w:space="0" w:color="auto"/>
        <w:bottom w:val="none" w:sz="0" w:space="0" w:color="auto"/>
        <w:right w:val="none" w:sz="0" w:space="0" w:color="auto"/>
      </w:divBdr>
    </w:div>
    <w:div w:id="570042090">
      <w:bodyDiv w:val="1"/>
      <w:marLeft w:val="0"/>
      <w:marRight w:val="0"/>
      <w:marTop w:val="0"/>
      <w:marBottom w:val="0"/>
      <w:divBdr>
        <w:top w:val="none" w:sz="0" w:space="0" w:color="auto"/>
        <w:left w:val="none" w:sz="0" w:space="0" w:color="auto"/>
        <w:bottom w:val="none" w:sz="0" w:space="0" w:color="auto"/>
        <w:right w:val="none" w:sz="0" w:space="0" w:color="auto"/>
      </w:divBdr>
    </w:div>
    <w:div w:id="581335003">
      <w:bodyDiv w:val="1"/>
      <w:marLeft w:val="0"/>
      <w:marRight w:val="0"/>
      <w:marTop w:val="0"/>
      <w:marBottom w:val="0"/>
      <w:divBdr>
        <w:top w:val="none" w:sz="0" w:space="0" w:color="auto"/>
        <w:left w:val="none" w:sz="0" w:space="0" w:color="auto"/>
        <w:bottom w:val="none" w:sz="0" w:space="0" w:color="auto"/>
        <w:right w:val="none" w:sz="0" w:space="0" w:color="auto"/>
      </w:divBdr>
    </w:div>
    <w:div w:id="581718537">
      <w:bodyDiv w:val="1"/>
      <w:marLeft w:val="0"/>
      <w:marRight w:val="0"/>
      <w:marTop w:val="0"/>
      <w:marBottom w:val="0"/>
      <w:divBdr>
        <w:top w:val="none" w:sz="0" w:space="0" w:color="auto"/>
        <w:left w:val="none" w:sz="0" w:space="0" w:color="auto"/>
        <w:bottom w:val="none" w:sz="0" w:space="0" w:color="auto"/>
        <w:right w:val="none" w:sz="0" w:space="0" w:color="auto"/>
      </w:divBdr>
    </w:div>
    <w:div w:id="618682119">
      <w:bodyDiv w:val="1"/>
      <w:marLeft w:val="0"/>
      <w:marRight w:val="0"/>
      <w:marTop w:val="0"/>
      <w:marBottom w:val="0"/>
      <w:divBdr>
        <w:top w:val="none" w:sz="0" w:space="0" w:color="auto"/>
        <w:left w:val="none" w:sz="0" w:space="0" w:color="auto"/>
        <w:bottom w:val="none" w:sz="0" w:space="0" w:color="auto"/>
        <w:right w:val="none" w:sz="0" w:space="0" w:color="auto"/>
      </w:divBdr>
    </w:div>
    <w:div w:id="628977912">
      <w:bodyDiv w:val="1"/>
      <w:marLeft w:val="0"/>
      <w:marRight w:val="0"/>
      <w:marTop w:val="0"/>
      <w:marBottom w:val="0"/>
      <w:divBdr>
        <w:top w:val="none" w:sz="0" w:space="0" w:color="auto"/>
        <w:left w:val="none" w:sz="0" w:space="0" w:color="auto"/>
        <w:bottom w:val="none" w:sz="0" w:space="0" w:color="auto"/>
        <w:right w:val="none" w:sz="0" w:space="0" w:color="auto"/>
      </w:divBdr>
    </w:div>
    <w:div w:id="660159030">
      <w:bodyDiv w:val="1"/>
      <w:marLeft w:val="0"/>
      <w:marRight w:val="0"/>
      <w:marTop w:val="0"/>
      <w:marBottom w:val="0"/>
      <w:divBdr>
        <w:top w:val="none" w:sz="0" w:space="0" w:color="auto"/>
        <w:left w:val="none" w:sz="0" w:space="0" w:color="auto"/>
        <w:bottom w:val="none" w:sz="0" w:space="0" w:color="auto"/>
        <w:right w:val="none" w:sz="0" w:space="0" w:color="auto"/>
      </w:divBdr>
    </w:div>
    <w:div w:id="681981343">
      <w:bodyDiv w:val="1"/>
      <w:marLeft w:val="0"/>
      <w:marRight w:val="0"/>
      <w:marTop w:val="0"/>
      <w:marBottom w:val="0"/>
      <w:divBdr>
        <w:top w:val="none" w:sz="0" w:space="0" w:color="auto"/>
        <w:left w:val="none" w:sz="0" w:space="0" w:color="auto"/>
        <w:bottom w:val="none" w:sz="0" w:space="0" w:color="auto"/>
        <w:right w:val="none" w:sz="0" w:space="0" w:color="auto"/>
      </w:divBdr>
    </w:div>
    <w:div w:id="684868035">
      <w:bodyDiv w:val="1"/>
      <w:marLeft w:val="0"/>
      <w:marRight w:val="0"/>
      <w:marTop w:val="0"/>
      <w:marBottom w:val="0"/>
      <w:divBdr>
        <w:top w:val="none" w:sz="0" w:space="0" w:color="auto"/>
        <w:left w:val="none" w:sz="0" w:space="0" w:color="auto"/>
        <w:bottom w:val="none" w:sz="0" w:space="0" w:color="auto"/>
        <w:right w:val="none" w:sz="0" w:space="0" w:color="auto"/>
      </w:divBdr>
    </w:div>
    <w:div w:id="688801236">
      <w:bodyDiv w:val="1"/>
      <w:marLeft w:val="0"/>
      <w:marRight w:val="0"/>
      <w:marTop w:val="0"/>
      <w:marBottom w:val="0"/>
      <w:divBdr>
        <w:top w:val="none" w:sz="0" w:space="0" w:color="auto"/>
        <w:left w:val="none" w:sz="0" w:space="0" w:color="auto"/>
        <w:bottom w:val="none" w:sz="0" w:space="0" w:color="auto"/>
        <w:right w:val="none" w:sz="0" w:space="0" w:color="auto"/>
      </w:divBdr>
    </w:div>
    <w:div w:id="710420063">
      <w:bodyDiv w:val="1"/>
      <w:marLeft w:val="0"/>
      <w:marRight w:val="0"/>
      <w:marTop w:val="0"/>
      <w:marBottom w:val="0"/>
      <w:divBdr>
        <w:top w:val="none" w:sz="0" w:space="0" w:color="auto"/>
        <w:left w:val="none" w:sz="0" w:space="0" w:color="auto"/>
        <w:bottom w:val="none" w:sz="0" w:space="0" w:color="auto"/>
        <w:right w:val="none" w:sz="0" w:space="0" w:color="auto"/>
      </w:divBdr>
    </w:div>
    <w:div w:id="713115041">
      <w:bodyDiv w:val="1"/>
      <w:marLeft w:val="0"/>
      <w:marRight w:val="0"/>
      <w:marTop w:val="0"/>
      <w:marBottom w:val="0"/>
      <w:divBdr>
        <w:top w:val="none" w:sz="0" w:space="0" w:color="auto"/>
        <w:left w:val="none" w:sz="0" w:space="0" w:color="auto"/>
        <w:bottom w:val="none" w:sz="0" w:space="0" w:color="auto"/>
        <w:right w:val="none" w:sz="0" w:space="0" w:color="auto"/>
      </w:divBdr>
    </w:div>
    <w:div w:id="729890116">
      <w:bodyDiv w:val="1"/>
      <w:marLeft w:val="0"/>
      <w:marRight w:val="0"/>
      <w:marTop w:val="0"/>
      <w:marBottom w:val="0"/>
      <w:divBdr>
        <w:top w:val="none" w:sz="0" w:space="0" w:color="auto"/>
        <w:left w:val="none" w:sz="0" w:space="0" w:color="auto"/>
        <w:bottom w:val="none" w:sz="0" w:space="0" w:color="auto"/>
        <w:right w:val="none" w:sz="0" w:space="0" w:color="auto"/>
      </w:divBdr>
    </w:div>
    <w:div w:id="733359364">
      <w:bodyDiv w:val="1"/>
      <w:marLeft w:val="0"/>
      <w:marRight w:val="0"/>
      <w:marTop w:val="0"/>
      <w:marBottom w:val="0"/>
      <w:divBdr>
        <w:top w:val="none" w:sz="0" w:space="0" w:color="auto"/>
        <w:left w:val="none" w:sz="0" w:space="0" w:color="auto"/>
        <w:bottom w:val="none" w:sz="0" w:space="0" w:color="auto"/>
        <w:right w:val="none" w:sz="0" w:space="0" w:color="auto"/>
      </w:divBdr>
    </w:div>
    <w:div w:id="745034493">
      <w:bodyDiv w:val="1"/>
      <w:marLeft w:val="0"/>
      <w:marRight w:val="0"/>
      <w:marTop w:val="0"/>
      <w:marBottom w:val="0"/>
      <w:divBdr>
        <w:top w:val="none" w:sz="0" w:space="0" w:color="auto"/>
        <w:left w:val="none" w:sz="0" w:space="0" w:color="auto"/>
        <w:bottom w:val="none" w:sz="0" w:space="0" w:color="auto"/>
        <w:right w:val="none" w:sz="0" w:space="0" w:color="auto"/>
      </w:divBdr>
    </w:div>
    <w:div w:id="782923401">
      <w:bodyDiv w:val="1"/>
      <w:marLeft w:val="0"/>
      <w:marRight w:val="0"/>
      <w:marTop w:val="0"/>
      <w:marBottom w:val="0"/>
      <w:divBdr>
        <w:top w:val="none" w:sz="0" w:space="0" w:color="auto"/>
        <w:left w:val="none" w:sz="0" w:space="0" w:color="auto"/>
        <w:bottom w:val="none" w:sz="0" w:space="0" w:color="auto"/>
        <w:right w:val="none" w:sz="0" w:space="0" w:color="auto"/>
      </w:divBdr>
    </w:div>
    <w:div w:id="805008518">
      <w:bodyDiv w:val="1"/>
      <w:marLeft w:val="0"/>
      <w:marRight w:val="0"/>
      <w:marTop w:val="0"/>
      <w:marBottom w:val="0"/>
      <w:divBdr>
        <w:top w:val="none" w:sz="0" w:space="0" w:color="auto"/>
        <w:left w:val="none" w:sz="0" w:space="0" w:color="auto"/>
        <w:bottom w:val="none" w:sz="0" w:space="0" w:color="auto"/>
        <w:right w:val="none" w:sz="0" w:space="0" w:color="auto"/>
      </w:divBdr>
    </w:div>
    <w:div w:id="806051973">
      <w:bodyDiv w:val="1"/>
      <w:marLeft w:val="0"/>
      <w:marRight w:val="0"/>
      <w:marTop w:val="0"/>
      <w:marBottom w:val="0"/>
      <w:divBdr>
        <w:top w:val="none" w:sz="0" w:space="0" w:color="auto"/>
        <w:left w:val="none" w:sz="0" w:space="0" w:color="auto"/>
        <w:bottom w:val="none" w:sz="0" w:space="0" w:color="auto"/>
        <w:right w:val="none" w:sz="0" w:space="0" w:color="auto"/>
      </w:divBdr>
    </w:div>
    <w:div w:id="866793787">
      <w:bodyDiv w:val="1"/>
      <w:marLeft w:val="0"/>
      <w:marRight w:val="0"/>
      <w:marTop w:val="0"/>
      <w:marBottom w:val="0"/>
      <w:divBdr>
        <w:top w:val="none" w:sz="0" w:space="0" w:color="auto"/>
        <w:left w:val="none" w:sz="0" w:space="0" w:color="auto"/>
        <w:bottom w:val="none" w:sz="0" w:space="0" w:color="auto"/>
        <w:right w:val="none" w:sz="0" w:space="0" w:color="auto"/>
      </w:divBdr>
    </w:div>
    <w:div w:id="868881203">
      <w:bodyDiv w:val="1"/>
      <w:marLeft w:val="0"/>
      <w:marRight w:val="0"/>
      <w:marTop w:val="0"/>
      <w:marBottom w:val="0"/>
      <w:divBdr>
        <w:top w:val="none" w:sz="0" w:space="0" w:color="auto"/>
        <w:left w:val="none" w:sz="0" w:space="0" w:color="auto"/>
        <w:bottom w:val="none" w:sz="0" w:space="0" w:color="auto"/>
        <w:right w:val="none" w:sz="0" w:space="0" w:color="auto"/>
      </w:divBdr>
    </w:div>
    <w:div w:id="888305431">
      <w:bodyDiv w:val="1"/>
      <w:marLeft w:val="0"/>
      <w:marRight w:val="0"/>
      <w:marTop w:val="0"/>
      <w:marBottom w:val="0"/>
      <w:divBdr>
        <w:top w:val="none" w:sz="0" w:space="0" w:color="auto"/>
        <w:left w:val="none" w:sz="0" w:space="0" w:color="auto"/>
        <w:bottom w:val="none" w:sz="0" w:space="0" w:color="auto"/>
        <w:right w:val="none" w:sz="0" w:space="0" w:color="auto"/>
      </w:divBdr>
    </w:div>
    <w:div w:id="893544423">
      <w:bodyDiv w:val="1"/>
      <w:marLeft w:val="0"/>
      <w:marRight w:val="0"/>
      <w:marTop w:val="0"/>
      <w:marBottom w:val="0"/>
      <w:divBdr>
        <w:top w:val="none" w:sz="0" w:space="0" w:color="auto"/>
        <w:left w:val="none" w:sz="0" w:space="0" w:color="auto"/>
        <w:bottom w:val="none" w:sz="0" w:space="0" w:color="auto"/>
        <w:right w:val="none" w:sz="0" w:space="0" w:color="auto"/>
      </w:divBdr>
      <w:divsChild>
        <w:div w:id="1930770980">
          <w:marLeft w:val="0"/>
          <w:marRight w:val="0"/>
          <w:marTop w:val="0"/>
          <w:marBottom w:val="0"/>
          <w:divBdr>
            <w:top w:val="none" w:sz="0" w:space="0" w:color="auto"/>
            <w:left w:val="none" w:sz="0" w:space="0" w:color="auto"/>
            <w:bottom w:val="none" w:sz="0" w:space="0" w:color="auto"/>
            <w:right w:val="none" w:sz="0" w:space="0" w:color="auto"/>
          </w:divBdr>
        </w:div>
        <w:div w:id="2053188887">
          <w:marLeft w:val="0"/>
          <w:marRight w:val="0"/>
          <w:marTop w:val="0"/>
          <w:marBottom w:val="0"/>
          <w:divBdr>
            <w:top w:val="none" w:sz="0" w:space="0" w:color="auto"/>
            <w:left w:val="none" w:sz="0" w:space="0" w:color="auto"/>
            <w:bottom w:val="none" w:sz="0" w:space="0" w:color="auto"/>
            <w:right w:val="none" w:sz="0" w:space="0" w:color="auto"/>
          </w:divBdr>
          <w:divsChild>
            <w:div w:id="271980405">
              <w:marLeft w:val="0"/>
              <w:marRight w:val="0"/>
              <w:marTop w:val="0"/>
              <w:marBottom w:val="0"/>
              <w:divBdr>
                <w:top w:val="none" w:sz="0" w:space="0" w:color="auto"/>
                <w:left w:val="none" w:sz="0" w:space="0" w:color="auto"/>
                <w:bottom w:val="none" w:sz="0" w:space="0" w:color="auto"/>
                <w:right w:val="none" w:sz="0" w:space="0" w:color="auto"/>
              </w:divBdr>
            </w:div>
          </w:divsChild>
        </w:div>
        <w:div w:id="592664867">
          <w:marLeft w:val="0"/>
          <w:marRight w:val="0"/>
          <w:marTop w:val="100"/>
          <w:marBottom w:val="150"/>
          <w:divBdr>
            <w:top w:val="none" w:sz="0" w:space="0" w:color="auto"/>
            <w:left w:val="none" w:sz="0" w:space="0" w:color="auto"/>
            <w:bottom w:val="none" w:sz="0" w:space="0" w:color="auto"/>
            <w:right w:val="none" w:sz="0" w:space="0" w:color="auto"/>
          </w:divBdr>
          <w:divsChild>
            <w:div w:id="1548373035">
              <w:marLeft w:val="0"/>
              <w:marRight w:val="0"/>
              <w:marTop w:val="0"/>
              <w:marBottom w:val="0"/>
              <w:divBdr>
                <w:top w:val="none" w:sz="0" w:space="0" w:color="auto"/>
                <w:left w:val="none" w:sz="0" w:space="0" w:color="auto"/>
                <w:bottom w:val="none" w:sz="0" w:space="0" w:color="auto"/>
                <w:right w:val="none" w:sz="0" w:space="0" w:color="auto"/>
              </w:divBdr>
            </w:div>
          </w:divsChild>
        </w:div>
        <w:div w:id="1223829415">
          <w:marLeft w:val="0"/>
          <w:marRight w:val="0"/>
          <w:marTop w:val="0"/>
          <w:marBottom w:val="0"/>
          <w:divBdr>
            <w:top w:val="none" w:sz="0" w:space="0" w:color="auto"/>
            <w:left w:val="none" w:sz="0" w:space="0" w:color="auto"/>
            <w:bottom w:val="none" w:sz="0" w:space="0" w:color="auto"/>
            <w:right w:val="none" w:sz="0" w:space="0" w:color="auto"/>
          </w:divBdr>
        </w:div>
      </w:divsChild>
    </w:div>
    <w:div w:id="896362349">
      <w:bodyDiv w:val="1"/>
      <w:marLeft w:val="0"/>
      <w:marRight w:val="0"/>
      <w:marTop w:val="0"/>
      <w:marBottom w:val="0"/>
      <w:divBdr>
        <w:top w:val="none" w:sz="0" w:space="0" w:color="auto"/>
        <w:left w:val="none" w:sz="0" w:space="0" w:color="auto"/>
        <w:bottom w:val="none" w:sz="0" w:space="0" w:color="auto"/>
        <w:right w:val="none" w:sz="0" w:space="0" w:color="auto"/>
      </w:divBdr>
      <w:divsChild>
        <w:div w:id="1212233503">
          <w:marLeft w:val="0"/>
          <w:marRight w:val="0"/>
          <w:marTop w:val="0"/>
          <w:marBottom w:val="0"/>
          <w:divBdr>
            <w:top w:val="none" w:sz="0" w:space="0" w:color="auto"/>
            <w:left w:val="none" w:sz="0" w:space="0" w:color="auto"/>
            <w:bottom w:val="none" w:sz="0" w:space="0" w:color="auto"/>
            <w:right w:val="none" w:sz="0" w:space="0" w:color="auto"/>
          </w:divBdr>
          <w:divsChild>
            <w:div w:id="1984650885">
              <w:marLeft w:val="0"/>
              <w:marRight w:val="0"/>
              <w:marTop w:val="0"/>
              <w:marBottom w:val="0"/>
              <w:divBdr>
                <w:top w:val="none" w:sz="0" w:space="0" w:color="auto"/>
                <w:left w:val="none" w:sz="0" w:space="0" w:color="auto"/>
                <w:bottom w:val="none" w:sz="0" w:space="0" w:color="auto"/>
                <w:right w:val="none" w:sz="0" w:space="0" w:color="auto"/>
              </w:divBdr>
              <w:divsChild>
                <w:div w:id="1075468587">
                  <w:marLeft w:val="0"/>
                  <w:marRight w:val="0"/>
                  <w:marTop w:val="0"/>
                  <w:marBottom w:val="0"/>
                  <w:divBdr>
                    <w:top w:val="none" w:sz="0" w:space="0" w:color="auto"/>
                    <w:left w:val="none" w:sz="0" w:space="0" w:color="auto"/>
                    <w:bottom w:val="none" w:sz="0" w:space="0" w:color="auto"/>
                    <w:right w:val="none" w:sz="0" w:space="0" w:color="auto"/>
                  </w:divBdr>
                  <w:divsChild>
                    <w:div w:id="372393000">
                      <w:marLeft w:val="0"/>
                      <w:marRight w:val="0"/>
                      <w:marTop w:val="0"/>
                      <w:marBottom w:val="0"/>
                      <w:divBdr>
                        <w:top w:val="none" w:sz="0" w:space="0" w:color="auto"/>
                        <w:left w:val="none" w:sz="0" w:space="0" w:color="auto"/>
                        <w:bottom w:val="none" w:sz="0" w:space="0" w:color="auto"/>
                        <w:right w:val="none" w:sz="0" w:space="0" w:color="auto"/>
                      </w:divBdr>
                      <w:divsChild>
                        <w:div w:id="2128773086">
                          <w:marLeft w:val="0"/>
                          <w:marRight w:val="0"/>
                          <w:marTop w:val="0"/>
                          <w:marBottom w:val="0"/>
                          <w:divBdr>
                            <w:top w:val="none" w:sz="0" w:space="0" w:color="auto"/>
                            <w:left w:val="none" w:sz="0" w:space="0" w:color="auto"/>
                            <w:bottom w:val="none" w:sz="0" w:space="0" w:color="auto"/>
                            <w:right w:val="none" w:sz="0" w:space="0" w:color="auto"/>
                          </w:divBdr>
                          <w:divsChild>
                            <w:div w:id="1790315991">
                              <w:marLeft w:val="0"/>
                              <w:marRight w:val="0"/>
                              <w:marTop w:val="0"/>
                              <w:marBottom w:val="0"/>
                              <w:divBdr>
                                <w:top w:val="none" w:sz="0" w:space="0" w:color="auto"/>
                                <w:left w:val="none" w:sz="0" w:space="0" w:color="auto"/>
                                <w:bottom w:val="none" w:sz="0" w:space="0" w:color="auto"/>
                                <w:right w:val="none" w:sz="0" w:space="0" w:color="auto"/>
                              </w:divBdr>
                              <w:divsChild>
                                <w:div w:id="1364088674">
                                  <w:marLeft w:val="0"/>
                                  <w:marRight w:val="0"/>
                                  <w:marTop w:val="0"/>
                                  <w:marBottom w:val="0"/>
                                  <w:divBdr>
                                    <w:top w:val="none" w:sz="0" w:space="0" w:color="auto"/>
                                    <w:left w:val="none" w:sz="0" w:space="0" w:color="auto"/>
                                    <w:bottom w:val="none" w:sz="0" w:space="0" w:color="auto"/>
                                    <w:right w:val="none" w:sz="0" w:space="0" w:color="auto"/>
                                  </w:divBdr>
                                  <w:divsChild>
                                    <w:div w:id="371930615">
                                      <w:marLeft w:val="0"/>
                                      <w:marRight w:val="0"/>
                                      <w:marTop w:val="0"/>
                                      <w:marBottom w:val="0"/>
                                      <w:divBdr>
                                        <w:top w:val="none" w:sz="0" w:space="0" w:color="auto"/>
                                        <w:left w:val="none" w:sz="0" w:space="0" w:color="auto"/>
                                        <w:bottom w:val="none" w:sz="0" w:space="0" w:color="auto"/>
                                        <w:right w:val="none" w:sz="0" w:space="0" w:color="auto"/>
                                      </w:divBdr>
                                      <w:divsChild>
                                        <w:div w:id="939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164398">
      <w:bodyDiv w:val="1"/>
      <w:marLeft w:val="0"/>
      <w:marRight w:val="0"/>
      <w:marTop w:val="0"/>
      <w:marBottom w:val="0"/>
      <w:divBdr>
        <w:top w:val="none" w:sz="0" w:space="0" w:color="auto"/>
        <w:left w:val="none" w:sz="0" w:space="0" w:color="auto"/>
        <w:bottom w:val="none" w:sz="0" w:space="0" w:color="auto"/>
        <w:right w:val="none" w:sz="0" w:space="0" w:color="auto"/>
      </w:divBdr>
    </w:div>
    <w:div w:id="916744526">
      <w:bodyDiv w:val="1"/>
      <w:marLeft w:val="0"/>
      <w:marRight w:val="0"/>
      <w:marTop w:val="0"/>
      <w:marBottom w:val="0"/>
      <w:divBdr>
        <w:top w:val="none" w:sz="0" w:space="0" w:color="auto"/>
        <w:left w:val="none" w:sz="0" w:space="0" w:color="auto"/>
        <w:bottom w:val="none" w:sz="0" w:space="0" w:color="auto"/>
        <w:right w:val="none" w:sz="0" w:space="0" w:color="auto"/>
      </w:divBdr>
    </w:div>
    <w:div w:id="938607631">
      <w:bodyDiv w:val="1"/>
      <w:marLeft w:val="0"/>
      <w:marRight w:val="0"/>
      <w:marTop w:val="0"/>
      <w:marBottom w:val="0"/>
      <w:divBdr>
        <w:top w:val="none" w:sz="0" w:space="0" w:color="auto"/>
        <w:left w:val="none" w:sz="0" w:space="0" w:color="auto"/>
        <w:bottom w:val="none" w:sz="0" w:space="0" w:color="auto"/>
        <w:right w:val="none" w:sz="0" w:space="0" w:color="auto"/>
      </w:divBdr>
    </w:div>
    <w:div w:id="955214232">
      <w:bodyDiv w:val="1"/>
      <w:marLeft w:val="0"/>
      <w:marRight w:val="0"/>
      <w:marTop w:val="0"/>
      <w:marBottom w:val="0"/>
      <w:divBdr>
        <w:top w:val="none" w:sz="0" w:space="0" w:color="auto"/>
        <w:left w:val="none" w:sz="0" w:space="0" w:color="auto"/>
        <w:bottom w:val="none" w:sz="0" w:space="0" w:color="auto"/>
        <w:right w:val="none" w:sz="0" w:space="0" w:color="auto"/>
      </w:divBdr>
    </w:div>
    <w:div w:id="962343012">
      <w:bodyDiv w:val="1"/>
      <w:marLeft w:val="0"/>
      <w:marRight w:val="0"/>
      <w:marTop w:val="0"/>
      <w:marBottom w:val="0"/>
      <w:divBdr>
        <w:top w:val="none" w:sz="0" w:space="0" w:color="auto"/>
        <w:left w:val="none" w:sz="0" w:space="0" w:color="auto"/>
        <w:bottom w:val="none" w:sz="0" w:space="0" w:color="auto"/>
        <w:right w:val="none" w:sz="0" w:space="0" w:color="auto"/>
      </w:divBdr>
    </w:div>
    <w:div w:id="972636079">
      <w:bodyDiv w:val="1"/>
      <w:marLeft w:val="0"/>
      <w:marRight w:val="0"/>
      <w:marTop w:val="0"/>
      <w:marBottom w:val="0"/>
      <w:divBdr>
        <w:top w:val="none" w:sz="0" w:space="0" w:color="auto"/>
        <w:left w:val="none" w:sz="0" w:space="0" w:color="auto"/>
        <w:bottom w:val="none" w:sz="0" w:space="0" w:color="auto"/>
        <w:right w:val="none" w:sz="0" w:space="0" w:color="auto"/>
      </w:divBdr>
    </w:div>
    <w:div w:id="983579373">
      <w:bodyDiv w:val="1"/>
      <w:marLeft w:val="0"/>
      <w:marRight w:val="0"/>
      <w:marTop w:val="0"/>
      <w:marBottom w:val="0"/>
      <w:divBdr>
        <w:top w:val="none" w:sz="0" w:space="0" w:color="auto"/>
        <w:left w:val="none" w:sz="0" w:space="0" w:color="auto"/>
        <w:bottom w:val="none" w:sz="0" w:space="0" w:color="auto"/>
        <w:right w:val="none" w:sz="0" w:space="0" w:color="auto"/>
      </w:divBdr>
    </w:div>
    <w:div w:id="991711257">
      <w:bodyDiv w:val="1"/>
      <w:marLeft w:val="0"/>
      <w:marRight w:val="0"/>
      <w:marTop w:val="0"/>
      <w:marBottom w:val="0"/>
      <w:divBdr>
        <w:top w:val="none" w:sz="0" w:space="0" w:color="auto"/>
        <w:left w:val="none" w:sz="0" w:space="0" w:color="auto"/>
        <w:bottom w:val="none" w:sz="0" w:space="0" w:color="auto"/>
        <w:right w:val="none" w:sz="0" w:space="0" w:color="auto"/>
      </w:divBdr>
    </w:div>
    <w:div w:id="998734505">
      <w:bodyDiv w:val="1"/>
      <w:marLeft w:val="0"/>
      <w:marRight w:val="0"/>
      <w:marTop w:val="0"/>
      <w:marBottom w:val="0"/>
      <w:divBdr>
        <w:top w:val="none" w:sz="0" w:space="0" w:color="auto"/>
        <w:left w:val="none" w:sz="0" w:space="0" w:color="auto"/>
        <w:bottom w:val="none" w:sz="0" w:space="0" w:color="auto"/>
        <w:right w:val="none" w:sz="0" w:space="0" w:color="auto"/>
      </w:divBdr>
    </w:div>
    <w:div w:id="999964732">
      <w:bodyDiv w:val="1"/>
      <w:marLeft w:val="0"/>
      <w:marRight w:val="0"/>
      <w:marTop w:val="0"/>
      <w:marBottom w:val="0"/>
      <w:divBdr>
        <w:top w:val="none" w:sz="0" w:space="0" w:color="auto"/>
        <w:left w:val="none" w:sz="0" w:space="0" w:color="auto"/>
        <w:bottom w:val="none" w:sz="0" w:space="0" w:color="auto"/>
        <w:right w:val="none" w:sz="0" w:space="0" w:color="auto"/>
      </w:divBdr>
    </w:div>
    <w:div w:id="1016080070">
      <w:bodyDiv w:val="1"/>
      <w:marLeft w:val="0"/>
      <w:marRight w:val="0"/>
      <w:marTop w:val="0"/>
      <w:marBottom w:val="0"/>
      <w:divBdr>
        <w:top w:val="none" w:sz="0" w:space="0" w:color="auto"/>
        <w:left w:val="none" w:sz="0" w:space="0" w:color="auto"/>
        <w:bottom w:val="none" w:sz="0" w:space="0" w:color="auto"/>
        <w:right w:val="none" w:sz="0" w:space="0" w:color="auto"/>
      </w:divBdr>
    </w:div>
    <w:div w:id="1017929572">
      <w:bodyDiv w:val="1"/>
      <w:marLeft w:val="0"/>
      <w:marRight w:val="0"/>
      <w:marTop w:val="0"/>
      <w:marBottom w:val="0"/>
      <w:divBdr>
        <w:top w:val="none" w:sz="0" w:space="0" w:color="auto"/>
        <w:left w:val="none" w:sz="0" w:space="0" w:color="auto"/>
        <w:bottom w:val="none" w:sz="0" w:space="0" w:color="auto"/>
        <w:right w:val="none" w:sz="0" w:space="0" w:color="auto"/>
      </w:divBdr>
    </w:div>
    <w:div w:id="1020008811">
      <w:bodyDiv w:val="1"/>
      <w:marLeft w:val="0"/>
      <w:marRight w:val="0"/>
      <w:marTop w:val="0"/>
      <w:marBottom w:val="0"/>
      <w:divBdr>
        <w:top w:val="none" w:sz="0" w:space="0" w:color="auto"/>
        <w:left w:val="none" w:sz="0" w:space="0" w:color="auto"/>
        <w:bottom w:val="none" w:sz="0" w:space="0" w:color="auto"/>
        <w:right w:val="none" w:sz="0" w:space="0" w:color="auto"/>
      </w:divBdr>
    </w:div>
    <w:div w:id="1025208077">
      <w:bodyDiv w:val="1"/>
      <w:marLeft w:val="0"/>
      <w:marRight w:val="0"/>
      <w:marTop w:val="0"/>
      <w:marBottom w:val="0"/>
      <w:divBdr>
        <w:top w:val="none" w:sz="0" w:space="0" w:color="auto"/>
        <w:left w:val="none" w:sz="0" w:space="0" w:color="auto"/>
        <w:bottom w:val="none" w:sz="0" w:space="0" w:color="auto"/>
        <w:right w:val="none" w:sz="0" w:space="0" w:color="auto"/>
      </w:divBdr>
    </w:div>
    <w:div w:id="1065687250">
      <w:bodyDiv w:val="1"/>
      <w:marLeft w:val="0"/>
      <w:marRight w:val="0"/>
      <w:marTop w:val="0"/>
      <w:marBottom w:val="0"/>
      <w:divBdr>
        <w:top w:val="none" w:sz="0" w:space="0" w:color="auto"/>
        <w:left w:val="none" w:sz="0" w:space="0" w:color="auto"/>
        <w:bottom w:val="none" w:sz="0" w:space="0" w:color="auto"/>
        <w:right w:val="none" w:sz="0" w:space="0" w:color="auto"/>
      </w:divBdr>
    </w:div>
    <w:div w:id="1085956220">
      <w:bodyDiv w:val="1"/>
      <w:marLeft w:val="0"/>
      <w:marRight w:val="0"/>
      <w:marTop w:val="0"/>
      <w:marBottom w:val="0"/>
      <w:divBdr>
        <w:top w:val="none" w:sz="0" w:space="0" w:color="auto"/>
        <w:left w:val="none" w:sz="0" w:space="0" w:color="auto"/>
        <w:bottom w:val="none" w:sz="0" w:space="0" w:color="auto"/>
        <w:right w:val="none" w:sz="0" w:space="0" w:color="auto"/>
      </w:divBdr>
    </w:div>
    <w:div w:id="1099176490">
      <w:bodyDiv w:val="1"/>
      <w:marLeft w:val="0"/>
      <w:marRight w:val="0"/>
      <w:marTop w:val="0"/>
      <w:marBottom w:val="0"/>
      <w:divBdr>
        <w:top w:val="none" w:sz="0" w:space="0" w:color="auto"/>
        <w:left w:val="none" w:sz="0" w:space="0" w:color="auto"/>
        <w:bottom w:val="none" w:sz="0" w:space="0" w:color="auto"/>
        <w:right w:val="none" w:sz="0" w:space="0" w:color="auto"/>
      </w:divBdr>
    </w:div>
    <w:div w:id="1101147187">
      <w:bodyDiv w:val="1"/>
      <w:marLeft w:val="0"/>
      <w:marRight w:val="0"/>
      <w:marTop w:val="0"/>
      <w:marBottom w:val="0"/>
      <w:divBdr>
        <w:top w:val="none" w:sz="0" w:space="0" w:color="auto"/>
        <w:left w:val="none" w:sz="0" w:space="0" w:color="auto"/>
        <w:bottom w:val="none" w:sz="0" w:space="0" w:color="auto"/>
        <w:right w:val="none" w:sz="0" w:space="0" w:color="auto"/>
      </w:divBdr>
    </w:div>
    <w:div w:id="1114247384">
      <w:bodyDiv w:val="1"/>
      <w:marLeft w:val="0"/>
      <w:marRight w:val="0"/>
      <w:marTop w:val="0"/>
      <w:marBottom w:val="0"/>
      <w:divBdr>
        <w:top w:val="none" w:sz="0" w:space="0" w:color="auto"/>
        <w:left w:val="none" w:sz="0" w:space="0" w:color="auto"/>
        <w:bottom w:val="none" w:sz="0" w:space="0" w:color="auto"/>
        <w:right w:val="none" w:sz="0" w:space="0" w:color="auto"/>
      </w:divBdr>
    </w:div>
    <w:div w:id="1125153122">
      <w:bodyDiv w:val="1"/>
      <w:marLeft w:val="0"/>
      <w:marRight w:val="0"/>
      <w:marTop w:val="0"/>
      <w:marBottom w:val="0"/>
      <w:divBdr>
        <w:top w:val="none" w:sz="0" w:space="0" w:color="auto"/>
        <w:left w:val="none" w:sz="0" w:space="0" w:color="auto"/>
        <w:bottom w:val="none" w:sz="0" w:space="0" w:color="auto"/>
        <w:right w:val="none" w:sz="0" w:space="0" w:color="auto"/>
      </w:divBdr>
    </w:div>
    <w:div w:id="1136987159">
      <w:bodyDiv w:val="1"/>
      <w:marLeft w:val="0"/>
      <w:marRight w:val="0"/>
      <w:marTop w:val="0"/>
      <w:marBottom w:val="0"/>
      <w:divBdr>
        <w:top w:val="none" w:sz="0" w:space="0" w:color="auto"/>
        <w:left w:val="none" w:sz="0" w:space="0" w:color="auto"/>
        <w:bottom w:val="none" w:sz="0" w:space="0" w:color="auto"/>
        <w:right w:val="none" w:sz="0" w:space="0" w:color="auto"/>
      </w:divBdr>
    </w:div>
    <w:div w:id="1166441004">
      <w:bodyDiv w:val="1"/>
      <w:marLeft w:val="0"/>
      <w:marRight w:val="0"/>
      <w:marTop w:val="0"/>
      <w:marBottom w:val="0"/>
      <w:divBdr>
        <w:top w:val="none" w:sz="0" w:space="0" w:color="auto"/>
        <w:left w:val="none" w:sz="0" w:space="0" w:color="auto"/>
        <w:bottom w:val="none" w:sz="0" w:space="0" w:color="auto"/>
        <w:right w:val="none" w:sz="0" w:space="0" w:color="auto"/>
      </w:divBdr>
    </w:div>
    <w:div w:id="1179006279">
      <w:bodyDiv w:val="1"/>
      <w:marLeft w:val="0"/>
      <w:marRight w:val="0"/>
      <w:marTop w:val="0"/>
      <w:marBottom w:val="0"/>
      <w:divBdr>
        <w:top w:val="none" w:sz="0" w:space="0" w:color="auto"/>
        <w:left w:val="none" w:sz="0" w:space="0" w:color="auto"/>
        <w:bottom w:val="none" w:sz="0" w:space="0" w:color="auto"/>
        <w:right w:val="none" w:sz="0" w:space="0" w:color="auto"/>
      </w:divBdr>
    </w:div>
    <w:div w:id="1188985557">
      <w:bodyDiv w:val="1"/>
      <w:marLeft w:val="0"/>
      <w:marRight w:val="0"/>
      <w:marTop w:val="0"/>
      <w:marBottom w:val="0"/>
      <w:divBdr>
        <w:top w:val="none" w:sz="0" w:space="0" w:color="auto"/>
        <w:left w:val="none" w:sz="0" w:space="0" w:color="auto"/>
        <w:bottom w:val="none" w:sz="0" w:space="0" w:color="auto"/>
        <w:right w:val="none" w:sz="0" w:space="0" w:color="auto"/>
      </w:divBdr>
    </w:div>
    <w:div w:id="1196233561">
      <w:bodyDiv w:val="1"/>
      <w:marLeft w:val="0"/>
      <w:marRight w:val="0"/>
      <w:marTop w:val="0"/>
      <w:marBottom w:val="0"/>
      <w:divBdr>
        <w:top w:val="none" w:sz="0" w:space="0" w:color="auto"/>
        <w:left w:val="none" w:sz="0" w:space="0" w:color="auto"/>
        <w:bottom w:val="none" w:sz="0" w:space="0" w:color="auto"/>
        <w:right w:val="none" w:sz="0" w:space="0" w:color="auto"/>
      </w:divBdr>
    </w:div>
    <w:div w:id="1202744569">
      <w:bodyDiv w:val="1"/>
      <w:marLeft w:val="0"/>
      <w:marRight w:val="0"/>
      <w:marTop w:val="0"/>
      <w:marBottom w:val="0"/>
      <w:divBdr>
        <w:top w:val="none" w:sz="0" w:space="0" w:color="auto"/>
        <w:left w:val="none" w:sz="0" w:space="0" w:color="auto"/>
        <w:bottom w:val="none" w:sz="0" w:space="0" w:color="auto"/>
        <w:right w:val="none" w:sz="0" w:space="0" w:color="auto"/>
      </w:divBdr>
    </w:div>
    <w:div w:id="1217861855">
      <w:bodyDiv w:val="1"/>
      <w:marLeft w:val="0"/>
      <w:marRight w:val="0"/>
      <w:marTop w:val="0"/>
      <w:marBottom w:val="0"/>
      <w:divBdr>
        <w:top w:val="none" w:sz="0" w:space="0" w:color="auto"/>
        <w:left w:val="none" w:sz="0" w:space="0" w:color="auto"/>
        <w:bottom w:val="none" w:sz="0" w:space="0" w:color="auto"/>
        <w:right w:val="none" w:sz="0" w:space="0" w:color="auto"/>
      </w:divBdr>
    </w:div>
    <w:div w:id="1238784847">
      <w:bodyDiv w:val="1"/>
      <w:marLeft w:val="0"/>
      <w:marRight w:val="0"/>
      <w:marTop w:val="0"/>
      <w:marBottom w:val="0"/>
      <w:divBdr>
        <w:top w:val="none" w:sz="0" w:space="0" w:color="auto"/>
        <w:left w:val="none" w:sz="0" w:space="0" w:color="auto"/>
        <w:bottom w:val="none" w:sz="0" w:space="0" w:color="auto"/>
        <w:right w:val="none" w:sz="0" w:space="0" w:color="auto"/>
      </w:divBdr>
    </w:div>
    <w:div w:id="1241259828">
      <w:bodyDiv w:val="1"/>
      <w:marLeft w:val="0"/>
      <w:marRight w:val="0"/>
      <w:marTop w:val="0"/>
      <w:marBottom w:val="0"/>
      <w:divBdr>
        <w:top w:val="none" w:sz="0" w:space="0" w:color="auto"/>
        <w:left w:val="none" w:sz="0" w:space="0" w:color="auto"/>
        <w:bottom w:val="none" w:sz="0" w:space="0" w:color="auto"/>
        <w:right w:val="none" w:sz="0" w:space="0" w:color="auto"/>
      </w:divBdr>
    </w:div>
    <w:div w:id="1241451378">
      <w:bodyDiv w:val="1"/>
      <w:marLeft w:val="0"/>
      <w:marRight w:val="0"/>
      <w:marTop w:val="0"/>
      <w:marBottom w:val="0"/>
      <w:divBdr>
        <w:top w:val="none" w:sz="0" w:space="0" w:color="auto"/>
        <w:left w:val="none" w:sz="0" w:space="0" w:color="auto"/>
        <w:bottom w:val="none" w:sz="0" w:space="0" w:color="auto"/>
        <w:right w:val="none" w:sz="0" w:space="0" w:color="auto"/>
      </w:divBdr>
    </w:div>
    <w:div w:id="1241718694">
      <w:bodyDiv w:val="1"/>
      <w:marLeft w:val="0"/>
      <w:marRight w:val="0"/>
      <w:marTop w:val="0"/>
      <w:marBottom w:val="0"/>
      <w:divBdr>
        <w:top w:val="none" w:sz="0" w:space="0" w:color="auto"/>
        <w:left w:val="none" w:sz="0" w:space="0" w:color="auto"/>
        <w:bottom w:val="none" w:sz="0" w:space="0" w:color="auto"/>
        <w:right w:val="none" w:sz="0" w:space="0" w:color="auto"/>
      </w:divBdr>
    </w:div>
    <w:div w:id="1257979895">
      <w:bodyDiv w:val="1"/>
      <w:marLeft w:val="0"/>
      <w:marRight w:val="0"/>
      <w:marTop w:val="0"/>
      <w:marBottom w:val="0"/>
      <w:divBdr>
        <w:top w:val="none" w:sz="0" w:space="0" w:color="auto"/>
        <w:left w:val="none" w:sz="0" w:space="0" w:color="auto"/>
        <w:bottom w:val="none" w:sz="0" w:space="0" w:color="auto"/>
        <w:right w:val="none" w:sz="0" w:space="0" w:color="auto"/>
      </w:divBdr>
    </w:div>
    <w:div w:id="1259216374">
      <w:bodyDiv w:val="1"/>
      <w:marLeft w:val="0"/>
      <w:marRight w:val="0"/>
      <w:marTop w:val="0"/>
      <w:marBottom w:val="0"/>
      <w:divBdr>
        <w:top w:val="none" w:sz="0" w:space="0" w:color="auto"/>
        <w:left w:val="none" w:sz="0" w:space="0" w:color="auto"/>
        <w:bottom w:val="none" w:sz="0" w:space="0" w:color="auto"/>
        <w:right w:val="none" w:sz="0" w:space="0" w:color="auto"/>
      </w:divBdr>
    </w:div>
    <w:div w:id="1260942614">
      <w:bodyDiv w:val="1"/>
      <w:marLeft w:val="0"/>
      <w:marRight w:val="0"/>
      <w:marTop w:val="0"/>
      <w:marBottom w:val="0"/>
      <w:divBdr>
        <w:top w:val="none" w:sz="0" w:space="0" w:color="auto"/>
        <w:left w:val="none" w:sz="0" w:space="0" w:color="auto"/>
        <w:bottom w:val="none" w:sz="0" w:space="0" w:color="auto"/>
        <w:right w:val="none" w:sz="0" w:space="0" w:color="auto"/>
      </w:divBdr>
    </w:div>
    <w:div w:id="1267226156">
      <w:bodyDiv w:val="1"/>
      <w:marLeft w:val="0"/>
      <w:marRight w:val="0"/>
      <w:marTop w:val="0"/>
      <w:marBottom w:val="0"/>
      <w:divBdr>
        <w:top w:val="none" w:sz="0" w:space="0" w:color="auto"/>
        <w:left w:val="none" w:sz="0" w:space="0" w:color="auto"/>
        <w:bottom w:val="none" w:sz="0" w:space="0" w:color="auto"/>
        <w:right w:val="none" w:sz="0" w:space="0" w:color="auto"/>
      </w:divBdr>
    </w:div>
    <w:div w:id="1283731448">
      <w:bodyDiv w:val="1"/>
      <w:marLeft w:val="0"/>
      <w:marRight w:val="0"/>
      <w:marTop w:val="0"/>
      <w:marBottom w:val="0"/>
      <w:divBdr>
        <w:top w:val="none" w:sz="0" w:space="0" w:color="auto"/>
        <w:left w:val="none" w:sz="0" w:space="0" w:color="auto"/>
        <w:bottom w:val="none" w:sz="0" w:space="0" w:color="auto"/>
        <w:right w:val="none" w:sz="0" w:space="0" w:color="auto"/>
      </w:divBdr>
    </w:div>
    <w:div w:id="1284727979">
      <w:bodyDiv w:val="1"/>
      <w:marLeft w:val="0"/>
      <w:marRight w:val="0"/>
      <w:marTop w:val="0"/>
      <w:marBottom w:val="0"/>
      <w:divBdr>
        <w:top w:val="none" w:sz="0" w:space="0" w:color="auto"/>
        <w:left w:val="none" w:sz="0" w:space="0" w:color="auto"/>
        <w:bottom w:val="none" w:sz="0" w:space="0" w:color="auto"/>
        <w:right w:val="none" w:sz="0" w:space="0" w:color="auto"/>
      </w:divBdr>
      <w:divsChild>
        <w:div w:id="625896382">
          <w:blockQuote w:val="1"/>
          <w:marLeft w:val="600"/>
          <w:marRight w:val="0"/>
          <w:marTop w:val="0"/>
          <w:marBottom w:val="0"/>
          <w:divBdr>
            <w:top w:val="none" w:sz="0" w:space="0" w:color="auto"/>
            <w:left w:val="none" w:sz="0" w:space="0" w:color="auto"/>
            <w:bottom w:val="none" w:sz="0" w:space="0" w:color="auto"/>
            <w:right w:val="none" w:sz="0" w:space="0" w:color="auto"/>
          </w:divBdr>
        </w:div>
        <w:div w:id="2146895490">
          <w:blockQuote w:val="1"/>
          <w:marLeft w:val="600"/>
          <w:marRight w:val="0"/>
          <w:marTop w:val="0"/>
          <w:marBottom w:val="0"/>
          <w:divBdr>
            <w:top w:val="none" w:sz="0" w:space="0" w:color="auto"/>
            <w:left w:val="none" w:sz="0" w:space="0" w:color="auto"/>
            <w:bottom w:val="none" w:sz="0" w:space="0" w:color="auto"/>
            <w:right w:val="none" w:sz="0" w:space="0" w:color="auto"/>
          </w:divBdr>
        </w:div>
        <w:div w:id="734819468">
          <w:blockQuote w:val="1"/>
          <w:marLeft w:val="600"/>
          <w:marRight w:val="0"/>
          <w:marTop w:val="0"/>
          <w:marBottom w:val="0"/>
          <w:divBdr>
            <w:top w:val="none" w:sz="0" w:space="0" w:color="auto"/>
            <w:left w:val="none" w:sz="0" w:space="0" w:color="auto"/>
            <w:bottom w:val="none" w:sz="0" w:space="0" w:color="auto"/>
            <w:right w:val="none" w:sz="0" w:space="0" w:color="auto"/>
          </w:divBdr>
        </w:div>
        <w:div w:id="1363092478">
          <w:blockQuote w:val="1"/>
          <w:marLeft w:val="600"/>
          <w:marRight w:val="0"/>
          <w:marTop w:val="0"/>
          <w:marBottom w:val="0"/>
          <w:divBdr>
            <w:top w:val="none" w:sz="0" w:space="0" w:color="auto"/>
            <w:left w:val="none" w:sz="0" w:space="0" w:color="auto"/>
            <w:bottom w:val="none" w:sz="0" w:space="0" w:color="auto"/>
            <w:right w:val="none" w:sz="0" w:space="0" w:color="auto"/>
          </w:divBdr>
        </w:div>
        <w:div w:id="121847176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92663352">
      <w:bodyDiv w:val="1"/>
      <w:marLeft w:val="0"/>
      <w:marRight w:val="0"/>
      <w:marTop w:val="0"/>
      <w:marBottom w:val="0"/>
      <w:divBdr>
        <w:top w:val="none" w:sz="0" w:space="0" w:color="auto"/>
        <w:left w:val="none" w:sz="0" w:space="0" w:color="auto"/>
        <w:bottom w:val="none" w:sz="0" w:space="0" w:color="auto"/>
        <w:right w:val="none" w:sz="0" w:space="0" w:color="auto"/>
      </w:divBdr>
    </w:div>
    <w:div w:id="1293556291">
      <w:bodyDiv w:val="1"/>
      <w:marLeft w:val="0"/>
      <w:marRight w:val="0"/>
      <w:marTop w:val="0"/>
      <w:marBottom w:val="0"/>
      <w:divBdr>
        <w:top w:val="none" w:sz="0" w:space="0" w:color="auto"/>
        <w:left w:val="none" w:sz="0" w:space="0" w:color="auto"/>
        <w:bottom w:val="none" w:sz="0" w:space="0" w:color="auto"/>
        <w:right w:val="none" w:sz="0" w:space="0" w:color="auto"/>
      </w:divBdr>
    </w:div>
    <w:div w:id="1320158423">
      <w:bodyDiv w:val="1"/>
      <w:marLeft w:val="0"/>
      <w:marRight w:val="0"/>
      <w:marTop w:val="0"/>
      <w:marBottom w:val="0"/>
      <w:divBdr>
        <w:top w:val="none" w:sz="0" w:space="0" w:color="auto"/>
        <w:left w:val="none" w:sz="0" w:space="0" w:color="auto"/>
        <w:bottom w:val="none" w:sz="0" w:space="0" w:color="auto"/>
        <w:right w:val="none" w:sz="0" w:space="0" w:color="auto"/>
      </w:divBdr>
    </w:div>
    <w:div w:id="1332830260">
      <w:bodyDiv w:val="1"/>
      <w:marLeft w:val="0"/>
      <w:marRight w:val="0"/>
      <w:marTop w:val="0"/>
      <w:marBottom w:val="0"/>
      <w:divBdr>
        <w:top w:val="none" w:sz="0" w:space="0" w:color="auto"/>
        <w:left w:val="none" w:sz="0" w:space="0" w:color="auto"/>
        <w:bottom w:val="none" w:sz="0" w:space="0" w:color="auto"/>
        <w:right w:val="none" w:sz="0" w:space="0" w:color="auto"/>
      </w:divBdr>
    </w:div>
    <w:div w:id="1345547166">
      <w:bodyDiv w:val="1"/>
      <w:marLeft w:val="0"/>
      <w:marRight w:val="0"/>
      <w:marTop w:val="0"/>
      <w:marBottom w:val="0"/>
      <w:divBdr>
        <w:top w:val="none" w:sz="0" w:space="0" w:color="auto"/>
        <w:left w:val="none" w:sz="0" w:space="0" w:color="auto"/>
        <w:bottom w:val="none" w:sz="0" w:space="0" w:color="auto"/>
        <w:right w:val="none" w:sz="0" w:space="0" w:color="auto"/>
      </w:divBdr>
    </w:div>
    <w:div w:id="1352605904">
      <w:bodyDiv w:val="1"/>
      <w:marLeft w:val="0"/>
      <w:marRight w:val="0"/>
      <w:marTop w:val="0"/>
      <w:marBottom w:val="0"/>
      <w:divBdr>
        <w:top w:val="none" w:sz="0" w:space="0" w:color="auto"/>
        <w:left w:val="none" w:sz="0" w:space="0" w:color="auto"/>
        <w:bottom w:val="none" w:sz="0" w:space="0" w:color="auto"/>
        <w:right w:val="none" w:sz="0" w:space="0" w:color="auto"/>
      </w:divBdr>
    </w:div>
    <w:div w:id="1356612138">
      <w:bodyDiv w:val="1"/>
      <w:marLeft w:val="0"/>
      <w:marRight w:val="0"/>
      <w:marTop w:val="0"/>
      <w:marBottom w:val="0"/>
      <w:divBdr>
        <w:top w:val="none" w:sz="0" w:space="0" w:color="auto"/>
        <w:left w:val="none" w:sz="0" w:space="0" w:color="auto"/>
        <w:bottom w:val="none" w:sz="0" w:space="0" w:color="auto"/>
        <w:right w:val="none" w:sz="0" w:space="0" w:color="auto"/>
      </w:divBdr>
    </w:div>
    <w:div w:id="1361935905">
      <w:bodyDiv w:val="1"/>
      <w:marLeft w:val="0"/>
      <w:marRight w:val="0"/>
      <w:marTop w:val="0"/>
      <w:marBottom w:val="0"/>
      <w:divBdr>
        <w:top w:val="none" w:sz="0" w:space="0" w:color="auto"/>
        <w:left w:val="none" w:sz="0" w:space="0" w:color="auto"/>
        <w:bottom w:val="none" w:sz="0" w:space="0" w:color="auto"/>
        <w:right w:val="none" w:sz="0" w:space="0" w:color="auto"/>
      </w:divBdr>
    </w:div>
    <w:div w:id="1372609641">
      <w:bodyDiv w:val="1"/>
      <w:marLeft w:val="0"/>
      <w:marRight w:val="0"/>
      <w:marTop w:val="0"/>
      <w:marBottom w:val="0"/>
      <w:divBdr>
        <w:top w:val="none" w:sz="0" w:space="0" w:color="auto"/>
        <w:left w:val="none" w:sz="0" w:space="0" w:color="auto"/>
        <w:bottom w:val="none" w:sz="0" w:space="0" w:color="auto"/>
        <w:right w:val="none" w:sz="0" w:space="0" w:color="auto"/>
      </w:divBdr>
    </w:div>
    <w:div w:id="1382629121">
      <w:bodyDiv w:val="1"/>
      <w:marLeft w:val="0"/>
      <w:marRight w:val="0"/>
      <w:marTop w:val="0"/>
      <w:marBottom w:val="0"/>
      <w:divBdr>
        <w:top w:val="none" w:sz="0" w:space="0" w:color="auto"/>
        <w:left w:val="none" w:sz="0" w:space="0" w:color="auto"/>
        <w:bottom w:val="none" w:sz="0" w:space="0" w:color="auto"/>
        <w:right w:val="none" w:sz="0" w:space="0" w:color="auto"/>
      </w:divBdr>
    </w:div>
    <w:div w:id="1389839203">
      <w:bodyDiv w:val="1"/>
      <w:marLeft w:val="0"/>
      <w:marRight w:val="0"/>
      <w:marTop w:val="0"/>
      <w:marBottom w:val="0"/>
      <w:divBdr>
        <w:top w:val="none" w:sz="0" w:space="0" w:color="auto"/>
        <w:left w:val="none" w:sz="0" w:space="0" w:color="auto"/>
        <w:bottom w:val="none" w:sz="0" w:space="0" w:color="auto"/>
        <w:right w:val="none" w:sz="0" w:space="0" w:color="auto"/>
      </w:divBdr>
    </w:div>
    <w:div w:id="1397315284">
      <w:bodyDiv w:val="1"/>
      <w:marLeft w:val="0"/>
      <w:marRight w:val="0"/>
      <w:marTop w:val="0"/>
      <w:marBottom w:val="0"/>
      <w:divBdr>
        <w:top w:val="none" w:sz="0" w:space="0" w:color="auto"/>
        <w:left w:val="none" w:sz="0" w:space="0" w:color="auto"/>
        <w:bottom w:val="none" w:sz="0" w:space="0" w:color="auto"/>
        <w:right w:val="none" w:sz="0" w:space="0" w:color="auto"/>
      </w:divBdr>
    </w:div>
    <w:div w:id="1398626563">
      <w:bodyDiv w:val="1"/>
      <w:marLeft w:val="0"/>
      <w:marRight w:val="0"/>
      <w:marTop w:val="0"/>
      <w:marBottom w:val="0"/>
      <w:divBdr>
        <w:top w:val="none" w:sz="0" w:space="0" w:color="auto"/>
        <w:left w:val="none" w:sz="0" w:space="0" w:color="auto"/>
        <w:bottom w:val="none" w:sz="0" w:space="0" w:color="auto"/>
        <w:right w:val="none" w:sz="0" w:space="0" w:color="auto"/>
      </w:divBdr>
    </w:div>
    <w:div w:id="1400782208">
      <w:bodyDiv w:val="1"/>
      <w:marLeft w:val="0"/>
      <w:marRight w:val="0"/>
      <w:marTop w:val="0"/>
      <w:marBottom w:val="0"/>
      <w:divBdr>
        <w:top w:val="none" w:sz="0" w:space="0" w:color="auto"/>
        <w:left w:val="none" w:sz="0" w:space="0" w:color="auto"/>
        <w:bottom w:val="none" w:sz="0" w:space="0" w:color="auto"/>
        <w:right w:val="none" w:sz="0" w:space="0" w:color="auto"/>
      </w:divBdr>
    </w:div>
    <w:div w:id="1402944640">
      <w:bodyDiv w:val="1"/>
      <w:marLeft w:val="0"/>
      <w:marRight w:val="0"/>
      <w:marTop w:val="0"/>
      <w:marBottom w:val="0"/>
      <w:divBdr>
        <w:top w:val="none" w:sz="0" w:space="0" w:color="auto"/>
        <w:left w:val="none" w:sz="0" w:space="0" w:color="auto"/>
        <w:bottom w:val="none" w:sz="0" w:space="0" w:color="auto"/>
        <w:right w:val="none" w:sz="0" w:space="0" w:color="auto"/>
      </w:divBdr>
    </w:div>
    <w:div w:id="1403795744">
      <w:bodyDiv w:val="1"/>
      <w:marLeft w:val="0"/>
      <w:marRight w:val="0"/>
      <w:marTop w:val="0"/>
      <w:marBottom w:val="0"/>
      <w:divBdr>
        <w:top w:val="none" w:sz="0" w:space="0" w:color="auto"/>
        <w:left w:val="none" w:sz="0" w:space="0" w:color="auto"/>
        <w:bottom w:val="none" w:sz="0" w:space="0" w:color="auto"/>
        <w:right w:val="none" w:sz="0" w:space="0" w:color="auto"/>
      </w:divBdr>
    </w:div>
    <w:div w:id="1407145992">
      <w:bodyDiv w:val="1"/>
      <w:marLeft w:val="0"/>
      <w:marRight w:val="0"/>
      <w:marTop w:val="0"/>
      <w:marBottom w:val="0"/>
      <w:divBdr>
        <w:top w:val="none" w:sz="0" w:space="0" w:color="auto"/>
        <w:left w:val="none" w:sz="0" w:space="0" w:color="auto"/>
        <w:bottom w:val="none" w:sz="0" w:space="0" w:color="auto"/>
        <w:right w:val="none" w:sz="0" w:space="0" w:color="auto"/>
      </w:divBdr>
    </w:div>
    <w:div w:id="1416786593">
      <w:bodyDiv w:val="1"/>
      <w:marLeft w:val="0"/>
      <w:marRight w:val="0"/>
      <w:marTop w:val="0"/>
      <w:marBottom w:val="0"/>
      <w:divBdr>
        <w:top w:val="none" w:sz="0" w:space="0" w:color="auto"/>
        <w:left w:val="none" w:sz="0" w:space="0" w:color="auto"/>
        <w:bottom w:val="none" w:sz="0" w:space="0" w:color="auto"/>
        <w:right w:val="none" w:sz="0" w:space="0" w:color="auto"/>
      </w:divBdr>
    </w:div>
    <w:div w:id="1424298198">
      <w:bodyDiv w:val="1"/>
      <w:marLeft w:val="0"/>
      <w:marRight w:val="0"/>
      <w:marTop w:val="0"/>
      <w:marBottom w:val="0"/>
      <w:divBdr>
        <w:top w:val="none" w:sz="0" w:space="0" w:color="auto"/>
        <w:left w:val="none" w:sz="0" w:space="0" w:color="auto"/>
        <w:bottom w:val="none" w:sz="0" w:space="0" w:color="auto"/>
        <w:right w:val="none" w:sz="0" w:space="0" w:color="auto"/>
      </w:divBdr>
    </w:div>
    <w:div w:id="1428693200">
      <w:bodyDiv w:val="1"/>
      <w:marLeft w:val="0"/>
      <w:marRight w:val="0"/>
      <w:marTop w:val="0"/>
      <w:marBottom w:val="0"/>
      <w:divBdr>
        <w:top w:val="none" w:sz="0" w:space="0" w:color="auto"/>
        <w:left w:val="none" w:sz="0" w:space="0" w:color="auto"/>
        <w:bottom w:val="none" w:sz="0" w:space="0" w:color="auto"/>
        <w:right w:val="none" w:sz="0" w:space="0" w:color="auto"/>
      </w:divBdr>
    </w:div>
    <w:div w:id="1466586805">
      <w:bodyDiv w:val="1"/>
      <w:marLeft w:val="0"/>
      <w:marRight w:val="0"/>
      <w:marTop w:val="0"/>
      <w:marBottom w:val="0"/>
      <w:divBdr>
        <w:top w:val="none" w:sz="0" w:space="0" w:color="auto"/>
        <w:left w:val="none" w:sz="0" w:space="0" w:color="auto"/>
        <w:bottom w:val="none" w:sz="0" w:space="0" w:color="auto"/>
        <w:right w:val="none" w:sz="0" w:space="0" w:color="auto"/>
      </w:divBdr>
    </w:div>
    <w:div w:id="1469710442">
      <w:bodyDiv w:val="1"/>
      <w:marLeft w:val="0"/>
      <w:marRight w:val="0"/>
      <w:marTop w:val="0"/>
      <w:marBottom w:val="0"/>
      <w:divBdr>
        <w:top w:val="none" w:sz="0" w:space="0" w:color="auto"/>
        <w:left w:val="none" w:sz="0" w:space="0" w:color="auto"/>
        <w:bottom w:val="none" w:sz="0" w:space="0" w:color="auto"/>
        <w:right w:val="none" w:sz="0" w:space="0" w:color="auto"/>
      </w:divBdr>
    </w:div>
    <w:div w:id="1475102084">
      <w:bodyDiv w:val="1"/>
      <w:marLeft w:val="0"/>
      <w:marRight w:val="0"/>
      <w:marTop w:val="0"/>
      <w:marBottom w:val="0"/>
      <w:divBdr>
        <w:top w:val="none" w:sz="0" w:space="0" w:color="auto"/>
        <w:left w:val="none" w:sz="0" w:space="0" w:color="auto"/>
        <w:bottom w:val="none" w:sz="0" w:space="0" w:color="auto"/>
        <w:right w:val="none" w:sz="0" w:space="0" w:color="auto"/>
      </w:divBdr>
    </w:div>
    <w:div w:id="1495024727">
      <w:bodyDiv w:val="1"/>
      <w:marLeft w:val="0"/>
      <w:marRight w:val="0"/>
      <w:marTop w:val="0"/>
      <w:marBottom w:val="0"/>
      <w:divBdr>
        <w:top w:val="none" w:sz="0" w:space="0" w:color="auto"/>
        <w:left w:val="none" w:sz="0" w:space="0" w:color="auto"/>
        <w:bottom w:val="none" w:sz="0" w:space="0" w:color="auto"/>
        <w:right w:val="none" w:sz="0" w:space="0" w:color="auto"/>
      </w:divBdr>
    </w:div>
    <w:div w:id="1495605233">
      <w:bodyDiv w:val="1"/>
      <w:marLeft w:val="0"/>
      <w:marRight w:val="0"/>
      <w:marTop w:val="0"/>
      <w:marBottom w:val="0"/>
      <w:divBdr>
        <w:top w:val="none" w:sz="0" w:space="0" w:color="auto"/>
        <w:left w:val="none" w:sz="0" w:space="0" w:color="auto"/>
        <w:bottom w:val="none" w:sz="0" w:space="0" w:color="auto"/>
        <w:right w:val="none" w:sz="0" w:space="0" w:color="auto"/>
      </w:divBdr>
    </w:div>
    <w:div w:id="1499267346">
      <w:bodyDiv w:val="1"/>
      <w:marLeft w:val="0"/>
      <w:marRight w:val="0"/>
      <w:marTop w:val="0"/>
      <w:marBottom w:val="0"/>
      <w:divBdr>
        <w:top w:val="none" w:sz="0" w:space="0" w:color="auto"/>
        <w:left w:val="none" w:sz="0" w:space="0" w:color="auto"/>
        <w:bottom w:val="none" w:sz="0" w:space="0" w:color="auto"/>
        <w:right w:val="none" w:sz="0" w:space="0" w:color="auto"/>
      </w:divBdr>
    </w:div>
    <w:div w:id="1522819096">
      <w:bodyDiv w:val="1"/>
      <w:marLeft w:val="0"/>
      <w:marRight w:val="0"/>
      <w:marTop w:val="0"/>
      <w:marBottom w:val="0"/>
      <w:divBdr>
        <w:top w:val="none" w:sz="0" w:space="0" w:color="auto"/>
        <w:left w:val="none" w:sz="0" w:space="0" w:color="auto"/>
        <w:bottom w:val="none" w:sz="0" w:space="0" w:color="auto"/>
        <w:right w:val="none" w:sz="0" w:space="0" w:color="auto"/>
      </w:divBdr>
    </w:div>
    <w:div w:id="1524904446">
      <w:bodyDiv w:val="1"/>
      <w:marLeft w:val="0"/>
      <w:marRight w:val="0"/>
      <w:marTop w:val="0"/>
      <w:marBottom w:val="0"/>
      <w:divBdr>
        <w:top w:val="none" w:sz="0" w:space="0" w:color="auto"/>
        <w:left w:val="none" w:sz="0" w:space="0" w:color="auto"/>
        <w:bottom w:val="none" w:sz="0" w:space="0" w:color="auto"/>
        <w:right w:val="none" w:sz="0" w:space="0" w:color="auto"/>
      </w:divBdr>
    </w:div>
    <w:div w:id="1533345907">
      <w:bodyDiv w:val="1"/>
      <w:marLeft w:val="0"/>
      <w:marRight w:val="0"/>
      <w:marTop w:val="0"/>
      <w:marBottom w:val="0"/>
      <w:divBdr>
        <w:top w:val="none" w:sz="0" w:space="0" w:color="auto"/>
        <w:left w:val="none" w:sz="0" w:space="0" w:color="auto"/>
        <w:bottom w:val="none" w:sz="0" w:space="0" w:color="auto"/>
        <w:right w:val="none" w:sz="0" w:space="0" w:color="auto"/>
      </w:divBdr>
    </w:div>
    <w:div w:id="1549368971">
      <w:bodyDiv w:val="1"/>
      <w:marLeft w:val="0"/>
      <w:marRight w:val="0"/>
      <w:marTop w:val="0"/>
      <w:marBottom w:val="0"/>
      <w:divBdr>
        <w:top w:val="none" w:sz="0" w:space="0" w:color="auto"/>
        <w:left w:val="none" w:sz="0" w:space="0" w:color="auto"/>
        <w:bottom w:val="none" w:sz="0" w:space="0" w:color="auto"/>
        <w:right w:val="none" w:sz="0" w:space="0" w:color="auto"/>
      </w:divBdr>
    </w:div>
    <w:div w:id="1555386846">
      <w:bodyDiv w:val="1"/>
      <w:marLeft w:val="0"/>
      <w:marRight w:val="0"/>
      <w:marTop w:val="0"/>
      <w:marBottom w:val="0"/>
      <w:divBdr>
        <w:top w:val="none" w:sz="0" w:space="0" w:color="auto"/>
        <w:left w:val="none" w:sz="0" w:space="0" w:color="auto"/>
        <w:bottom w:val="none" w:sz="0" w:space="0" w:color="auto"/>
        <w:right w:val="none" w:sz="0" w:space="0" w:color="auto"/>
      </w:divBdr>
    </w:div>
    <w:div w:id="1572501946">
      <w:bodyDiv w:val="1"/>
      <w:marLeft w:val="0"/>
      <w:marRight w:val="0"/>
      <w:marTop w:val="0"/>
      <w:marBottom w:val="0"/>
      <w:divBdr>
        <w:top w:val="none" w:sz="0" w:space="0" w:color="auto"/>
        <w:left w:val="none" w:sz="0" w:space="0" w:color="auto"/>
        <w:bottom w:val="none" w:sz="0" w:space="0" w:color="auto"/>
        <w:right w:val="none" w:sz="0" w:space="0" w:color="auto"/>
      </w:divBdr>
    </w:div>
    <w:div w:id="1584948118">
      <w:bodyDiv w:val="1"/>
      <w:marLeft w:val="0"/>
      <w:marRight w:val="0"/>
      <w:marTop w:val="0"/>
      <w:marBottom w:val="0"/>
      <w:divBdr>
        <w:top w:val="none" w:sz="0" w:space="0" w:color="auto"/>
        <w:left w:val="none" w:sz="0" w:space="0" w:color="auto"/>
        <w:bottom w:val="none" w:sz="0" w:space="0" w:color="auto"/>
        <w:right w:val="none" w:sz="0" w:space="0" w:color="auto"/>
      </w:divBdr>
    </w:div>
    <w:div w:id="1592734265">
      <w:bodyDiv w:val="1"/>
      <w:marLeft w:val="0"/>
      <w:marRight w:val="0"/>
      <w:marTop w:val="0"/>
      <w:marBottom w:val="0"/>
      <w:divBdr>
        <w:top w:val="none" w:sz="0" w:space="0" w:color="auto"/>
        <w:left w:val="none" w:sz="0" w:space="0" w:color="auto"/>
        <w:bottom w:val="none" w:sz="0" w:space="0" w:color="auto"/>
        <w:right w:val="none" w:sz="0" w:space="0" w:color="auto"/>
      </w:divBdr>
    </w:div>
    <w:div w:id="1594313613">
      <w:bodyDiv w:val="1"/>
      <w:marLeft w:val="0"/>
      <w:marRight w:val="0"/>
      <w:marTop w:val="0"/>
      <w:marBottom w:val="0"/>
      <w:divBdr>
        <w:top w:val="none" w:sz="0" w:space="0" w:color="auto"/>
        <w:left w:val="none" w:sz="0" w:space="0" w:color="auto"/>
        <w:bottom w:val="none" w:sz="0" w:space="0" w:color="auto"/>
        <w:right w:val="none" w:sz="0" w:space="0" w:color="auto"/>
      </w:divBdr>
    </w:div>
    <w:div w:id="1607884640">
      <w:bodyDiv w:val="1"/>
      <w:marLeft w:val="0"/>
      <w:marRight w:val="0"/>
      <w:marTop w:val="0"/>
      <w:marBottom w:val="0"/>
      <w:divBdr>
        <w:top w:val="none" w:sz="0" w:space="0" w:color="auto"/>
        <w:left w:val="none" w:sz="0" w:space="0" w:color="auto"/>
        <w:bottom w:val="none" w:sz="0" w:space="0" w:color="auto"/>
        <w:right w:val="none" w:sz="0" w:space="0" w:color="auto"/>
      </w:divBdr>
    </w:div>
    <w:div w:id="1627590283">
      <w:bodyDiv w:val="1"/>
      <w:marLeft w:val="0"/>
      <w:marRight w:val="0"/>
      <w:marTop w:val="0"/>
      <w:marBottom w:val="0"/>
      <w:divBdr>
        <w:top w:val="none" w:sz="0" w:space="0" w:color="auto"/>
        <w:left w:val="none" w:sz="0" w:space="0" w:color="auto"/>
        <w:bottom w:val="none" w:sz="0" w:space="0" w:color="auto"/>
        <w:right w:val="none" w:sz="0" w:space="0" w:color="auto"/>
      </w:divBdr>
    </w:div>
    <w:div w:id="1639451270">
      <w:bodyDiv w:val="1"/>
      <w:marLeft w:val="0"/>
      <w:marRight w:val="0"/>
      <w:marTop w:val="0"/>
      <w:marBottom w:val="0"/>
      <w:divBdr>
        <w:top w:val="none" w:sz="0" w:space="0" w:color="auto"/>
        <w:left w:val="none" w:sz="0" w:space="0" w:color="auto"/>
        <w:bottom w:val="none" w:sz="0" w:space="0" w:color="auto"/>
        <w:right w:val="none" w:sz="0" w:space="0" w:color="auto"/>
      </w:divBdr>
    </w:div>
    <w:div w:id="1660769246">
      <w:bodyDiv w:val="1"/>
      <w:marLeft w:val="0"/>
      <w:marRight w:val="0"/>
      <w:marTop w:val="0"/>
      <w:marBottom w:val="0"/>
      <w:divBdr>
        <w:top w:val="none" w:sz="0" w:space="0" w:color="auto"/>
        <w:left w:val="none" w:sz="0" w:space="0" w:color="auto"/>
        <w:bottom w:val="none" w:sz="0" w:space="0" w:color="auto"/>
        <w:right w:val="none" w:sz="0" w:space="0" w:color="auto"/>
      </w:divBdr>
    </w:div>
    <w:div w:id="1662272207">
      <w:bodyDiv w:val="1"/>
      <w:marLeft w:val="0"/>
      <w:marRight w:val="0"/>
      <w:marTop w:val="0"/>
      <w:marBottom w:val="0"/>
      <w:divBdr>
        <w:top w:val="none" w:sz="0" w:space="0" w:color="auto"/>
        <w:left w:val="none" w:sz="0" w:space="0" w:color="auto"/>
        <w:bottom w:val="none" w:sz="0" w:space="0" w:color="auto"/>
        <w:right w:val="none" w:sz="0" w:space="0" w:color="auto"/>
      </w:divBdr>
    </w:div>
    <w:div w:id="1669744637">
      <w:bodyDiv w:val="1"/>
      <w:marLeft w:val="0"/>
      <w:marRight w:val="0"/>
      <w:marTop w:val="0"/>
      <w:marBottom w:val="0"/>
      <w:divBdr>
        <w:top w:val="none" w:sz="0" w:space="0" w:color="auto"/>
        <w:left w:val="none" w:sz="0" w:space="0" w:color="auto"/>
        <w:bottom w:val="none" w:sz="0" w:space="0" w:color="auto"/>
        <w:right w:val="none" w:sz="0" w:space="0" w:color="auto"/>
      </w:divBdr>
    </w:div>
    <w:div w:id="1670327082">
      <w:bodyDiv w:val="1"/>
      <w:marLeft w:val="0"/>
      <w:marRight w:val="0"/>
      <w:marTop w:val="0"/>
      <w:marBottom w:val="0"/>
      <w:divBdr>
        <w:top w:val="none" w:sz="0" w:space="0" w:color="auto"/>
        <w:left w:val="none" w:sz="0" w:space="0" w:color="auto"/>
        <w:bottom w:val="none" w:sz="0" w:space="0" w:color="auto"/>
        <w:right w:val="none" w:sz="0" w:space="0" w:color="auto"/>
      </w:divBdr>
    </w:div>
    <w:div w:id="1673486905">
      <w:bodyDiv w:val="1"/>
      <w:marLeft w:val="0"/>
      <w:marRight w:val="0"/>
      <w:marTop w:val="0"/>
      <w:marBottom w:val="0"/>
      <w:divBdr>
        <w:top w:val="none" w:sz="0" w:space="0" w:color="auto"/>
        <w:left w:val="none" w:sz="0" w:space="0" w:color="auto"/>
        <w:bottom w:val="none" w:sz="0" w:space="0" w:color="auto"/>
        <w:right w:val="none" w:sz="0" w:space="0" w:color="auto"/>
      </w:divBdr>
    </w:div>
    <w:div w:id="1682583480">
      <w:bodyDiv w:val="1"/>
      <w:marLeft w:val="0"/>
      <w:marRight w:val="0"/>
      <w:marTop w:val="0"/>
      <w:marBottom w:val="0"/>
      <w:divBdr>
        <w:top w:val="none" w:sz="0" w:space="0" w:color="auto"/>
        <w:left w:val="none" w:sz="0" w:space="0" w:color="auto"/>
        <w:bottom w:val="none" w:sz="0" w:space="0" w:color="auto"/>
        <w:right w:val="none" w:sz="0" w:space="0" w:color="auto"/>
      </w:divBdr>
    </w:div>
    <w:div w:id="1698236347">
      <w:bodyDiv w:val="1"/>
      <w:marLeft w:val="0"/>
      <w:marRight w:val="0"/>
      <w:marTop w:val="0"/>
      <w:marBottom w:val="0"/>
      <w:divBdr>
        <w:top w:val="none" w:sz="0" w:space="0" w:color="auto"/>
        <w:left w:val="none" w:sz="0" w:space="0" w:color="auto"/>
        <w:bottom w:val="none" w:sz="0" w:space="0" w:color="auto"/>
        <w:right w:val="none" w:sz="0" w:space="0" w:color="auto"/>
      </w:divBdr>
    </w:div>
    <w:div w:id="1699043492">
      <w:bodyDiv w:val="1"/>
      <w:marLeft w:val="0"/>
      <w:marRight w:val="0"/>
      <w:marTop w:val="0"/>
      <w:marBottom w:val="0"/>
      <w:divBdr>
        <w:top w:val="none" w:sz="0" w:space="0" w:color="auto"/>
        <w:left w:val="none" w:sz="0" w:space="0" w:color="auto"/>
        <w:bottom w:val="none" w:sz="0" w:space="0" w:color="auto"/>
        <w:right w:val="none" w:sz="0" w:space="0" w:color="auto"/>
      </w:divBdr>
    </w:div>
    <w:div w:id="1700010487">
      <w:bodyDiv w:val="1"/>
      <w:marLeft w:val="0"/>
      <w:marRight w:val="0"/>
      <w:marTop w:val="0"/>
      <w:marBottom w:val="0"/>
      <w:divBdr>
        <w:top w:val="none" w:sz="0" w:space="0" w:color="auto"/>
        <w:left w:val="none" w:sz="0" w:space="0" w:color="auto"/>
        <w:bottom w:val="none" w:sz="0" w:space="0" w:color="auto"/>
        <w:right w:val="none" w:sz="0" w:space="0" w:color="auto"/>
      </w:divBdr>
    </w:div>
    <w:div w:id="1703439501">
      <w:bodyDiv w:val="1"/>
      <w:marLeft w:val="0"/>
      <w:marRight w:val="0"/>
      <w:marTop w:val="0"/>
      <w:marBottom w:val="0"/>
      <w:divBdr>
        <w:top w:val="none" w:sz="0" w:space="0" w:color="auto"/>
        <w:left w:val="none" w:sz="0" w:space="0" w:color="auto"/>
        <w:bottom w:val="none" w:sz="0" w:space="0" w:color="auto"/>
        <w:right w:val="none" w:sz="0" w:space="0" w:color="auto"/>
      </w:divBdr>
    </w:div>
    <w:div w:id="1706563958">
      <w:bodyDiv w:val="1"/>
      <w:marLeft w:val="0"/>
      <w:marRight w:val="0"/>
      <w:marTop w:val="0"/>
      <w:marBottom w:val="0"/>
      <w:divBdr>
        <w:top w:val="none" w:sz="0" w:space="0" w:color="auto"/>
        <w:left w:val="none" w:sz="0" w:space="0" w:color="auto"/>
        <w:bottom w:val="none" w:sz="0" w:space="0" w:color="auto"/>
        <w:right w:val="none" w:sz="0" w:space="0" w:color="auto"/>
      </w:divBdr>
    </w:div>
    <w:div w:id="1711566551">
      <w:bodyDiv w:val="1"/>
      <w:marLeft w:val="0"/>
      <w:marRight w:val="0"/>
      <w:marTop w:val="0"/>
      <w:marBottom w:val="0"/>
      <w:divBdr>
        <w:top w:val="none" w:sz="0" w:space="0" w:color="auto"/>
        <w:left w:val="none" w:sz="0" w:space="0" w:color="auto"/>
        <w:bottom w:val="none" w:sz="0" w:space="0" w:color="auto"/>
        <w:right w:val="none" w:sz="0" w:space="0" w:color="auto"/>
      </w:divBdr>
    </w:div>
    <w:div w:id="1713768559">
      <w:bodyDiv w:val="1"/>
      <w:marLeft w:val="0"/>
      <w:marRight w:val="0"/>
      <w:marTop w:val="0"/>
      <w:marBottom w:val="0"/>
      <w:divBdr>
        <w:top w:val="none" w:sz="0" w:space="0" w:color="auto"/>
        <w:left w:val="none" w:sz="0" w:space="0" w:color="auto"/>
        <w:bottom w:val="none" w:sz="0" w:space="0" w:color="auto"/>
        <w:right w:val="none" w:sz="0" w:space="0" w:color="auto"/>
      </w:divBdr>
    </w:div>
    <w:div w:id="1726950224">
      <w:bodyDiv w:val="1"/>
      <w:marLeft w:val="0"/>
      <w:marRight w:val="0"/>
      <w:marTop w:val="0"/>
      <w:marBottom w:val="0"/>
      <w:divBdr>
        <w:top w:val="none" w:sz="0" w:space="0" w:color="auto"/>
        <w:left w:val="none" w:sz="0" w:space="0" w:color="auto"/>
        <w:bottom w:val="none" w:sz="0" w:space="0" w:color="auto"/>
        <w:right w:val="none" w:sz="0" w:space="0" w:color="auto"/>
      </w:divBdr>
    </w:div>
    <w:div w:id="1727992738">
      <w:bodyDiv w:val="1"/>
      <w:marLeft w:val="0"/>
      <w:marRight w:val="0"/>
      <w:marTop w:val="0"/>
      <w:marBottom w:val="0"/>
      <w:divBdr>
        <w:top w:val="none" w:sz="0" w:space="0" w:color="auto"/>
        <w:left w:val="none" w:sz="0" w:space="0" w:color="auto"/>
        <w:bottom w:val="none" w:sz="0" w:space="0" w:color="auto"/>
        <w:right w:val="none" w:sz="0" w:space="0" w:color="auto"/>
      </w:divBdr>
    </w:div>
    <w:div w:id="1743523136">
      <w:bodyDiv w:val="1"/>
      <w:marLeft w:val="0"/>
      <w:marRight w:val="0"/>
      <w:marTop w:val="0"/>
      <w:marBottom w:val="0"/>
      <w:divBdr>
        <w:top w:val="none" w:sz="0" w:space="0" w:color="auto"/>
        <w:left w:val="none" w:sz="0" w:space="0" w:color="auto"/>
        <w:bottom w:val="none" w:sz="0" w:space="0" w:color="auto"/>
        <w:right w:val="none" w:sz="0" w:space="0" w:color="auto"/>
      </w:divBdr>
    </w:div>
    <w:div w:id="1745100231">
      <w:bodyDiv w:val="1"/>
      <w:marLeft w:val="0"/>
      <w:marRight w:val="0"/>
      <w:marTop w:val="0"/>
      <w:marBottom w:val="0"/>
      <w:divBdr>
        <w:top w:val="none" w:sz="0" w:space="0" w:color="auto"/>
        <w:left w:val="none" w:sz="0" w:space="0" w:color="auto"/>
        <w:bottom w:val="none" w:sz="0" w:space="0" w:color="auto"/>
        <w:right w:val="none" w:sz="0" w:space="0" w:color="auto"/>
      </w:divBdr>
    </w:div>
    <w:div w:id="1759523138">
      <w:bodyDiv w:val="1"/>
      <w:marLeft w:val="0"/>
      <w:marRight w:val="0"/>
      <w:marTop w:val="0"/>
      <w:marBottom w:val="0"/>
      <w:divBdr>
        <w:top w:val="none" w:sz="0" w:space="0" w:color="auto"/>
        <w:left w:val="none" w:sz="0" w:space="0" w:color="auto"/>
        <w:bottom w:val="none" w:sz="0" w:space="0" w:color="auto"/>
        <w:right w:val="none" w:sz="0" w:space="0" w:color="auto"/>
      </w:divBdr>
    </w:div>
    <w:div w:id="1769153446">
      <w:bodyDiv w:val="1"/>
      <w:marLeft w:val="0"/>
      <w:marRight w:val="0"/>
      <w:marTop w:val="0"/>
      <w:marBottom w:val="0"/>
      <w:divBdr>
        <w:top w:val="none" w:sz="0" w:space="0" w:color="auto"/>
        <w:left w:val="none" w:sz="0" w:space="0" w:color="auto"/>
        <w:bottom w:val="none" w:sz="0" w:space="0" w:color="auto"/>
        <w:right w:val="none" w:sz="0" w:space="0" w:color="auto"/>
      </w:divBdr>
    </w:div>
    <w:div w:id="1776972098">
      <w:bodyDiv w:val="1"/>
      <w:marLeft w:val="0"/>
      <w:marRight w:val="0"/>
      <w:marTop w:val="0"/>
      <w:marBottom w:val="0"/>
      <w:divBdr>
        <w:top w:val="none" w:sz="0" w:space="0" w:color="auto"/>
        <w:left w:val="none" w:sz="0" w:space="0" w:color="auto"/>
        <w:bottom w:val="none" w:sz="0" w:space="0" w:color="auto"/>
        <w:right w:val="none" w:sz="0" w:space="0" w:color="auto"/>
      </w:divBdr>
      <w:divsChild>
        <w:div w:id="148209635">
          <w:marLeft w:val="0"/>
          <w:marRight w:val="0"/>
          <w:marTop w:val="0"/>
          <w:marBottom w:val="0"/>
          <w:divBdr>
            <w:top w:val="none" w:sz="0" w:space="0" w:color="auto"/>
            <w:left w:val="none" w:sz="0" w:space="0" w:color="auto"/>
            <w:bottom w:val="none" w:sz="0" w:space="0" w:color="auto"/>
            <w:right w:val="none" w:sz="0" w:space="0" w:color="auto"/>
          </w:divBdr>
        </w:div>
        <w:div w:id="2093382816">
          <w:marLeft w:val="0"/>
          <w:marRight w:val="0"/>
          <w:marTop w:val="0"/>
          <w:marBottom w:val="0"/>
          <w:divBdr>
            <w:top w:val="none" w:sz="0" w:space="0" w:color="auto"/>
            <w:left w:val="none" w:sz="0" w:space="0" w:color="auto"/>
            <w:bottom w:val="none" w:sz="0" w:space="0" w:color="auto"/>
            <w:right w:val="none" w:sz="0" w:space="0" w:color="auto"/>
          </w:divBdr>
          <w:divsChild>
            <w:div w:id="1454714069">
              <w:marLeft w:val="0"/>
              <w:marRight w:val="0"/>
              <w:marTop w:val="0"/>
              <w:marBottom w:val="0"/>
              <w:divBdr>
                <w:top w:val="none" w:sz="0" w:space="0" w:color="auto"/>
                <w:left w:val="none" w:sz="0" w:space="0" w:color="auto"/>
                <w:bottom w:val="none" w:sz="0" w:space="0" w:color="auto"/>
                <w:right w:val="none" w:sz="0" w:space="0" w:color="auto"/>
              </w:divBdr>
            </w:div>
          </w:divsChild>
        </w:div>
        <w:div w:id="710494009">
          <w:marLeft w:val="0"/>
          <w:marRight w:val="0"/>
          <w:marTop w:val="100"/>
          <w:marBottom w:val="150"/>
          <w:divBdr>
            <w:top w:val="none" w:sz="0" w:space="0" w:color="auto"/>
            <w:left w:val="none" w:sz="0" w:space="0" w:color="auto"/>
            <w:bottom w:val="none" w:sz="0" w:space="0" w:color="auto"/>
            <w:right w:val="none" w:sz="0" w:space="0" w:color="auto"/>
          </w:divBdr>
          <w:divsChild>
            <w:div w:id="785346485">
              <w:marLeft w:val="0"/>
              <w:marRight w:val="0"/>
              <w:marTop w:val="0"/>
              <w:marBottom w:val="0"/>
              <w:divBdr>
                <w:top w:val="none" w:sz="0" w:space="0" w:color="auto"/>
                <w:left w:val="none" w:sz="0" w:space="0" w:color="auto"/>
                <w:bottom w:val="none" w:sz="0" w:space="0" w:color="auto"/>
                <w:right w:val="none" w:sz="0" w:space="0" w:color="auto"/>
              </w:divBdr>
            </w:div>
          </w:divsChild>
        </w:div>
        <w:div w:id="1890455449">
          <w:marLeft w:val="0"/>
          <w:marRight w:val="0"/>
          <w:marTop w:val="0"/>
          <w:marBottom w:val="0"/>
          <w:divBdr>
            <w:top w:val="none" w:sz="0" w:space="0" w:color="auto"/>
            <w:left w:val="none" w:sz="0" w:space="0" w:color="auto"/>
            <w:bottom w:val="none" w:sz="0" w:space="0" w:color="auto"/>
            <w:right w:val="none" w:sz="0" w:space="0" w:color="auto"/>
          </w:divBdr>
        </w:div>
      </w:divsChild>
    </w:div>
    <w:div w:id="1780566494">
      <w:bodyDiv w:val="1"/>
      <w:marLeft w:val="0"/>
      <w:marRight w:val="0"/>
      <w:marTop w:val="0"/>
      <w:marBottom w:val="0"/>
      <w:divBdr>
        <w:top w:val="none" w:sz="0" w:space="0" w:color="auto"/>
        <w:left w:val="none" w:sz="0" w:space="0" w:color="auto"/>
        <w:bottom w:val="none" w:sz="0" w:space="0" w:color="auto"/>
        <w:right w:val="none" w:sz="0" w:space="0" w:color="auto"/>
      </w:divBdr>
    </w:div>
    <w:div w:id="1791780076">
      <w:bodyDiv w:val="1"/>
      <w:marLeft w:val="0"/>
      <w:marRight w:val="0"/>
      <w:marTop w:val="0"/>
      <w:marBottom w:val="0"/>
      <w:divBdr>
        <w:top w:val="none" w:sz="0" w:space="0" w:color="auto"/>
        <w:left w:val="none" w:sz="0" w:space="0" w:color="auto"/>
        <w:bottom w:val="none" w:sz="0" w:space="0" w:color="auto"/>
        <w:right w:val="none" w:sz="0" w:space="0" w:color="auto"/>
      </w:divBdr>
    </w:div>
    <w:div w:id="1805192965">
      <w:bodyDiv w:val="1"/>
      <w:marLeft w:val="0"/>
      <w:marRight w:val="0"/>
      <w:marTop w:val="0"/>
      <w:marBottom w:val="0"/>
      <w:divBdr>
        <w:top w:val="none" w:sz="0" w:space="0" w:color="auto"/>
        <w:left w:val="none" w:sz="0" w:space="0" w:color="auto"/>
        <w:bottom w:val="none" w:sz="0" w:space="0" w:color="auto"/>
        <w:right w:val="none" w:sz="0" w:space="0" w:color="auto"/>
      </w:divBdr>
    </w:div>
    <w:div w:id="1810433797">
      <w:bodyDiv w:val="1"/>
      <w:marLeft w:val="0"/>
      <w:marRight w:val="0"/>
      <w:marTop w:val="0"/>
      <w:marBottom w:val="0"/>
      <w:divBdr>
        <w:top w:val="none" w:sz="0" w:space="0" w:color="auto"/>
        <w:left w:val="none" w:sz="0" w:space="0" w:color="auto"/>
        <w:bottom w:val="none" w:sz="0" w:space="0" w:color="auto"/>
        <w:right w:val="none" w:sz="0" w:space="0" w:color="auto"/>
      </w:divBdr>
    </w:div>
    <w:div w:id="1812675134">
      <w:bodyDiv w:val="1"/>
      <w:marLeft w:val="0"/>
      <w:marRight w:val="0"/>
      <w:marTop w:val="0"/>
      <w:marBottom w:val="0"/>
      <w:divBdr>
        <w:top w:val="none" w:sz="0" w:space="0" w:color="auto"/>
        <w:left w:val="none" w:sz="0" w:space="0" w:color="auto"/>
        <w:bottom w:val="none" w:sz="0" w:space="0" w:color="auto"/>
        <w:right w:val="none" w:sz="0" w:space="0" w:color="auto"/>
      </w:divBdr>
    </w:div>
    <w:div w:id="1817260675">
      <w:bodyDiv w:val="1"/>
      <w:marLeft w:val="0"/>
      <w:marRight w:val="0"/>
      <w:marTop w:val="0"/>
      <w:marBottom w:val="0"/>
      <w:divBdr>
        <w:top w:val="none" w:sz="0" w:space="0" w:color="auto"/>
        <w:left w:val="none" w:sz="0" w:space="0" w:color="auto"/>
        <w:bottom w:val="none" w:sz="0" w:space="0" w:color="auto"/>
        <w:right w:val="none" w:sz="0" w:space="0" w:color="auto"/>
      </w:divBdr>
    </w:div>
    <w:div w:id="1838036912">
      <w:bodyDiv w:val="1"/>
      <w:marLeft w:val="0"/>
      <w:marRight w:val="0"/>
      <w:marTop w:val="0"/>
      <w:marBottom w:val="0"/>
      <w:divBdr>
        <w:top w:val="none" w:sz="0" w:space="0" w:color="auto"/>
        <w:left w:val="none" w:sz="0" w:space="0" w:color="auto"/>
        <w:bottom w:val="none" w:sz="0" w:space="0" w:color="auto"/>
        <w:right w:val="none" w:sz="0" w:space="0" w:color="auto"/>
      </w:divBdr>
    </w:div>
    <w:div w:id="1860653969">
      <w:bodyDiv w:val="1"/>
      <w:marLeft w:val="0"/>
      <w:marRight w:val="0"/>
      <w:marTop w:val="0"/>
      <w:marBottom w:val="0"/>
      <w:divBdr>
        <w:top w:val="none" w:sz="0" w:space="0" w:color="auto"/>
        <w:left w:val="none" w:sz="0" w:space="0" w:color="auto"/>
        <w:bottom w:val="none" w:sz="0" w:space="0" w:color="auto"/>
        <w:right w:val="none" w:sz="0" w:space="0" w:color="auto"/>
      </w:divBdr>
    </w:div>
    <w:div w:id="1877236152">
      <w:bodyDiv w:val="1"/>
      <w:marLeft w:val="0"/>
      <w:marRight w:val="0"/>
      <w:marTop w:val="0"/>
      <w:marBottom w:val="0"/>
      <w:divBdr>
        <w:top w:val="none" w:sz="0" w:space="0" w:color="auto"/>
        <w:left w:val="none" w:sz="0" w:space="0" w:color="auto"/>
        <w:bottom w:val="none" w:sz="0" w:space="0" w:color="auto"/>
        <w:right w:val="none" w:sz="0" w:space="0" w:color="auto"/>
      </w:divBdr>
    </w:div>
    <w:div w:id="1887645405">
      <w:bodyDiv w:val="1"/>
      <w:marLeft w:val="0"/>
      <w:marRight w:val="0"/>
      <w:marTop w:val="0"/>
      <w:marBottom w:val="0"/>
      <w:divBdr>
        <w:top w:val="none" w:sz="0" w:space="0" w:color="auto"/>
        <w:left w:val="none" w:sz="0" w:space="0" w:color="auto"/>
        <w:bottom w:val="none" w:sz="0" w:space="0" w:color="auto"/>
        <w:right w:val="none" w:sz="0" w:space="0" w:color="auto"/>
      </w:divBdr>
    </w:div>
    <w:div w:id="1890915650">
      <w:bodyDiv w:val="1"/>
      <w:marLeft w:val="0"/>
      <w:marRight w:val="0"/>
      <w:marTop w:val="0"/>
      <w:marBottom w:val="0"/>
      <w:divBdr>
        <w:top w:val="none" w:sz="0" w:space="0" w:color="auto"/>
        <w:left w:val="none" w:sz="0" w:space="0" w:color="auto"/>
        <w:bottom w:val="none" w:sz="0" w:space="0" w:color="auto"/>
        <w:right w:val="none" w:sz="0" w:space="0" w:color="auto"/>
      </w:divBdr>
    </w:div>
    <w:div w:id="1893350899">
      <w:bodyDiv w:val="1"/>
      <w:marLeft w:val="0"/>
      <w:marRight w:val="0"/>
      <w:marTop w:val="0"/>
      <w:marBottom w:val="0"/>
      <w:divBdr>
        <w:top w:val="none" w:sz="0" w:space="0" w:color="auto"/>
        <w:left w:val="none" w:sz="0" w:space="0" w:color="auto"/>
        <w:bottom w:val="none" w:sz="0" w:space="0" w:color="auto"/>
        <w:right w:val="none" w:sz="0" w:space="0" w:color="auto"/>
      </w:divBdr>
    </w:div>
    <w:div w:id="1894997684">
      <w:bodyDiv w:val="1"/>
      <w:marLeft w:val="0"/>
      <w:marRight w:val="0"/>
      <w:marTop w:val="0"/>
      <w:marBottom w:val="0"/>
      <w:divBdr>
        <w:top w:val="none" w:sz="0" w:space="0" w:color="auto"/>
        <w:left w:val="none" w:sz="0" w:space="0" w:color="auto"/>
        <w:bottom w:val="none" w:sz="0" w:space="0" w:color="auto"/>
        <w:right w:val="none" w:sz="0" w:space="0" w:color="auto"/>
      </w:divBdr>
    </w:div>
    <w:div w:id="1902250924">
      <w:bodyDiv w:val="1"/>
      <w:marLeft w:val="0"/>
      <w:marRight w:val="0"/>
      <w:marTop w:val="0"/>
      <w:marBottom w:val="0"/>
      <w:divBdr>
        <w:top w:val="none" w:sz="0" w:space="0" w:color="auto"/>
        <w:left w:val="none" w:sz="0" w:space="0" w:color="auto"/>
        <w:bottom w:val="none" w:sz="0" w:space="0" w:color="auto"/>
        <w:right w:val="none" w:sz="0" w:space="0" w:color="auto"/>
      </w:divBdr>
    </w:div>
    <w:div w:id="1903633993">
      <w:bodyDiv w:val="1"/>
      <w:marLeft w:val="0"/>
      <w:marRight w:val="0"/>
      <w:marTop w:val="0"/>
      <w:marBottom w:val="0"/>
      <w:divBdr>
        <w:top w:val="none" w:sz="0" w:space="0" w:color="auto"/>
        <w:left w:val="none" w:sz="0" w:space="0" w:color="auto"/>
        <w:bottom w:val="none" w:sz="0" w:space="0" w:color="auto"/>
        <w:right w:val="none" w:sz="0" w:space="0" w:color="auto"/>
      </w:divBdr>
    </w:div>
    <w:div w:id="1903709066">
      <w:bodyDiv w:val="1"/>
      <w:marLeft w:val="0"/>
      <w:marRight w:val="0"/>
      <w:marTop w:val="0"/>
      <w:marBottom w:val="0"/>
      <w:divBdr>
        <w:top w:val="none" w:sz="0" w:space="0" w:color="auto"/>
        <w:left w:val="none" w:sz="0" w:space="0" w:color="auto"/>
        <w:bottom w:val="none" w:sz="0" w:space="0" w:color="auto"/>
        <w:right w:val="none" w:sz="0" w:space="0" w:color="auto"/>
      </w:divBdr>
    </w:div>
    <w:div w:id="1904951732">
      <w:bodyDiv w:val="1"/>
      <w:marLeft w:val="0"/>
      <w:marRight w:val="0"/>
      <w:marTop w:val="0"/>
      <w:marBottom w:val="0"/>
      <w:divBdr>
        <w:top w:val="none" w:sz="0" w:space="0" w:color="auto"/>
        <w:left w:val="none" w:sz="0" w:space="0" w:color="auto"/>
        <w:bottom w:val="none" w:sz="0" w:space="0" w:color="auto"/>
        <w:right w:val="none" w:sz="0" w:space="0" w:color="auto"/>
      </w:divBdr>
    </w:div>
    <w:div w:id="1913810877">
      <w:bodyDiv w:val="1"/>
      <w:marLeft w:val="0"/>
      <w:marRight w:val="0"/>
      <w:marTop w:val="0"/>
      <w:marBottom w:val="0"/>
      <w:divBdr>
        <w:top w:val="none" w:sz="0" w:space="0" w:color="auto"/>
        <w:left w:val="none" w:sz="0" w:space="0" w:color="auto"/>
        <w:bottom w:val="none" w:sz="0" w:space="0" w:color="auto"/>
        <w:right w:val="none" w:sz="0" w:space="0" w:color="auto"/>
      </w:divBdr>
    </w:div>
    <w:div w:id="1935554667">
      <w:bodyDiv w:val="1"/>
      <w:marLeft w:val="0"/>
      <w:marRight w:val="0"/>
      <w:marTop w:val="0"/>
      <w:marBottom w:val="0"/>
      <w:divBdr>
        <w:top w:val="none" w:sz="0" w:space="0" w:color="auto"/>
        <w:left w:val="none" w:sz="0" w:space="0" w:color="auto"/>
        <w:bottom w:val="none" w:sz="0" w:space="0" w:color="auto"/>
        <w:right w:val="none" w:sz="0" w:space="0" w:color="auto"/>
      </w:divBdr>
    </w:div>
    <w:div w:id="1938319748">
      <w:bodyDiv w:val="1"/>
      <w:marLeft w:val="0"/>
      <w:marRight w:val="0"/>
      <w:marTop w:val="0"/>
      <w:marBottom w:val="0"/>
      <w:divBdr>
        <w:top w:val="none" w:sz="0" w:space="0" w:color="auto"/>
        <w:left w:val="none" w:sz="0" w:space="0" w:color="auto"/>
        <w:bottom w:val="none" w:sz="0" w:space="0" w:color="auto"/>
        <w:right w:val="none" w:sz="0" w:space="0" w:color="auto"/>
      </w:divBdr>
    </w:div>
    <w:div w:id="1942444856">
      <w:bodyDiv w:val="1"/>
      <w:marLeft w:val="0"/>
      <w:marRight w:val="0"/>
      <w:marTop w:val="0"/>
      <w:marBottom w:val="0"/>
      <w:divBdr>
        <w:top w:val="none" w:sz="0" w:space="0" w:color="auto"/>
        <w:left w:val="none" w:sz="0" w:space="0" w:color="auto"/>
        <w:bottom w:val="none" w:sz="0" w:space="0" w:color="auto"/>
        <w:right w:val="none" w:sz="0" w:space="0" w:color="auto"/>
      </w:divBdr>
    </w:div>
    <w:div w:id="1961453889">
      <w:bodyDiv w:val="1"/>
      <w:marLeft w:val="0"/>
      <w:marRight w:val="0"/>
      <w:marTop w:val="0"/>
      <w:marBottom w:val="0"/>
      <w:divBdr>
        <w:top w:val="none" w:sz="0" w:space="0" w:color="auto"/>
        <w:left w:val="none" w:sz="0" w:space="0" w:color="auto"/>
        <w:bottom w:val="none" w:sz="0" w:space="0" w:color="auto"/>
        <w:right w:val="none" w:sz="0" w:space="0" w:color="auto"/>
      </w:divBdr>
    </w:div>
    <w:div w:id="1984115721">
      <w:bodyDiv w:val="1"/>
      <w:marLeft w:val="0"/>
      <w:marRight w:val="0"/>
      <w:marTop w:val="0"/>
      <w:marBottom w:val="0"/>
      <w:divBdr>
        <w:top w:val="none" w:sz="0" w:space="0" w:color="auto"/>
        <w:left w:val="none" w:sz="0" w:space="0" w:color="auto"/>
        <w:bottom w:val="none" w:sz="0" w:space="0" w:color="auto"/>
        <w:right w:val="none" w:sz="0" w:space="0" w:color="auto"/>
      </w:divBdr>
    </w:div>
    <w:div w:id="1987122664">
      <w:bodyDiv w:val="1"/>
      <w:marLeft w:val="0"/>
      <w:marRight w:val="0"/>
      <w:marTop w:val="0"/>
      <w:marBottom w:val="0"/>
      <w:divBdr>
        <w:top w:val="none" w:sz="0" w:space="0" w:color="auto"/>
        <w:left w:val="none" w:sz="0" w:space="0" w:color="auto"/>
        <w:bottom w:val="none" w:sz="0" w:space="0" w:color="auto"/>
        <w:right w:val="none" w:sz="0" w:space="0" w:color="auto"/>
      </w:divBdr>
    </w:div>
    <w:div w:id="1995715174">
      <w:bodyDiv w:val="1"/>
      <w:marLeft w:val="0"/>
      <w:marRight w:val="0"/>
      <w:marTop w:val="0"/>
      <w:marBottom w:val="0"/>
      <w:divBdr>
        <w:top w:val="none" w:sz="0" w:space="0" w:color="auto"/>
        <w:left w:val="none" w:sz="0" w:space="0" w:color="auto"/>
        <w:bottom w:val="none" w:sz="0" w:space="0" w:color="auto"/>
        <w:right w:val="none" w:sz="0" w:space="0" w:color="auto"/>
      </w:divBdr>
    </w:div>
    <w:div w:id="2012220102">
      <w:bodyDiv w:val="1"/>
      <w:marLeft w:val="0"/>
      <w:marRight w:val="0"/>
      <w:marTop w:val="0"/>
      <w:marBottom w:val="0"/>
      <w:divBdr>
        <w:top w:val="none" w:sz="0" w:space="0" w:color="auto"/>
        <w:left w:val="none" w:sz="0" w:space="0" w:color="auto"/>
        <w:bottom w:val="none" w:sz="0" w:space="0" w:color="auto"/>
        <w:right w:val="none" w:sz="0" w:space="0" w:color="auto"/>
      </w:divBdr>
    </w:div>
    <w:div w:id="2028167190">
      <w:bodyDiv w:val="1"/>
      <w:marLeft w:val="0"/>
      <w:marRight w:val="0"/>
      <w:marTop w:val="0"/>
      <w:marBottom w:val="0"/>
      <w:divBdr>
        <w:top w:val="none" w:sz="0" w:space="0" w:color="auto"/>
        <w:left w:val="none" w:sz="0" w:space="0" w:color="auto"/>
        <w:bottom w:val="none" w:sz="0" w:space="0" w:color="auto"/>
        <w:right w:val="none" w:sz="0" w:space="0" w:color="auto"/>
      </w:divBdr>
    </w:div>
    <w:div w:id="2036420478">
      <w:bodyDiv w:val="1"/>
      <w:marLeft w:val="0"/>
      <w:marRight w:val="0"/>
      <w:marTop w:val="0"/>
      <w:marBottom w:val="0"/>
      <w:divBdr>
        <w:top w:val="none" w:sz="0" w:space="0" w:color="auto"/>
        <w:left w:val="none" w:sz="0" w:space="0" w:color="auto"/>
        <w:bottom w:val="none" w:sz="0" w:space="0" w:color="auto"/>
        <w:right w:val="none" w:sz="0" w:space="0" w:color="auto"/>
      </w:divBdr>
    </w:div>
    <w:div w:id="2058621384">
      <w:bodyDiv w:val="1"/>
      <w:marLeft w:val="0"/>
      <w:marRight w:val="0"/>
      <w:marTop w:val="0"/>
      <w:marBottom w:val="0"/>
      <w:divBdr>
        <w:top w:val="none" w:sz="0" w:space="0" w:color="auto"/>
        <w:left w:val="none" w:sz="0" w:space="0" w:color="auto"/>
        <w:bottom w:val="none" w:sz="0" w:space="0" w:color="auto"/>
        <w:right w:val="none" w:sz="0" w:space="0" w:color="auto"/>
      </w:divBdr>
    </w:div>
    <w:div w:id="2075660159">
      <w:bodyDiv w:val="1"/>
      <w:marLeft w:val="0"/>
      <w:marRight w:val="0"/>
      <w:marTop w:val="0"/>
      <w:marBottom w:val="0"/>
      <w:divBdr>
        <w:top w:val="none" w:sz="0" w:space="0" w:color="auto"/>
        <w:left w:val="none" w:sz="0" w:space="0" w:color="auto"/>
        <w:bottom w:val="none" w:sz="0" w:space="0" w:color="auto"/>
        <w:right w:val="none" w:sz="0" w:space="0" w:color="auto"/>
      </w:divBdr>
    </w:div>
    <w:div w:id="2081900359">
      <w:bodyDiv w:val="1"/>
      <w:marLeft w:val="0"/>
      <w:marRight w:val="0"/>
      <w:marTop w:val="0"/>
      <w:marBottom w:val="0"/>
      <w:divBdr>
        <w:top w:val="none" w:sz="0" w:space="0" w:color="auto"/>
        <w:left w:val="none" w:sz="0" w:space="0" w:color="auto"/>
        <w:bottom w:val="none" w:sz="0" w:space="0" w:color="auto"/>
        <w:right w:val="none" w:sz="0" w:space="0" w:color="auto"/>
      </w:divBdr>
    </w:div>
    <w:div w:id="2082558884">
      <w:bodyDiv w:val="1"/>
      <w:marLeft w:val="0"/>
      <w:marRight w:val="0"/>
      <w:marTop w:val="0"/>
      <w:marBottom w:val="0"/>
      <w:divBdr>
        <w:top w:val="none" w:sz="0" w:space="0" w:color="auto"/>
        <w:left w:val="none" w:sz="0" w:space="0" w:color="auto"/>
        <w:bottom w:val="none" w:sz="0" w:space="0" w:color="auto"/>
        <w:right w:val="none" w:sz="0" w:space="0" w:color="auto"/>
      </w:divBdr>
    </w:div>
    <w:div w:id="2083290401">
      <w:bodyDiv w:val="1"/>
      <w:marLeft w:val="0"/>
      <w:marRight w:val="0"/>
      <w:marTop w:val="0"/>
      <w:marBottom w:val="0"/>
      <w:divBdr>
        <w:top w:val="none" w:sz="0" w:space="0" w:color="auto"/>
        <w:left w:val="none" w:sz="0" w:space="0" w:color="auto"/>
        <w:bottom w:val="none" w:sz="0" w:space="0" w:color="auto"/>
        <w:right w:val="none" w:sz="0" w:space="0" w:color="auto"/>
      </w:divBdr>
    </w:div>
    <w:div w:id="2091660685">
      <w:bodyDiv w:val="1"/>
      <w:marLeft w:val="0"/>
      <w:marRight w:val="0"/>
      <w:marTop w:val="0"/>
      <w:marBottom w:val="0"/>
      <w:divBdr>
        <w:top w:val="none" w:sz="0" w:space="0" w:color="auto"/>
        <w:left w:val="none" w:sz="0" w:space="0" w:color="auto"/>
        <w:bottom w:val="none" w:sz="0" w:space="0" w:color="auto"/>
        <w:right w:val="none" w:sz="0" w:space="0" w:color="auto"/>
      </w:divBdr>
    </w:div>
    <w:div w:id="2105104882">
      <w:bodyDiv w:val="1"/>
      <w:marLeft w:val="0"/>
      <w:marRight w:val="0"/>
      <w:marTop w:val="0"/>
      <w:marBottom w:val="0"/>
      <w:divBdr>
        <w:top w:val="none" w:sz="0" w:space="0" w:color="auto"/>
        <w:left w:val="none" w:sz="0" w:space="0" w:color="auto"/>
        <w:bottom w:val="none" w:sz="0" w:space="0" w:color="auto"/>
        <w:right w:val="none" w:sz="0" w:space="0" w:color="auto"/>
      </w:divBdr>
    </w:div>
    <w:div w:id="2110618534">
      <w:bodyDiv w:val="1"/>
      <w:marLeft w:val="0"/>
      <w:marRight w:val="0"/>
      <w:marTop w:val="0"/>
      <w:marBottom w:val="0"/>
      <w:divBdr>
        <w:top w:val="none" w:sz="0" w:space="0" w:color="auto"/>
        <w:left w:val="none" w:sz="0" w:space="0" w:color="auto"/>
        <w:bottom w:val="none" w:sz="0" w:space="0" w:color="auto"/>
        <w:right w:val="none" w:sz="0" w:space="0" w:color="auto"/>
      </w:divBdr>
    </w:div>
    <w:div w:id="21326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tlandcounty.moderngov.co.uk/documents/s17426/Report%20No%2030-2020%20Quarter%203%20Performance%20Update%202019-20.pdf" TargetMode="External"/><Relationship Id="rId18" Type="http://schemas.openxmlformats.org/officeDocument/2006/relationships/hyperlink" Target="mailto:amerry@rutland.gov.uk" TargetMode="External"/><Relationship Id="rId26" Type="http://schemas.openxmlformats.org/officeDocument/2006/relationships/hyperlink" Target="about:blank" TargetMode="External"/><Relationship Id="rId21" Type="http://schemas.openxmlformats.org/officeDocument/2006/relationships/image" Target="media/image3.jpeg"/><Relationship Id="rId34"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dellarocca@rutland.gov.u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2.png"/><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about:blank" TargetMode="External"/><Relationship Id="rId28" Type="http://schemas.openxmlformats.org/officeDocument/2006/relationships/hyperlink" Target="https://en.wikipedia.org/wiki/Convenience_store" TargetMode="External"/><Relationship Id="rId36"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rutland.gov.u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rutland.gov.uk" TargetMode="External"/><Relationship Id="rId14" Type="http://schemas.openxmlformats.org/officeDocument/2006/relationships/hyperlink" Target="http://www.cipfa.org/policy-and-guidance/publications/t/the-prudential-code-for-capital-finance-in-local-authorities-2011-edition-pdf" TargetMode="External"/><Relationship Id="rId22" Type="http://schemas.openxmlformats.org/officeDocument/2006/relationships/hyperlink" Target="http://www.frc.org.uk/auditorsresponsibilities" TargetMode="External"/><Relationship Id="rId27" Type="http://schemas.openxmlformats.org/officeDocument/2006/relationships/hyperlink" Target="https://en.wikipedia.org/wiki/Leicester" TargetMode="External"/><Relationship Id="rId30" Type="http://schemas.openxmlformats.org/officeDocument/2006/relationships/hyperlink" Target="https://rutlandcounty.moderngov.co.uk/ieListDocuments.aspx?CId=132&amp;MId=2100" TargetMode="External"/><Relationship Id="rId35" Type="http://schemas.openxmlformats.org/officeDocument/2006/relationships/image" Target="media/image5.jpeg"/><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fs1\onecouncil\Resources\Finance%202\Final%20Accounts\2019-20\Statement%20of%20Accounts\Charts%20for%20Explanatory%20Forward%202018-19%20(2.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fs1\onecouncil\Resources\Finance%202\Final%20Accounts\2019-20\Statement%20of%20Accounts\Charts%20for%20Explanatory%20Forward%202018-19%20(2.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GB"/>
              <a:t>What the money was spent on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'What the money was spent on'!$B$2</c:f>
              <c:strCache>
                <c:ptCount val="1"/>
                <c:pt idx="0">
                  <c:v>What the money was spent on (£'000)</c:v>
                </c:pt>
              </c:strCache>
            </c:strRef>
          </c:tx>
          <c:explosion val="8"/>
          <c:dPt>
            <c:idx val="0"/>
            <c:bubble3D val="0"/>
            <c:extLst>
              <c:ext xmlns:c16="http://schemas.microsoft.com/office/drawing/2014/chart" uri="{C3380CC4-5D6E-409C-BE32-E72D297353CC}">
                <c16:uniqueId val="{00000000-2FA2-440D-B31A-935361C5B81B}"/>
              </c:ext>
            </c:extLst>
          </c:dPt>
          <c:dPt>
            <c:idx val="1"/>
            <c:bubble3D val="0"/>
            <c:extLst>
              <c:ext xmlns:c16="http://schemas.microsoft.com/office/drawing/2014/chart" uri="{C3380CC4-5D6E-409C-BE32-E72D297353CC}">
                <c16:uniqueId val="{00000001-2FA2-440D-B31A-935361C5B81B}"/>
              </c:ext>
            </c:extLst>
          </c:dPt>
          <c:dPt>
            <c:idx val="2"/>
            <c:bubble3D val="0"/>
            <c:extLst>
              <c:ext xmlns:c16="http://schemas.microsoft.com/office/drawing/2014/chart" uri="{C3380CC4-5D6E-409C-BE32-E72D297353CC}">
                <c16:uniqueId val="{00000002-2FA2-440D-B31A-935361C5B81B}"/>
              </c:ext>
            </c:extLst>
          </c:dPt>
          <c:dPt>
            <c:idx val="3"/>
            <c:bubble3D val="0"/>
            <c:extLst>
              <c:ext xmlns:c16="http://schemas.microsoft.com/office/drawing/2014/chart" uri="{C3380CC4-5D6E-409C-BE32-E72D297353CC}">
                <c16:uniqueId val="{00000003-2FA2-440D-B31A-935361C5B81B}"/>
              </c:ext>
            </c:extLst>
          </c:dPt>
          <c:dPt>
            <c:idx val="4"/>
            <c:bubble3D val="0"/>
            <c:extLst>
              <c:ext xmlns:c16="http://schemas.microsoft.com/office/drawing/2014/chart" uri="{C3380CC4-5D6E-409C-BE32-E72D297353CC}">
                <c16:uniqueId val="{00000004-2FA2-440D-B31A-935361C5B81B}"/>
              </c:ext>
            </c:extLst>
          </c:dPt>
          <c:dPt>
            <c:idx val="5"/>
            <c:bubble3D val="0"/>
            <c:extLst>
              <c:ext xmlns:c16="http://schemas.microsoft.com/office/drawing/2014/chart" uri="{C3380CC4-5D6E-409C-BE32-E72D297353CC}">
                <c16:uniqueId val="{00000005-2FA2-440D-B31A-935361C5B81B}"/>
              </c:ext>
            </c:extLst>
          </c:dPt>
          <c:dPt>
            <c:idx val="6"/>
            <c:bubble3D val="0"/>
            <c:extLst>
              <c:ext xmlns:c16="http://schemas.microsoft.com/office/drawing/2014/chart" uri="{C3380CC4-5D6E-409C-BE32-E72D297353CC}">
                <c16:uniqueId val="{00000006-2FA2-440D-B31A-935361C5B81B}"/>
              </c:ext>
            </c:extLst>
          </c:dPt>
          <c:dPt>
            <c:idx val="7"/>
            <c:bubble3D val="0"/>
            <c:extLst>
              <c:ext xmlns:c16="http://schemas.microsoft.com/office/drawing/2014/chart" uri="{C3380CC4-5D6E-409C-BE32-E72D297353CC}">
                <c16:uniqueId val="{00000007-2FA2-440D-B31A-935361C5B81B}"/>
              </c:ext>
            </c:extLst>
          </c:dPt>
          <c:dLbls>
            <c:dLbl>
              <c:idx val="0"/>
              <c:layout>
                <c:manualLayout>
                  <c:x val="-3.8928690251746702E-2"/>
                  <c:y val="-2.7128391896749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FA2-440D-B31A-935361C5B81B}"/>
                </c:ext>
              </c:extLst>
            </c:dLbl>
            <c:dLbl>
              <c:idx val="1"/>
              <c:layout>
                <c:manualLayout>
                  <c:x val="1.2953278930940537E-2"/>
                  <c:y val="-2.02512211727098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FA2-440D-B31A-935361C5B81B}"/>
                </c:ext>
              </c:extLst>
            </c:dLbl>
            <c:dLbl>
              <c:idx val="2"/>
              <c:layout>
                <c:manualLayout>
                  <c:x val="8.469151759448186E-2"/>
                  <c:y val="-4.2910176096750546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723561333450171"/>
                      <c:h val="0.14008764911544538"/>
                    </c:manualLayout>
                  </c15:layout>
                </c:ext>
                <c:ext xmlns:c16="http://schemas.microsoft.com/office/drawing/2014/chart" uri="{C3380CC4-5D6E-409C-BE32-E72D297353CC}">
                  <c16:uniqueId val="{00000002-2FA2-440D-B31A-935361C5B81B}"/>
                </c:ext>
              </c:extLst>
            </c:dLbl>
            <c:dLbl>
              <c:idx val="3"/>
              <c:layout>
                <c:manualLayout>
                  <c:x val="-8.3179462463853389E-3"/>
                  <c:y val="-2.561333243565274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FA2-440D-B31A-935361C5B81B}"/>
                </c:ext>
              </c:extLst>
            </c:dLbl>
            <c:dLbl>
              <c:idx val="4"/>
              <c:layout>
                <c:manualLayout>
                  <c:x val="2.8783314837323187E-4"/>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FA2-440D-B31A-935361C5B81B}"/>
                </c:ext>
              </c:extLst>
            </c:dLbl>
            <c:dLbl>
              <c:idx val="5"/>
              <c:layout>
                <c:manualLayout>
                  <c:x val="-2.2515464564102316E-2"/>
                  <c:y val="6.01775302057499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FA2-440D-B31A-935361C5B81B}"/>
                </c:ext>
              </c:extLst>
            </c:dLbl>
            <c:dLbl>
              <c:idx val="6"/>
              <c:layout>
                <c:manualLayout>
                  <c:x val="-9.0424433233604138E-3"/>
                  <c:y val="-4.0903233685568585E-2"/>
                </c:manualLayout>
              </c:layout>
              <c:tx>
                <c:rich>
                  <a:bodyPr/>
                  <a:lstStyle/>
                  <a:p>
                    <a:pPr>
                      <a:defRPr sz="1000" b="0" i="0" u="none" strike="noStrike" baseline="0">
                        <a:solidFill>
                          <a:srgbClr val="000000"/>
                        </a:solidFill>
                        <a:latin typeface="Calibri"/>
                        <a:ea typeface="Calibri"/>
                        <a:cs typeface="Calibri"/>
                      </a:defRPr>
                    </a:pPr>
                    <a:r>
                      <a:rPr lang="en-US" sz="1050" b="0" i="0" u="none" strike="noStrike" baseline="0">
                        <a:solidFill>
                          <a:srgbClr val="000000"/>
                        </a:solidFill>
                        <a:latin typeface="Arial"/>
                        <a:cs typeface="Arial"/>
                      </a:rPr>
                      <a:t>Capital</a:t>
                    </a:r>
                  </a:p>
                  <a:p>
                    <a:pPr>
                      <a:defRPr sz="1000" b="0" i="0" u="none" strike="noStrike" baseline="0">
                        <a:solidFill>
                          <a:srgbClr val="000000"/>
                        </a:solidFill>
                        <a:latin typeface="Calibri"/>
                        <a:ea typeface="Calibri"/>
                        <a:cs typeface="Calibri"/>
                      </a:defRPr>
                    </a:pPr>
                    <a:r>
                      <a:rPr lang="en-US" sz="1050" b="0" i="0" u="none" strike="noStrike" baseline="0">
                        <a:solidFill>
                          <a:srgbClr val="000000"/>
                        </a:solidFill>
                        <a:latin typeface="Arial"/>
                        <a:cs typeface="Arial"/>
                      </a:rPr>
                      <a:t> Financing</a:t>
                    </a:r>
                  </a:p>
                  <a:p>
                    <a:pPr>
                      <a:defRPr sz="1000" b="0" i="0" u="none" strike="noStrike" baseline="0">
                        <a:solidFill>
                          <a:srgbClr val="000000"/>
                        </a:solidFill>
                        <a:latin typeface="Calibri"/>
                        <a:ea typeface="Calibri"/>
                        <a:cs typeface="Calibri"/>
                      </a:defRPr>
                    </a:pPr>
                    <a:r>
                      <a:rPr lang="en-US" sz="1050" b="0" i="0" u="none" strike="noStrike" baseline="0">
                        <a:solidFill>
                          <a:srgbClr val="000000"/>
                        </a:solidFill>
                        <a:latin typeface="Arial"/>
                        <a:cs typeface="Arial"/>
                      </a:rPr>
                      <a:t>1%</a:t>
                    </a:r>
                  </a:p>
                </c:rich>
              </c:tx>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FA2-440D-B31A-935361C5B81B}"/>
                </c:ext>
              </c:extLst>
            </c:dLbl>
            <c:dLbl>
              <c:idx val="7"/>
              <c:layout>
                <c:manualLayout>
                  <c:x val="7.519014074226664E-2"/>
                  <c:y val="-1.3929983843923594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FA2-440D-B31A-935361C5B81B}"/>
                </c:ext>
              </c:extLst>
            </c:dLbl>
            <c:spPr>
              <a:noFill/>
              <a:ln>
                <a:noFill/>
              </a:ln>
              <a:effectLst/>
            </c:spPr>
            <c:txPr>
              <a:bodyPr/>
              <a:lstStyle/>
              <a:p>
                <a:pPr>
                  <a:defRPr sz="1050"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'What the money was spent on'!$A$4:$A$11</c:f>
              <c:strCache>
                <c:ptCount val="8"/>
                <c:pt idx="0">
                  <c:v>Employees</c:v>
                </c:pt>
                <c:pt idx="1">
                  <c:v>Premises</c:v>
                </c:pt>
                <c:pt idx="2">
                  <c:v>Third Party Payments</c:v>
                </c:pt>
                <c:pt idx="3">
                  <c:v>Transport</c:v>
                </c:pt>
                <c:pt idx="4">
                  <c:v>Supplies &amp; Services</c:v>
                </c:pt>
                <c:pt idx="5">
                  <c:v>Capital Charges</c:v>
                </c:pt>
                <c:pt idx="6">
                  <c:v>Capital Financing</c:v>
                </c:pt>
                <c:pt idx="7">
                  <c:v>Transfer Payments</c:v>
                </c:pt>
              </c:strCache>
            </c:strRef>
          </c:cat>
          <c:val>
            <c:numRef>
              <c:f>'What the money was spent on'!$B$4:$B$11</c:f>
              <c:numCache>
                <c:formatCode>"£"#,##0</c:formatCode>
                <c:ptCount val="8"/>
                <c:pt idx="0">
                  <c:v>19747</c:v>
                </c:pt>
                <c:pt idx="1">
                  <c:v>1791</c:v>
                </c:pt>
                <c:pt idx="2">
                  <c:v>23194</c:v>
                </c:pt>
                <c:pt idx="3">
                  <c:v>1968</c:v>
                </c:pt>
                <c:pt idx="4">
                  <c:v>5130</c:v>
                </c:pt>
                <c:pt idx="5">
                  <c:v>3543</c:v>
                </c:pt>
                <c:pt idx="6">
                  <c:v>1049</c:v>
                </c:pt>
                <c:pt idx="7">
                  <c:v>8304</c:v>
                </c:pt>
              </c:numCache>
            </c:numRef>
          </c:val>
          <c:extLst>
            <c:ext xmlns:c16="http://schemas.microsoft.com/office/drawing/2014/chart" uri="{C3380CC4-5D6E-409C-BE32-E72D297353CC}">
              <c16:uniqueId val="{00000008-2FA2-440D-B31A-935361C5B81B}"/>
            </c:ext>
          </c:extLst>
        </c:ser>
        <c:ser>
          <c:idx val="1"/>
          <c:order val="1"/>
          <c:tx>
            <c:strRef>
              <c:f>'What the money was spent on'!$C$2</c:f>
              <c:strCache>
                <c:ptCount val="1"/>
              </c:strCache>
            </c:strRef>
          </c:tx>
          <c:explosion val="25"/>
          <c:dPt>
            <c:idx val="0"/>
            <c:bubble3D val="0"/>
            <c:extLst>
              <c:ext xmlns:c16="http://schemas.microsoft.com/office/drawing/2014/chart" uri="{C3380CC4-5D6E-409C-BE32-E72D297353CC}">
                <c16:uniqueId val="{00000009-2FA2-440D-B31A-935361C5B81B}"/>
              </c:ext>
            </c:extLst>
          </c:dPt>
          <c:dPt>
            <c:idx val="1"/>
            <c:bubble3D val="0"/>
            <c:extLst>
              <c:ext xmlns:c16="http://schemas.microsoft.com/office/drawing/2014/chart" uri="{C3380CC4-5D6E-409C-BE32-E72D297353CC}">
                <c16:uniqueId val="{0000000A-2FA2-440D-B31A-935361C5B81B}"/>
              </c:ext>
            </c:extLst>
          </c:dPt>
          <c:dPt>
            <c:idx val="2"/>
            <c:bubble3D val="0"/>
            <c:extLst>
              <c:ext xmlns:c16="http://schemas.microsoft.com/office/drawing/2014/chart" uri="{C3380CC4-5D6E-409C-BE32-E72D297353CC}">
                <c16:uniqueId val="{0000000B-2FA2-440D-B31A-935361C5B81B}"/>
              </c:ext>
            </c:extLst>
          </c:dPt>
          <c:dPt>
            <c:idx val="3"/>
            <c:bubble3D val="0"/>
            <c:extLst>
              <c:ext xmlns:c16="http://schemas.microsoft.com/office/drawing/2014/chart" uri="{C3380CC4-5D6E-409C-BE32-E72D297353CC}">
                <c16:uniqueId val="{0000000C-2FA2-440D-B31A-935361C5B81B}"/>
              </c:ext>
            </c:extLst>
          </c:dPt>
          <c:dPt>
            <c:idx val="4"/>
            <c:bubble3D val="0"/>
            <c:extLst>
              <c:ext xmlns:c16="http://schemas.microsoft.com/office/drawing/2014/chart" uri="{C3380CC4-5D6E-409C-BE32-E72D297353CC}">
                <c16:uniqueId val="{0000000D-2FA2-440D-B31A-935361C5B81B}"/>
              </c:ext>
            </c:extLst>
          </c:dPt>
          <c:dPt>
            <c:idx val="5"/>
            <c:bubble3D val="0"/>
            <c:extLst>
              <c:ext xmlns:c16="http://schemas.microsoft.com/office/drawing/2014/chart" uri="{C3380CC4-5D6E-409C-BE32-E72D297353CC}">
                <c16:uniqueId val="{0000000E-2FA2-440D-B31A-935361C5B81B}"/>
              </c:ext>
            </c:extLst>
          </c:dPt>
          <c:dPt>
            <c:idx val="6"/>
            <c:bubble3D val="0"/>
            <c:extLst>
              <c:ext xmlns:c16="http://schemas.microsoft.com/office/drawing/2014/chart" uri="{C3380CC4-5D6E-409C-BE32-E72D297353CC}">
                <c16:uniqueId val="{0000000F-2FA2-440D-B31A-935361C5B81B}"/>
              </c:ext>
            </c:extLst>
          </c:dPt>
          <c:dPt>
            <c:idx val="7"/>
            <c:bubble3D val="0"/>
            <c:extLst>
              <c:ext xmlns:c16="http://schemas.microsoft.com/office/drawing/2014/chart" uri="{C3380CC4-5D6E-409C-BE32-E72D297353CC}">
                <c16:uniqueId val="{00000010-2FA2-440D-B31A-935361C5B81B}"/>
              </c:ext>
            </c:extLst>
          </c:dPt>
          <c:cat>
            <c:strRef>
              <c:f>'What the money was spent on'!$A$4:$A$11</c:f>
              <c:strCache>
                <c:ptCount val="8"/>
                <c:pt idx="0">
                  <c:v>Employees</c:v>
                </c:pt>
                <c:pt idx="1">
                  <c:v>Premises</c:v>
                </c:pt>
                <c:pt idx="2">
                  <c:v>Third Party Payments</c:v>
                </c:pt>
                <c:pt idx="3">
                  <c:v>Transport</c:v>
                </c:pt>
                <c:pt idx="4">
                  <c:v>Supplies &amp; Services</c:v>
                </c:pt>
                <c:pt idx="5">
                  <c:v>Capital Charges</c:v>
                </c:pt>
                <c:pt idx="6">
                  <c:v>Capital Financing</c:v>
                </c:pt>
                <c:pt idx="7">
                  <c:v>Transfer Payments</c:v>
                </c:pt>
              </c:strCache>
            </c:strRef>
          </c:cat>
          <c:val>
            <c:numRef>
              <c:f>'What the money was spent on'!$C$4:$C$11</c:f>
              <c:numCache>
                <c:formatCode>0.00%</c:formatCode>
                <c:ptCount val="8"/>
                <c:pt idx="0">
                  <c:v>0.30508605506288045</c:v>
                </c:pt>
                <c:pt idx="1">
                  <c:v>2.7670487902852023E-2</c:v>
                </c:pt>
                <c:pt idx="2">
                  <c:v>0.35834131570002781</c:v>
                </c:pt>
                <c:pt idx="3">
                  <c:v>3.0405092234959675E-2</c:v>
                </c:pt>
                <c:pt idx="4">
                  <c:v>7.9257176405154034E-2</c:v>
                </c:pt>
                <c:pt idx="5">
                  <c:v>5.4738435868121001E-2</c:v>
                </c:pt>
                <c:pt idx="6">
                  <c:v>1.6206779346784907E-2</c:v>
                </c:pt>
                <c:pt idx="7">
                  <c:v>0.12829465747922009</c:v>
                </c:pt>
              </c:numCache>
            </c:numRef>
          </c:val>
          <c:extLst>
            <c:ext xmlns:c16="http://schemas.microsoft.com/office/drawing/2014/chart" uri="{C3380CC4-5D6E-409C-BE32-E72D297353CC}">
              <c16:uniqueId val="{00000011-2FA2-440D-B31A-935361C5B81B}"/>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ln w="28575">
      <a:solidFill>
        <a:schemeClr val="accent6">
          <a:lumMod val="60000"/>
          <a:lumOff val="40000"/>
        </a:scheme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en-GB"/>
              <a:t>Where the money came from </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'Where the money came from'!$B$2</c:f>
              <c:strCache>
                <c:ptCount val="1"/>
                <c:pt idx="0">
                  <c:v>Where the money came from (£'000)</c:v>
                </c:pt>
              </c:strCache>
            </c:strRef>
          </c:tx>
          <c:explosion val="5"/>
          <c:dPt>
            <c:idx val="0"/>
            <c:bubble3D val="0"/>
            <c:extLst>
              <c:ext xmlns:c16="http://schemas.microsoft.com/office/drawing/2014/chart" uri="{C3380CC4-5D6E-409C-BE32-E72D297353CC}">
                <c16:uniqueId val="{00000000-5E84-4506-B6DF-8F5B3C94B02F}"/>
              </c:ext>
            </c:extLst>
          </c:dPt>
          <c:dPt>
            <c:idx val="1"/>
            <c:bubble3D val="0"/>
            <c:extLst>
              <c:ext xmlns:c16="http://schemas.microsoft.com/office/drawing/2014/chart" uri="{C3380CC4-5D6E-409C-BE32-E72D297353CC}">
                <c16:uniqueId val="{00000001-5E84-4506-B6DF-8F5B3C94B02F}"/>
              </c:ext>
            </c:extLst>
          </c:dPt>
          <c:dPt>
            <c:idx val="2"/>
            <c:bubble3D val="0"/>
            <c:extLst>
              <c:ext xmlns:c16="http://schemas.microsoft.com/office/drawing/2014/chart" uri="{C3380CC4-5D6E-409C-BE32-E72D297353CC}">
                <c16:uniqueId val="{00000002-5E84-4506-B6DF-8F5B3C94B02F}"/>
              </c:ext>
            </c:extLst>
          </c:dPt>
          <c:dPt>
            <c:idx val="3"/>
            <c:bubble3D val="0"/>
            <c:extLst>
              <c:ext xmlns:c16="http://schemas.microsoft.com/office/drawing/2014/chart" uri="{C3380CC4-5D6E-409C-BE32-E72D297353CC}">
                <c16:uniqueId val="{00000003-5E84-4506-B6DF-8F5B3C94B02F}"/>
              </c:ext>
            </c:extLst>
          </c:dPt>
          <c:dPt>
            <c:idx val="4"/>
            <c:bubble3D val="0"/>
            <c:extLst>
              <c:ext xmlns:c16="http://schemas.microsoft.com/office/drawing/2014/chart" uri="{C3380CC4-5D6E-409C-BE32-E72D297353CC}">
                <c16:uniqueId val="{00000004-5E84-4506-B6DF-8F5B3C94B02F}"/>
              </c:ext>
            </c:extLst>
          </c:dPt>
          <c:dPt>
            <c:idx val="5"/>
            <c:bubble3D val="0"/>
            <c:extLst>
              <c:ext xmlns:c16="http://schemas.microsoft.com/office/drawing/2014/chart" uri="{C3380CC4-5D6E-409C-BE32-E72D297353CC}">
                <c16:uniqueId val="{00000005-5E84-4506-B6DF-8F5B3C94B02F}"/>
              </c:ext>
            </c:extLst>
          </c:dPt>
          <c:dLbls>
            <c:dLbl>
              <c:idx val="0"/>
              <c:layout>
                <c:manualLayout>
                  <c:x val="-1.5128218769951053E-2"/>
                  <c:y val="-3.99368679260686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E84-4506-B6DF-8F5B3C94B02F}"/>
                </c:ext>
              </c:extLst>
            </c:dLbl>
            <c:dLbl>
              <c:idx val="1"/>
              <c:layout>
                <c:manualLayout>
                  <c:x val="-7.1587509232252169E-3"/>
                  <c:y val="-5.8634302408078365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E84-4506-B6DF-8F5B3C94B02F}"/>
                </c:ext>
              </c:extLst>
            </c:dLbl>
            <c:dLbl>
              <c:idx val="2"/>
              <c:layout>
                <c:manualLayout>
                  <c:x val="-4.1696417528960646E-2"/>
                  <c:y val="-8.1889763779527554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E84-4506-B6DF-8F5B3C94B02F}"/>
                </c:ext>
              </c:extLst>
            </c:dLbl>
            <c:dLbl>
              <c:idx val="3"/>
              <c:layout>
                <c:manualLayout>
                  <c:x val="1.1346617387112325E-2"/>
                  <c:y val="6.179552857097682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84-4506-B6DF-8F5B3C94B02F}"/>
                </c:ext>
              </c:extLst>
            </c:dLbl>
            <c:dLbl>
              <c:idx val="4"/>
              <c:layout>
                <c:manualLayout>
                  <c:x val="-4.0842544721655782E-3"/>
                  <c:y val="4.91112333495958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E84-4506-B6DF-8F5B3C94B02F}"/>
                </c:ext>
              </c:extLst>
            </c:dLbl>
            <c:dLbl>
              <c:idx val="5"/>
              <c:layout>
                <c:manualLayout>
                  <c:x val="3.8382702162229722E-3"/>
                  <c:y val="2.604610568257281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E84-4506-B6DF-8F5B3C94B02F}"/>
                </c:ext>
              </c:extLst>
            </c:dLbl>
            <c:numFmt formatCode="0.0%" sourceLinked="0"/>
            <c:spPr>
              <a:noFill/>
              <a:ln>
                <a:noFill/>
              </a:ln>
              <a:effectLst/>
            </c:spPr>
            <c:txPr>
              <a:bodyPr/>
              <a:lstStyle/>
              <a:p>
                <a:pPr>
                  <a:defRPr sz="1050"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'Where the money came from'!$A$4:$A$8</c:f>
              <c:strCache>
                <c:ptCount val="5"/>
                <c:pt idx="0">
                  <c:v>Other Grants and Contributions</c:v>
                </c:pt>
                <c:pt idx="1">
                  <c:v>Capital Grants &amp; Contributions</c:v>
                </c:pt>
                <c:pt idx="2">
                  <c:v>NNDR</c:v>
                </c:pt>
                <c:pt idx="3">
                  <c:v>Council Tax</c:v>
                </c:pt>
                <c:pt idx="4">
                  <c:v>Rents,Interest, Fees and Charges</c:v>
                </c:pt>
              </c:strCache>
            </c:strRef>
          </c:cat>
          <c:val>
            <c:numRef>
              <c:f>'Where the money came from'!$B$4:$B$8</c:f>
              <c:numCache>
                <c:formatCode>"£"#,##0</c:formatCode>
                <c:ptCount val="5"/>
                <c:pt idx="0">
                  <c:v>22841</c:v>
                </c:pt>
                <c:pt idx="1">
                  <c:v>4297</c:v>
                </c:pt>
                <c:pt idx="2">
                  <c:v>5374</c:v>
                </c:pt>
                <c:pt idx="3">
                  <c:v>26490</c:v>
                </c:pt>
                <c:pt idx="4">
                  <c:v>5779</c:v>
                </c:pt>
              </c:numCache>
            </c:numRef>
          </c:val>
          <c:extLst>
            <c:ext xmlns:c16="http://schemas.microsoft.com/office/drawing/2014/chart" uri="{C3380CC4-5D6E-409C-BE32-E72D297353CC}">
              <c16:uniqueId val="{00000006-5E84-4506-B6DF-8F5B3C94B02F}"/>
            </c:ext>
          </c:extLst>
        </c:ser>
        <c:ser>
          <c:idx val="1"/>
          <c:order val="1"/>
          <c:tx>
            <c:strRef>
              <c:f>'Where the money came from'!$C$2</c:f>
              <c:strCache>
                <c:ptCount val="1"/>
              </c:strCache>
            </c:strRef>
          </c:tx>
          <c:explosion val="25"/>
          <c:dPt>
            <c:idx val="0"/>
            <c:bubble3D val="0"/>
            <c:extLst>
              <c:ext xmlns:c16="http://schemas.microsoft.com/office/drawing/2014/chart" uri="{C3380CC4-5D6E-409C-BE32-E72D297353CC}">
                <c16:uniqueId val="{00000007-5E84-4506-B6DF-8F5B3C94B02F}"/>
              </c:ext>
            </c:extLst>
          </c:dPt>
          <c:dPt>
            <c:idx val="1"/>
            <c:bubble3D val="0"/>
            <c:extLst>
              <c:ext xmlns:c16="http://schemas.microsoft.com/office/drawing/2014/chart" uri="{C3380CC4-5D6E-409C-BE32-E72D297353CC}">
                <c16:uniqueId val="{00000008-5E84-4506-B6DF-8F5B3C94B02F}"/>
              </c:ext>
            </c:extLst>
          </c:dPt>
          <c:dPt>
            <c:idx val="2"/>
            <c:bubble3D val="0"/>
            <c:extLst>
              <c:ext xmlns:c16="http://schemas.microsoft.com/office/drawing/2014/chart" uri="{C3380CC4-5D6E-409C-BE32-E72D297353CC}">
                <c16:uniqueId val="{00000009-5E84-4506-B6DF-8F5B3C94B02F}"/>
              </c:ext>
            </c:extLst>
          </c:dPt>
          <c:dPt>
            <c:idx val="3"/>
            <c:bubble3D val="0"/>
            <c:extLst>
              <c:ext xmlns:c16="http://schemas.microsoft.com/office/drawing/2014/chart" uri="{C3380CC4-5D6E-409C-BE32-E72D297353CC}">
                <c16:uniqueId val="{0000000A-5E84-4506-B6DF-8F5B3C94B02F}"/>
              </c:ext>
            </c:extLst>
          </c:dPt>
          <c:dPt>
            <c:idx val="4"/>
            <c:bubble3D val="0"/>
            <c:extLst>
              <c:ext xmlns:c16="http://schemas.microsoft.com/office/drawing/2014/chart" uri="{C3380CC4-5D6E-409C-BE32-E72D297353CC}">
                <c16:uniqueId val="{0000000B-5E84-4506-B6DF-8F5B3C94B02F}"/>
              </c:ext>
            </c:extLst>
          </c:dPt>
          <c:dPt>
            <c:idx val="5"/>
            <c:bubble3D val="0"/>
            <c:extLst>
              <c:ext xmlns:c16="http://schemas.microsoft.com/office/drawing/2014/chart" uri="{C3380CC4-5D6E-409C-BE32-E72D297353CC}">
                <c16:uniqueId val="{0000000C-5E84-4506-B6DF-8F5B3C94B02F}"/>
              </c:ext>
            </c:extLst>
          </c:dPt>
          <c:cat>
            <c:strRef>
              <c:f>'Where the money came from'!$A$4:$A$8</c:f>
              <c:strCache>
                <c:ptCount val="5"/>
                <c:pt idx="0">
                  <c:v>Other Grants and Contributions</c:v>
                </c:pt>
                <c:pt idx="1">
                  <c:v>Capital Grants &amp; Contributions</c:v>
                </c:pt>
                <c:pt idx="2">
                  <c:v>NNDR</c:v>
                </c:pt>
                <c:pt idx="3">
                  <c:v>Council Tax</c:v>
                </c:pt>
                <c:pt idx="4">
                  <c:v>Rents,Interest, Fees and Charges</c:v>
                </c:pt>
              </c:strCache>
            </c:strRef>
          </c:cat>
          <c:val>
            <c:numRef>
              <c:f>'Where the money came from'!$C$4:$C$8</c:f>
              <c:numCache>
                <c:formatCode>0.00%</c:formatCode>
                <c:ptCount val="5"/>
                <c:pt idx="0">
                  <c:v>0.3525879501705747</c:v>
                </c:pt>
                <c:pt idx="1">
                  <c:v>6.6331177351383899E-2</c:v>
                </c:pt>
                <c:pt idx="2">
                  <c:v>8.2956422407804764E-2</c:v>
                </c:pt>
                <c:pt idx="3">
                  <c:v>0.4089161945632207</c:v>
                </c:pt>
                <c:pt idx="4">
                  <c:v>8.9208255507015943E-2</c:v>
                </c:pt>
              </c:numCache>
            </c:numRef>
          </c:val>
          <c:extLst>
            <c:ext xmlns:c16="http://schemas.microsoft.com/office/drawing/2014/chart" uri="{C3380CC4-5D6E-409C-BE32-E72D297353CC}">
              <c16:uniqueId val="{0000000D-5E84-4506-B6DF-8F5B3C94B02F}"/>
            </c:ext>
          </c:extLst>
        </c:ser>
        <c:dLbls>
          <c:showLegendKey val="0"/>
          <c:showVal val="0"/>
          <c:showCatName val="0"/>
          <c:showSerName val="0"/>
          <c:showPercent val="0"/>
          <c:showBubbleSize val="0"/>
          <c:showLeaderLines val="0"/>
        </c:dLbls>
      </c:pie3DChart>
      <c:spPr>
        <a:noFill/>
        <a:ln w="25400">
          <a:noFill/>
        </a:ln>
      </c:spPr>
    </c:plotArea>
    <c:plotVisOnly val="1"/>
    <c:dispBlanksAs val="zero"/>
    <c:showDLblsOverMax val="0"/>
  </c:chart>
  <c:spPr>
    <a:ln w="28575">
      <a:solidFill>
        <a:schemeClr val="accent6">
          <a:lumMod val="60000"/>
          <a:lumOff val="40000"/>
        </a:schemeClr>
      </a:solid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9A91E185-2923-4ECB-A828-5F3EAC508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45114</Words>
  <Characters>252876</Characters>
  <Application>Microsoft Office Word</Application>
  <DocSecurity>0</DocSecurity>
  <Lines>2107</Lines>
  <Paragraphs>594</Paragraphs>
  <ScaleCrop>false</ScaleCrop>
  <HeadingPairs>
    <vt:vector size="2" baseType="variant">
      <vt:variant>
        <vt:lpstr>Title</vt:lpstr>
      </vt:variant>
      <vt:variant>
        <vt:i4>1</vt:i4>
      </vt:variant>
    </vt:vector>
  </HeadingPairs>
  <TitlesOfParts>
    <vt:vector size="1" baseType="lpstr">
      <vt:lpstr>Statement of Accounts 2010/11</vt:lpstr>
    </vt:vector>
  </TitlesOfParts>
  <Company>PETERBOROUGH CITY COUNCIL</Company>
  <LinksUpToDate>false</LinksUpToDate>
  <CharactersWithSpaces>297396</CharactersWithSpaces>
  <SharedDoc>false</SharedDoc>
  <HLinks>
    <vt:vector size="390" baseType="variant">
      <vt:variant>
        <vt:i4>1966132</vt:i4>
      </vt:variant>
      <vt:variant>
        <vt:i4>3155</vt:i4>
      </vt:variant>
      <vt:variant>
        <vt:i4>0</vt:i4>
      </vt:variant>
      <vt:variant>
        <vt:i4>5</vt:i4>
      </vt:variant>
      <vt:variant>
        <vt:lpwstr/>
      </vt:variant>
      <vt:variant>
        <vt:lpwstr>_Toc366842553</vt:lpwstr>
      </vt:variant>
      <vt:variant>
        <vt:i4>1966132</vt:i4>
      </vt:variant>
      <vt:variant>
        <vt:i4>3149</vt:i4>
      </vt:variant>
      <vt:variant>
        <vt:i4>0</vt:i4>
      </vt:variant>
      <vt:variant>
        <vt:i4>5</vt:i4>
      </vt:variant>
      <vt:variant>
        <vt:lpwstr/>
      </vt:variant>
      <vt:variant>
        <vt:lpwstr>_Toc366842552</vt:lpwstr>
      </vt:variant>
      <vt:variant>
        <vt:i4>1966132</vt:i4>
      </vt:variant>
      <vt:variant>
        <vt:i4>3143</vt:i4>
      </vt:variant>
      <vt:variant>
        <vt:i4>0</vt:i4>
      </vt:variant>
      <vt:variant>
        <vt:i4>5</vt:i4>
      </vt:variant>
      <vt:variant>
        <vt:lpwstr/>
      </vt:variant>
      <vt:variant>
        <vt:lpwstr>_Toc366842551</vt:lpwstr>
      </vt:variant>
      <vt:variant>
        <vt:i4>1966132</vt:i4>
      </vt:variant>
      <vt:variant>
        <vt:i4>3137</vt:i4>
      </vt:variant>
      <vt:variant>
        <vt:i4>0</vt:i4>
      </vt:variant>
      <vt:variant>
        <vt:i4>5</vt:i4>
      </vt:variant>
      <vt:variant>
        <vt:lpwstr/>
      </vt:variant>
      <vt:variant>
        <vt:lpwstr>_Toc366842550</vt:lpwstr>
      </vt:variant>
      <vt:variant>
        <vt:i4>2031668</vt:i4>
      </vt:variant>
      <vt:variant>
        <vt:i4>3131</vt:i4>
      </vt:variant>
      <vt:variant>
        <vt:i4>0</vt:i4>
      </vt:variant>
      <vt:variant>
        <vt:i4>5</vt:i4>
      </vt:variant>
      <vt:variant>
        <vt:lpwstr/>
      </vt:variant>
      <vt:variant>
        <vt:lpwstr>_Toc366842549</vt:lpwstr>
      </vt:variant>
      <vt:variant>
        <vt:i4>2031668</vt:i4>
      </vt:variant>
      <vt:variant>
        <vt:i4>3125</vt:i4>
      </vt:variant>
      <vt:variant>
        <vt:i4>0</vt:i4>
      </vt:variant>
      <vt:variant>
        <vt:i4>5</vt:i4>
      </vt:variant>
      <vt:variant>
        <vt:lpwstr/>
      </vt:variant>
      <vt:variant>
        <vt:lpwstr>_Toc366842548</vt:lpwstr>
      </vt:variant>
      <vt:variant>
        <vt:i4>2031668</vt:i4>
      </vt:variant>
      <vt:variant>
        <vt:i4>3119</vt:i4>
      </vt:variant>
      <vt:variant>
        <vt:i4>0</vt:i4>
      </vt:variant>
      <vt:variant>
        <vt:i4>5</vt:i4>
      </vt:variant>
      <vt:variant>
        <vt:lpwstr/>
      </vt:variant>
      <vt:variant>
        <vt:lpwstr>_Toc366842547</vt:lpwstr>
      </vt:variant>
      <vt:variant>
        <vt:i4>2031668</vt:i4>
      </vt:variant>
      <vt:variant>
        <vt:i4>3113</vt:i4>
      </vt:variant>
      <vt:variant>
        <vt:i4>0</vt:i4>
      </vt:variant>
      <vt:variant>
        <vt:i4>5</vt:i4>
      </vt:variant>
      <vt:variant>
        <vt:lpwstr/>
      </vt:variant>
      <vt:variant>
        <vt:lpwstr>_Toc366842546</vt:lpwstr>
      </vt:variant>
      <vt:variant>
        <vt:i4>2031668</vt:i4>
      </vt:variant>
      <vt:variant>
        <vt:i4>3107</vt:i4>
      </vt:variant>
      <vt:variant>
        <vt:i4>0</vt:i4>
      </vt:variant>
      <vt:variant>
        <vt:i4>5</vt:i4>
      </vt:variant>
      <vt:variant>
        <vt:lpwstr/>
      </vt:variant>
      <vt:variant>
        <vt:lpwstr>_Toc366842545</vt:lpwstr>
      </vt:variant>
      <vt:variant>
        <vt:i4>2031668</vt:i4>
      </vt:variant>
      <vt:variant>
        <vt:i4>3101</vt:i4>
      </vt:variant>
      <vt:variant>
        <vt:i4>0</vt:i4>
      </vt:variant>
      <vt:variant>
        <vt:i4>5</vt:i4>
      </vt:variant>
      <vt:variant>
        <vt:lpwstr/>
      </vt:variant>
      <vt:variant>
        <vt:lpwstr>_Toc366842544</vt:lpwstr>
      </vt:variant>
      <vt:variant>
        <vt:i4>2031668</vt:i4>
      </vt:variant>
      <vt:variant>
        <vt:i4>3095</vt:i4>
      </vt:variant>
      <vt:variant>
        <vt:i4>0</vt:i4>
      </vt:variant>
      <vt:variant>
        <vt:i4>5</vt:i4>
      </vt:variant>
      <vt:variant>
        <vt:lpwstr/>
      </vt:variant>
      <vt:variant>
        <vt:lpwstr>_Toc366842543</vt:lpwstr>
      </vt:variant>
      <vt:variant>
        <vt:i4>2031668</vt:i4>
      </vt:variant>
      <vt:variant>
        <vt:i4>3089</vt:i4>
      </vt:variant>
      <vt:variant>
        <vt:i4>0</vt:i4>
      </vt:variant>
      <vt:variant>
        <vt:i4>5</vt:i4>
      </vt:variant>
      <vt:variant>
        <vt:lpwstr/>
      </vt:variant>
      <vt:variant>
        <vt:lpwstr>_Toc366842542</vt:lpwstr>
      </vt:variant>
      <vt:variant>
        <vt:i4>2031668</vt:i4>
      </vt:variant>
      <vt:variant>
        <vt:i4>3083</vt:i4>
      </vt:variant>
      <vt:variant>
        <vt:i4>0</vt:i4>
      </vt:variant>
      <vt:variant>
        <vt:i4>5</vt:i4>
      </vt:variant>
      <vt:variant>
        <vt:lpwstr/>
      </vt:variant>
      <vt:variant>
        <vt:lpwstr>_Toc366842541</vt:lpwstr>
      </vt:variant>
      <vt:variant>
        <vt:i4>2031668</vt:i4>
      </vt:variant>
      <vt:variant>
        <vt:i4>3077</vt:i4>
      </vt:variant>
      <vt:variant>
        <vt:i4>0</vt:i4>
      </vt:variant>
      <vt:variant>
        <vt:i4>5</vt:i4>
      </vt:variant>
      <vt:variant>
        <vt:lpwstr/>
      </vt:variant>
      <vt:variant>
        <vt:lpwstr>_Toc366842540</vt:lpwstr>
      </vt:variant>
      <vt:variant>
        <vt:i4>1572916</vt:i4>
      </vt:variant>
      <vt:variant>
        <vt:i4>3071</vt:i4>
      </vt:variant>
      <vt:variant>
        <vt:i4>0</vt:i4>
      </vt:variant>
      <vt:variant>
        <vt:i4>5</vt:i4>
      </vt:variant>
      <vt:variant>
        <vt:lpwstr/>
      </vt:variant>
      <vt:variant>
        <vt:lpwstr>_Toc366842539</vt:lpwstr>
      </vt:variant>
      <vt:variant>
        <vt:i4>1572916</vt:i4>
      </vt:variant>
      <vt:variant>
        <vt:i4>3065</vt:i4>
      </vt:variant>
      <vt:variant>
        <vt:i4>0</vt:i4>
      </vt:variant>
      <vt:variant>
        <vt:i4>5</vt:i4>
      </vt:variant>
      <vt:variant>
        <vt:lpwstr/>
      </vt:variant>
      <vt:variant>
        <vt:lpwstr>_Toc366842538</vt:lpwstr>
      </vt:variant>
      <vt:variant>
        <vt:i4>1572916</vt:i4>
      </vt:variant>
      <vt:variant>
        <vt:i4>3059</vt:i4>
      </vt:variant>
      <vt:variant>
        <vt:i4>0</vt:i4>
      </vt:variant>
      <vt:variant>
        <vt:i4>5</vt:i4>
      </vt:variant>
      <vt:variant>
        <vt:lpwstr/>
      </vt:variant>
      <vt:variant>
        <vt:lpwstr>_Toc366842537</vt:lpwstr>
      </vt:variant>
      <vt:variant>
        <vt:i4>1572916</vt:i4>
      </vt:variant>
      <vt:variant>
        <vt:i4>3053</vt:i4>
      </vt:variant>
      <vt:variant>
        <vt:i4>0</vt:i4>
      </vt:variant>
      <vt:variant>
        <vt:i4>5</vt:i4>
      </vt:variant>
      <vt:variant>
        <vt:lpwstr/>
      </vt:variant>
      <vt:variant>
        <vt:lpwstr>_Toc366842536</vt:lpwstr>
      </vt:variant>
      <vt:variant>
        <vt:i4>1572916</vt:i4>
      </vt:variant>
      <vt:variant>
        <vt:i4>3047</vt:i4>
      </vt:variant>
      <vt:variant>
        <vt:i4>0</vt:i4>
      </vt:variant>
      <vt:variant>
        <vt:i4>5</vt:i4>
      </vt:variant>
      <vt:variant>
        <vt:lpwstr/>
      </vt:variant>
      <vt:variant>
        <vt:lpwstr>_Toc366842535</vt:lpwstr>
      </vt:variant>
      <vt:variant>
        <vt:i4>1572916</vt:i4>
      </vt:variant>
      <vt:variant>
        <vt:i4>3041</vt:i4>
      </vt:variant>
      <vt:variant>
        <vt:i4>0</vt:i4>
      </vt:variant>
      <vt:variant>
        <vt:i4>5</vt:i4>
      </vt:variant>
      <vt:variant>
        <vt:lpwstr/>
      </vt:variant>
      <vt:variant>
        <vt:lpwstr>_Toc366842534</vt:lpwstr>
      </vt:variant>
      <vt:variant>
        <vt:i4>1572916</vt:i4>
      </vt:variant>
      <vt:variant>
        <vt:i4>3035</vt:i4>
      </vt:variant>
      <vt:variant>
        <vt:i4>0</vt:i4>
      </vt:variant>
      <vt:variant>
        <vt:i4>5</vt:i4>
      </vt:variant>
      <vt:variant>
        <vt:lpwstr/>
      </vt:variant>
      <vt:variant>
        <vt:lpwstr>_Toc366842533</vt:lpwstr>
      </vt:variant>
      <vt:variant>
        <vt:i4>1572916</vt:i4>
      </vt:variant>
      <vt:variant>
        <vt:i4>3029</vt:i4>
      </vt:variant>
      <vt:variant>
        <vt:i4>0</vt:i4>
      </vt:variant>
      <vt:variant>
        <vt:i4>5</vt:i4>
      </vt:variant>
      <vt:variant>
        <vt:lpwstr/>
      </vt:variant>
      <vt:variant>
        <vt:lpwstr>_Toc366842532</vt:lpwstr>
      </vt:variant>
      <vt:variant>
        <vt:i4>1572916</vt:i4>
      </vt:variant>
      <vt:variant>
        <vt:i4>3023</vt:i4>
      </vt:variant>
      <vt:variant>
        <vt:i4>0</vt:i4>
      </vt:variant>
      <vt:variant>
        <vt:i4>5</vt:i4>
      </vt:variant>
      <vt:variant>
        <vt:lpwstr/>
      </vt:variant>
      <vt:variant>
        <vt:lpwstr>_Toc366842531</vt:lpwstr>
      </vt:variant>
      <vt:variant>
        <vt:i4>1572916</vt:i4>
      </vt:variant>
      <vt:variant>
        <vt:i4>3017</vt:i4>
      </vt:variant>
      <vt:variant>
        <vt:i4>0</vt:i4>
      </vt:variant>
      <vt:variant>
        <vt:i4>5</vt:i4>
      </vt:variant>
      <vt:variant>
        <vt:lpwstr/>
      </vt:variant>
      <vt:variant>
        <vt:lpwstr>_Toc366842530</vt:lpwstr>
      </vt:variant>
      <vt:variant>
        <vt:i4>1638452</vt:i4>
      </vt:variant>
      <vt:variant>
        <vt:i4>3011</vt:i4>
      </vt:variant>
      <vt:variant>
        <vt:i4>0</vt:i4>
      </vt:variant>
      <vt:variant>
        <vt:i4>5</vt:i4>
      </vt:variant>
      <vt:variant>
        <vt:lpwstr/>
      </vt:variant>
      <vt:variant>
        <vt:lpwstr>_Toc366842529</vt:lpwstr>
      </vt:variant>
      <vt:variant>
        <vt:i4>1638452</vt:i4>
      </vt:variant>
      <vt:variant>
        <vt:i4>3005</vt:i4>
      </vt:variant>
      <vt:variant>
        <vt:i4>0</vt:i4>
      </vt:variant>
      <vt:variant>
        <vt:i4>5</vt:i4>
      </vt:variant>
      <vt:variant>
        <vt:lpwstr/>
      </vt:variant>
      <vt:variant>
        <vt:lpwstr>_Toc366842528</vt:lpwstr>
      </vt:variant>
      <vt:variant>
        <vt:i4>1638452</vt:i4>
      </vt:variant>
      <vt:variant>
        <vt:i4>2999</vt:i4>
      </vt:variant>
      <vt:variant>
        <vt:i4>0</vt:i4>
      </vt:variant>
      <vt:variant>
        <vt:i4>5</vt:i4>
      </vt:variant>
      <vt:variant>
        <vt:lpwstr/>
      </vt:variant>
      <vt:variant>
        <vt:lpwstr>_Toc366842527</vt:lpwstr>
      </vt:variant>
      <vt:variant>
        <vt:i4>1638452</vt:i4>
      </vt:variant>
      <vt:variant>
        <vt:i4>2993</vt:i4>
      </vt:variant>
      <vt:variant>
        <vt:i4>0</vt:i4>
      </vt:variant>
      <vt:variant>
        <vt:i4>5</vt:i4>
      </vt:variant>
      <vt:variant>
        <vt:lpwstr/>
      </vt:variant>
      <vt:variant>
        <vt:lpwstr>_Toc366842526</vt:lpwstr>
      </vt:variant>
      <vt:variant>
        <vt:i4>1638452</vt:i4>
      </vt:variant>
      <vt:variant>
        <vt:i4>2987</vt:i4>
      </vt:variant>
      <vt:variant>
        <vt:i4>0</vt:i4>
      </vt:variant>
      <vt:variant>
        <vt:i4>5</vt:i4>
      </vt:variant>
      <vt:variant>
        <vt:lpwstr/>
      </vt:variant>
      <vt:variant>
        <vt:lpwstr>_Toc366842525</vt:lpwstr>
      </vt:variant>
      <vt:variant>
        <vt:i4>1638452</vt:i4>
      </vt:variant>
      <vt:variant>
        <vt:i4>2981</vt:i4>
      </vt:variant>
      <vt:variant>
        <vt:i4>0</vt:i4>
      </vt:variant>
      <vt:variant>
        <vt:i4>5</vt:i4>
      </vt:variant>
      <vt:variant>
        <vt:lpwstr/>
      </vt:variant>
      <vt:variant>
        <vt:lpwstr>_Toc366842524</vt:lpwstr>
      </vt:variant>
      <vt:variant>
        <vt:i4>1638452</vt:i4>
      </vt:variant>
      <vt:variant>
        <vt:i4>2975</vt:i4>
      </vt:variant>
      <vt:variant>
        <vt:i4>0</vt:i4>
      </vt:variant>
      <vt:variant>
        <vt:i4>5</vt:i4>
      </vt:variant>
      <vt:variant>
        <vt:lpwstr/>
      </vt:variant>
      <vt:variant>
        <vt:lpwstr>_Toc366842523</vt:lpwstr>
      </vt:variant>
      <vt:variant>
        <vt:i4>1638452</vt:i4>
      </vt:variant>
      <vt:variant>
        <vt:i4>2969</vt:i4>
      </vt:variant>
      <vt:variant>
        <vt:i4>0</vt:i4>
      </vt:variant>
      <vt:variant>
        <vt:i4>5</vt:i4>
      </vt:variant>
      <vt:variant>
        <vt:lpwstr/>
      </vt:variant>
      <vt:variant>
        <vt:lpwstr>_Toc366842522</vt:lpwstr>
      </vt:variant>
      <vt:variant>
        <vt:i4>1638452</vt:i4>
      </vt:variant>
      <vt:variant>
        <vt:i4>2963</vt:i4>
      </vt:variant>
      <vt:variant>
        <vt:i4>0</vt:i4>
      </vt:variant>
      <vt:variant>
        <vt:i4>5</vt:i4>
      </vt:variant>
      <vt:variant>
        <vt:lpwstr/>
      </vt:variant>
      <vt:variant>
        <vt:lpwstr>_Toc366842521</vt:lpwstr>
      </vt:variant>
      <vt:variant>
        <vt:i4>1638452</vt:i4>
      </vt:variant>
      <vt:variant>
        <vt:i4>2957</vt:i4>
      </vt:variant>
      <vt:variant>
        <vt:i4>0</vt:i4>
      </vt:variant>
      <vt:variant>
        <vt:i4>5</vt:i4>
      </vt:variant>
      <vt:variant>
        <vt:lpwstr/>
      </vt:variant>
      <vt:variant>
        <vt:lpwstr>_Toc366842520</vt:lpwstr>
      </vt:variant>
      <vt:variant>
        <vt:i4>1703988</vt:i4>
      </vt:variant>
      <vt:variant>
        <vt:i4>2951</vt:i4>
      </vt:variant>
      <vt:variant>
        <vt:i4>0</vt:i4>
      </vt:variant>
      <vt:variant>
        <vt:i4>5</vt:i4>
      </vt:variant>
      <vt:variant>
        <vt:lpwstr/>
      </vt:variant>
      <vt:variant>
        <vt:lpwstr>_Toc366842519</vt:lpwstr>
      </vt:variant>
      <vt:variant>
        <vt:i4>1703988</vt:i4>
      </vt:variant>
      <vt:variant>
        <vt:i4>2945</vt:i4>
      </vt:variant>
      <vt:variant>
        <vt:i4>0</vt:i4>
      </vt:variant>
      <vt:variant>
        <vt:i4>5</vt:i4>
      </vt:variant>
      <vt:variant>
        <vt:lpwstr/>
      </vt:variant>
      <vt:variant>
        <vt:lpwstr>_Toc366842518</vt:lpwstr>
      </vt:variant>
      <vt:variant>
        <vt:i4>1703988</vt:i4>
      </vt:variant>
      <vt:variant>
        <vt:i4>2939</vt:i4>
      </vt:variant>
      <vt:variant>
        <vt:i4>0</vt:i4>
      </vt:variant>
      <vt:variant>
        <vt:i4>5</vt:i4>
      </vt:variant>
      <vt:variant>
        <vt:lpwstr/>
      </vt:variant>
      <vt:variant>
        <vt:lpwstr>_Toc366842517</vt:lpwstr>
      </vt:variant>
      <vt:variant>
        <vt:i4>1703988</vt:i4>
      </vt:variant>
      <vt:variant>
        <vt:i4>2933</vt:i4>
      </vt:variant>
      <vt:variant>
        <vt:i4>0</vt:i4>
      </vt:variant>
      <vt:variant>
        <vt:i4>5</vt:i4>
      </vt:variant>
      <vt:variant>
        <vt:lpwstr/>
      </vt:variant>
      <vt:variant>
        <vt:lpwstr>_Toc366842516</vt:lpwstr>
      </vt:variant>
      <vt:variant>
        <vt:i4>1703988</vt:i4>
      </vt:variant>
      <vt:variant>
        <vt:i4>2927</vt:i4>
      </vt:variant>
      <vt:variant>
        <vt:i4>0</vt:i4>
      </vt:variant>
      <vt:variant>
        <vt:i4>5</vt:i4>
      </vt:variant>
      <vt:variant>
        <vt:lpwstr/>
      </vt:variant>
      <vt:variant>
        <vt:lpwstr>_Toc366842515</vt:lpwstr>
      </vt:variant>
      <vt:variant>
        <vt:i4>1703988</vt:i4>
      </vt:variant>
      <vt:variant>
        <vt:i4>2921</vt:i4>
      </vt:variant>
      <vt:variant>
        <vt:i4>0</vt:i4>
      </vt:variant>
      <vt:variant>
        <vt:i4>5</vt:i4>
      </vt:variant>
      <vt:variant>
        <vt:lpwstr/>
      </vt:variant>
      <vt:variant>
        <vt:lpwstr>_Toc366842514</vt:lpwstr>
      </vt:variant>
      <vt:variant>
        <vt:i4>1703988</vt:i4>
      </vt:variant>
      <vt:variant>
        <vt:i4>2915</vt:i4>
      </vt:variant>
      <vt:variant>
        <vt:i4>0</vt:i4>
      </vt:variant>
      <vt:variant>
        <vt:i4>5</vt:i4>
      </vt:variant>
      <vt:variant>
        <vt:lpwstr/>
      </vt:variant>
      <vt:variant>
        <vt:lpwstr>_Toc366842513</vt:lpwstr>
      </vt:variant>
      <vt:variant>
        <vt:i4>1703988</vt:i4>
      </vt:variant>
      <vt:variant>
        <vt:i4>2909</vt:i4>
      </vt:variant>
      <vt:variant>
        <vt:i4>0</vt:i4>
      </vt:variant>
      <vt:variant>
        <vt:i4>5</vt:i4>
      </vt:variant>
      <vt:variant>
        <vt:lpwstr/>
      </vt:variant>
      <vt:variant>
        <vt:lpwstr>_Toc366842512</vt:lpwstr>
      </vt:variant>
      <vt:variant>
        <vt:i4>1703988</vt:i4>
      </vt:variant>
      <vt:variant>
        <vt:i4>2903</vt:i4>
      </vt:variant>
      <vt:variant>
        <vt:i4>0</vt:i4>
      </vt:variant>
      <vt:variant>
        <vt:i4>5</vt:i4>
      </vt:variant>
      <vt:variant>
        <vt:lpwstr/>
      </vt:variant>
      <vt:variant>
        <vt:lpwstr>_Toc366842511</vt:lpwstr>
      </vt:variant>
      <vt:variant>
        <vt:i4>1703988</vt:i4>
      </vt:variant>
      <vt:variant>
        <vt:i4>2897</vt:i4>
      </vt:variant>
      <vt:variant>
        <vt:i4>0</vt:i4>
      </vt:variant>
      <vt:variant>
        <vt:i4>5</vt:i4>
      </vt:variant>
      <vt:variant>
        <vt:lpwstr/>
      </vt:variant>
      <vt:variant>
        <vt:lpwstr>_Toc366842510</vt:lpwstr>
      </vt:variant>
      <vt:variant>
        <vt:i4>1769524</vt:i4>
      </vt:variant>
      <vt:variant>
        <vt:i4>2891</vt:i4>
      </vt:variant>
      <vt:variant>
        <vt:i4>0</vt:i4>
      </vt:variant>
      <vt:variant>
        <vt:i4>5</vt:i4>
      </vt:variant>
      <vt:variant>
        <vt:lpwstr/>
      </vt:variant>
      <vt:variant>
        <vt:lpwstr>_Toc366842509</vt:lpwstr>
      </vt:variant>
      <vt:variant>
        <vt:i4>1769524</vt:i4>
      </vt:variant>
      <vt:variant>
        <vt:i4>2885</vt:i4>
      </vt:variant>
      <vt:variant>
        <vt:i4>0</vt:i4>
      </vt:variant>
      <vt:variant>
        <vt:i4>5</vt:i4>
      </vt:variant>
      <vt:variant>
        <vt:lpwstr/>
      </vt:variant>
      <vt:variant>
        <vt:lpwstr>_Toc366842508</vt:lpwstr>
      </vt:variant>
      <vt:variant>
        <vt:i4>1769524</vt:i4>
      </vt:variant>
      <vt:variant>
        <vt:i4>2879</vt:i4>
      </vt:variant>
      <vt:variant>
        <vt:i4>0</vt:i4>
      </vt:variant>
      <vt:variant>
        <vt:i4>5</vt:i4>
      </vt:variant>
      <vt:variant>
        <vt:lpwstr/>
      </vt:variant>
      <vt:variant>
        <vt:lpwstr>_Toc366842507</vt:lpwstr>
      </vt:variant>
      <vt:variant>
        <vt:i4>1769524</vt:i4>
      </vt:variant>
      <vt:variant>
        <vt:i4>2873</vt:i4>
      </vt:variant>
      <vt:variant>
        <vt:i4>0</vt:i4>
      </vt:variant>
      <vt:variant>
        <vt:i4>5</vt:i4>
      </vt:variant>
      <vt:variant>
        <vt:lpwstr/>
      </vt:variant>
      <vt:variant>
        <vt:lpwstr>_Toc366842506</vt:lpwstr>
      </vt:variant>
      <vt:variant>
        <vt:i4>1769524</vt:i4>
      </vt:variant>
      <vt:variant>
        <vt:i4>2867</vt:i4>
      </vt:variant>
      <vt:variant>
        <vt:i4>0</vt:i4>
      </vt:variant>
      <vt:variant>
        <vt:i4>5</vt:i4>
      </vt:variant>
      <vt:variant>
        <vt:lpwstr/>
      </vt:variant>
      <vt:variant>
        <vt:lpwstr>_Toc366842505</vt:lpwstr>
      </vt:variant>
      <vt:variant>
        <vt:i4>4653140</vt:i4>
      </vt:variant>
      <vt:variant>
        <vt:i4>1203</vt:i4>
      </vt:variant>
      <vt:variant>
        <vt:i4>0</vt:i4>
      </vt:variant>
      <vt:variant>
        <vt:i4>5</vt:i4>
      </vt:variant>
      <vt:variant>
        <vt:lpwstr>http://democracy.peterborough.gov.uk/mgListOutsideBodiesByCategory.aspx?bcr=1</vt:lpwstr>
      </vt:variant>
      <vt:variant>
        <vt:lpwstr/>
      </vt:variant>
      <vt:variant>
        <vt:i4>2490431</vt:i4>
      </vt:variant>
      <vt:variant>
        <vt:i4>878</vt:i4>
      </vt:variant>
      <vt:variant>
        <vt:i4>0</vt:i4>
      </vt:variant>
      <vt:variant>
        <vt:i4>5</vt:i4>
      </vt:variant>
      <vt:variant>
        <vt:lpwstr>http://www.nhsbsa.nhs/pensions</vt:lpwstr>
      </vt:variant>
      <vt:variant>
        <vt:lpwstr/>
      </vt:variant>
      <vt:variant>
        <vt:i4>3407997</vt:i4>
      </vt:variant>
      <vt:variant>
        <vt:i4>80</vt:i4>
      </vt:variant>
      <vt:variant>
        <vt:i4>0</vt:i4>
      </vt:variant>
      <vt:variant>
        <vt:i4>5</vt:i4>
      </vt:variant>
      <vt:variant>
        <vt:lpwstr>http://www.gpp-peterborough.org.uk/</vt:lpwstr>
      </vt:variant>
      <vt:variant>
        <vt:lpwstr/>
      </vt:variant>
      <vt:variant>
        <vt:i4>1900599</vt:i4>
      </vt:variant>
      <vt:variant>
        <vt:i4>71</vt:i4>
      </vt:variant>
      <vt:variant>
        <vt:i4>0</vt:i4>
      </vt:variant>
      <vt:variant>
        <vt:i4>5</vt:i4>
      </vt:variant>
      <vt:variant>
        <vt:lpwstr/>
      </vt:variant>
      <vt:variant>
        <vt:lpwstr>_Toc303339407</vt:lpwstr>
      </vt:variant>
      <vt:variant>
        <vt:i4>1900599</vt:i4>
      </vt:variant>
      <vt:variant>
        <vt:i4>65</vt:i4>
      </vt:variant>
      <vt:variant>
        <vt:i4>0</vt:i4>
      </vt:variant>
      <vt:variant>
        <vt:i4>5</vt:i4>
      </vt:variant>
      <vt:variant>
        <vt:lpwstr/>
      </vt:variant>
      <vt:variant>
        <vt:lpwstr>_Toc303339406</vt:lpwstr>
      </vt:variant>
      <vt:variant>
        <vt:i4>1900599</vt:i4>
      </vt:variant>
      <vt:variant>
        <vt:i4>59</vt:i4>
      </vt:variant>
      <vt:variant>
        <vt:i4>0</vt:i4>
      </vt:variant>
      <vt:variant>
        <vt:i4>5</vt:i4>
      </vt:variant>
      <vt:variant>
        <vt:lpwstr/>
      </vt:variant>
      <vt:variant>
        <vt:lpwstr>_Toc303339405</vt:lpwstr>
      </vt:variant>
      <vt:variant>
        <vt:i4>1900599</vt:i4>
      </vt:variant>
      <vt:variant>
        <vt:i4>53</vt:i4>
      </vt:variant>
      <vt:variant>
        <vt:i4>0</vt:i4>
      </vt:variant>
      <vt:variant>
        <vt:i4>5</vt:i4>
      </vt:variant>
      <vt:variant>
        <vt:lpwstr/>
      </vt:variant>
      <vt:variant>
        <vt:lpwstr>_Toc303339404</vt:lpwstr>
      </vt:variant>
      <vt:variant>
        <vt:i4>1900599</vt:i4>
      </vt:variant>
      <vt:variant>
        <vt:i4>47</vt:i4>
      </vt:variant>
      <vt:variant>
        <vt:i4>0</vt:i4>
      </vt:variant>
      <vt:variant>
        <vt:i4>5</vt:i4>
      </vt:variant>
      <vt:variant>
        <vt:lpwstr/>
      </vt:variant>
      <vt:variant>
        <vt:lpwstr>_Toc303339403</vt:lpwstr>
      </vt:variant>
      <vt:variant>
        <vt:i4>1900599</vt:i4>
      </vt:variant>
      <vt:variant>
        <vt:i4>41</vt:i4>
      </vt:variant>
      <vt:variant>
        <vt:i4>0</vt:i4>
      </vt:variant>
      <vt:variant>
        <vt:i4>5</vt:i4>
      </vt:variant>
      <vt:variant>
        <vt:lpwstr/>
      </vt:variant>
      <vt:variant>
        <vt:lpwstr>_Toc303339402</vt:lpwstr>
      </vt:variant>
      <vt:variant>
        <vt:i4>1900599</vt:i4>
      </vt:variant>
      <vt:variant>
        <vt:i4>35</vt:i4>
      </vt:variant>
      <vt:variant>
        <vt:i4>0</vt:i4>
      </vt:variant>
      <vt:variant>
        <vt:i4>5</vt:i4>
      </vt:variant>
      <vt:variant>
        <vt:lpwstr/>
      </vt:variant>
      <vt:variant>
        <vt:lpwstr>_Toc303339401</vt:lpwstr>
      </vt:variant>
      <vt:variant>
        <vt:i4>1900599</vt:i4>
      </vt:variant>
      <vt:variant>
        <vt:i4>29</vt:i4>
      </vt:variant>
      <vt:variant>
        <vt:i4>0</vt:i4>
      </vt:variant>
      <vt:variant>
        <vt:i4>5</vt:i4>
      </vt:variant>
      <vt:variant>
        <vt:lpwstr/>
      </vt:variant>
      <vt:variant>
        <vt:lpwstr>_Toc303339400</vt:lpwstr>
      </vt:variant>
      <vt:variant>
        <vt:i4>1310768</vt:i4>
      </vt:variant>
      <vt:variant>
        <vt:i4>23</vt:i4>
      </vt:variant>
      <vt:variant>
        <vt:i4>0</vt:i4>
      </vt:variant>
      <vt:variant>
        <vt:i4>5</vt:i4>
      </vt:variant>
      <vt:variant>
        <vt:lpwstr/>
      </vt:variant>
      <vt:variant>
        <vt:lpwstr>_Toc303339399</vt:lpwstr>
      </vt:variant>
      <vt:variant>
        <vt:i4>1310768</vt:i4>
      </vt:variant>
      <vt:variant>
        <vt:i4>17</vt:i4>
      </vt:variant>
      <vt:variant>
        <vt:i4>0</vt:i4>
      </vt:variant>
      <vt:variant>
        <vt:i4>5</vt:i4>
      </vt:variant>
      <vt:variant>
        <vt:lpwstr/>
      </vt:variant>
      <vt:variant>
        <vt:lpwstr>_Toc303339398</vt:lpwstr>
      </vt:variant>
      <vt:variant>
        <vt:i4>1310768</vt:i4>
      </vt:variant>
      <vt:variant>
        <vt:i4>11</vt:i4>
      </vt:variant>
      <vt:variant>
        <vt:i4>0</vt:i4>
      </vt:variant>
      <vt:variant>
        <vt:i4>5</vt:i4>
      </vt:variant>
      <vt:variant>
        <vt:lpwstr/>
      </vt:variant>
      <vt:variant>
        <vt:lpwstr>_Toc303339397</vt:lpwstr>
      </vt:variant>
      <vt:variant>
        <vt:i4>1310768</vt:i4>
      </vt:variant>
      <vt:variant>
        <vt:i4>5</vt:i4>
      </vt:variant>
      <vt:variant>
        <vt:i4>0</vt:i4>
      </vt:variant>
      <vt:variant>
        <vt:i4>5</vt:i4>
      </vt:variant>
      <vt:variant>
        <vt:lpwstr/>
      </vt:variant>
      <vt:variant>
        <vt:lpwstr>_Toc303339396</vt:lpwstr>
      </vt:variant>
      <vt:variant>
        <vt:i4>4063289</vt:i4>
      </vt:variant>
      <vt:variant>
        <vt:i4>0</vt:i4>
      </vt:variant>
      <vt:variant>
        <vt:i4>0</vt:i4>
      </vt:variant>
      <vt:variant>
        <vt:i4>5</vt:i4>
      </vt:variant>
      <vt:variant>
        <vt:lpwstr>http://www.peterborough.gov.uk/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Accounts 2010/11</dc:title>
  <dc:creator>Andrew Merry</dc:creator>
  <cp:keywords>account council capital revenue asset</cp:keywords>
  <cp:lastModifiedBy>Lorraine Barker-Johnson</cp:lastModifiedBy>
  <cp:revision>2</cp:revision>
  <cp:lastPrinted>2019-05-29T10:12:00Z</cp:lastPrinted>
  <dcterms:created xsi:type="dcterms:W3CDTF">2022-11-08T14:43:00Z</dcterms:created>
  <dcterms:modified xsi:type="dcterms:W3CDTF">2022-11-08T14:43:00Z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1441506273</vt:i4>
  </property>
</Properties>
</file>