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61AE" w14:textId="77777777" w:rsidR="00AA6DF5" w:rsidRDefault="00AA6DF5" w:rsidP="000C59A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40AC10CD" w14:textId="4C5E0235" w:rsidR="000C59A4" w:rsidRDefault="000C59A4" w:rsidP="000C59A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Pay Policy 20</w:t>
      </w:r>
      <w:r w:rsidR="00C80975">
        <w:rPr>
          <w:rFonts w:ascii="Arial" w:hAnsi="Arial" w:cs="Arial"/>
          <w:b/>
          <w:sz w:val="24"/>
          <w:szCs w:val="24"/>
          <w:u w:val="single"/>
        </w:rPr>
        <w:t>2</w:t>
      </w:r>
      <w:r w:rsidR="00D211F4">
        <w:rPr>
          <w:rFonts w:ascii="Arial" w:hAnsi="Arial" w:cs="Arial"/>
          <w:b/>
          <w:sz w:val="24"/>
          <w:szCs w:val="24"/>
          <w:u w:val="single"/>
        </w:rPr>
        <w:t>2</w:t>
      </w:r>
      <w:r w:rsidR="00DF6A4A">
        <w:rPr>
          <w:rFonts w:ascii="Arial" w:hAnsi="Arial" w:cs="Arial"/>
          <w:b/>
          <w:sz w:val="24"/>
          <w:szCs w:val="24"/>
          <w:u w:val="single"/>
        </w:rPr>
        <w:t>-202</w:t>
      </w:r>
      <w:r w:rsidR="00D211F4">
        <w:rPr>
          <w:rFonts w:ascii="Arial" w:hAnsi="Arial" w:cs="Arial"/>
          <w:b/>
          <w:sz w:val="24"/>
          <w:szCs w:val="24"/>
          <w:u w:val="single"/>
        </w:rPr>
        <w:t>3</w:t>
      </w:r>
      <w:r w:rsidR="00DF6A4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– Glossary of Terms</w:t>
      </w:r>
    </w:p>
    <w:p w14:paraId="240D51FB" w14:textId="77777777" w:rsidR="00D52EEB" w:rsidRDefault="00D52EEB" w:rsidP="00D52EEB">
      <w:pPr>
        <w:spacing w:after="0" w:line="240" w:lineRule="auto"/>
        <w:rPr>
          <w:rFonts w:ascii="Arial" w:hAnsi="Arial" w:cs="Arial"/>
        </w:rPr>
      </w:pPr>
    </w:p>
    <w:p w14:paraId="2E0EC4EE" w14:textId="77777777" w:rsidR="00D52EEB" w:rsidRDefault="00D52EEB" w:rsidP="00D52EE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3"/>
        <w:gridCol w:w="6133"/>
      </w:tblGrid>
      <w:tr w:rsidR="00CB3944" w14:paraId="0D3DBF8B" w14:textId="77777777" w:rsidTr="00CB3944">
        <w:tc>
          <w:tcPr>
            <w:tcW w:w="2943" w:type="dxa"/>
          </w:tcPr>
          <w:p w14:paraId="07A5A187" w14:textId="77777777" w:rsidR="00CB3944" w:rsidRDefault="00CB3944" w:rsidP="00CB3944">
            <w:pPr>
              <w:tabs>
                <w:tab w:val="left" w:pos="1500"/>
              </w:tabs>
              <w:rPr>
                <w:rFonts w:ascii="Arial" w:hAnsi="Arial" w:cs="Arial"/>
              </w:rPr>
            </w:pPr>
            <w:r w:rsidRPr="00E83274">
              <w:rPr>
                <w:rFonts w:ascii="Arial" w:hAnsi="Arial" w:cs="Arial"/>
                <w:sz w:val="24"/>
                <w:szCs w:val="24"/>
              </w:rPr>
              <w:t>NJC Green Book</w:t>
            </w:r>
            <w:r w:rsidRPr="00E8327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299" w:type="dxa"/>
          </w:tcPr>
          <w:p w14:paraId="78325AF5" w14:textId="77777777" w:rsidR="00CB3944" w:rsidRPr="00E83274" w:rsidRDefault="00CB3944" w:rsidP="00CB3944">
            <w:pPr>
              <w:rPr>
                <w:rFonts w:ascii="Arial" w:hAnsi="Arial" w:cs="Arial"/>
                <w:sz w:val="24"/>
                <w:szCs w:val="24"/>
              </w:rPr>
            </w:pPr>
            <w:r w:rsidRPr="00E83274">
              <w:rPr>
                <w:rFonts w:ascii="Arial" w:hAnsi="Arial" w:cs="Arial"/>
                <w:sz w:val="24"/>
                <w:szCs w:val="24"/>
              </w:rPr>
              <w:t xml:space="preserve">NJC stands for National Joint Council.   The Green book is the document that contains the </w:t>
            </w:r>
            <w:r w:rsidRPr="00E83274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national agreement on pay and conditions of service for 1.4 million local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g</w:t>
            </w:r>
            <w:r w:rsidRPr="00E83274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overnment services.  This applies to most staff in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R</w:t>
            </w:r>
            <w:r w:rsidRPr="00E83274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utland</w:t>
            </w:r>
            <w:r w:rsidR="00285002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(</w:t>
            </w:r>
            <w:r w:rsidR="00285002">
              <w:rPr>
                <w:rFonts w:ascii="Arial" w:hAnsi="Arial" w:cs="Arial"/>
                <w:i/>
                <w:color w:val="000000"/>
                <w:sz w:val="24"/>
                <w:szCs w:val="24"/>
                <w:lang w:val="en"/>
              </w:rPr>
              <w:t>exc</w:t>
            </w:r>
            <w:r w:rsidR="00AB25BA">
              <w:rPr>
                <w:rFonts w:ascii="Arial" w:hAnsi="Arial" w:cs="Arial"/>
                <w:i/>
                <w:color w:val="000000"/>
                <w:sz w:val="24"/>
                <w:szCs w:val="24"/>
                <w:lang w:val="en"/>
              </w:rPr>
              <w:t xml:space="preserve">ludes for example Youth Workers, </w:t>
            </w:r>
            <w:r w:rsidR="00285002">
              <w:rPr>
                <w:rFonts w:ascii="Arial" w:hAnsi="Arial" w:cs="Arial"/>
                <w:i/>
                <w:color w:val="000000"/>
                <w:sz w:val="24"/>
                <w:szCs w:val="24"/>
                <w:lang w:val="en"/>
              </w:rPr>
              <w:t xml:space="preserve">and Tutors, </w:t>
            </w:r>
            <w:r w:rsidR="00AB25BA">
              <w:rPr>
                <w:rFonts w:ascii="Arial" w:hAnsi="Arial" w:cs="Arial"/>
                <w:i/>
                <w:color w:val="000000"/>
                <w:sz w:val="24"/>
                <w:szCs w:val="24"/>
                <w:lang w:val="en"/>
              </w:rPr>
              <w:t xml:space="preserve">and </w:t>
            </w:r>
            <w:r w:rsidR="00285002">
              <w:rPr>
                <w:rFonts w:ascii="Arial" w:hAnsi="Arial" w:cs="Arial"/>
                <w:i/>
                <w:color w:val="000000"/>
                <w:sz w:val="24"/>
                <w:szCs w:val="24"/>
                <w:lang w:val="en"/>
              </w:rPr>
              <w:t xml:space="preserve">senior officer posts </w:t>
            </w:r>
            <w:r w:rsidR="00AB25BA">
              <w:rPr>
                <w:rFonts w:ascii="Arial" w:hAnsi="Arial" w:cs="Arial"/>
                <w:i/>
                <w:color w:val="000000"/>
                <w:sz w:val="24"/>
                <w:szCs w:val="24"/>
                <w:lang w:val="en"/>
              </w:rPr>
              <w:t xml:space="preserve">on JNC Conditions </w:t>
            </w:r>
            <w:proofErr w:type="gramStart"/>
            <w:r w:rsidR="00AB25BA">
              <w:rPr>
                <w:rFonts w:ascii="Arial" w:hAnsi="Arial" w:cs="Arial"/>
                <w:i/>
                <w:color w:val="000000"/>
                <w:sz w:val="24"/>
                <w:szCs w:val="24"/>
                <w:lang w:val="en"/>
              </w:rPr>
              <w:t xml:space="preserve">- </w:t>
            </w:r>
            <w:r w:rsidR="00285002">
              <w:rPr>
                <w:rFonts w:ascii="Arial" w:hAnsi="Arial" w:cs="Arial"/>
                <w:i/>
                <w:color w:val="000000"/>
                <w:sz w:val="24"/>
                <w:szCs w:val="24"/>
                <w:lang w:val="en"/>
              </w:rPr>
              <w:t xml:space="preserve"> see</w:t>
            </w:r>
            <w:proofErr w:type="gramEnd"/>
            <w:r w:rsidR="00285002">
              <w:rPr>
                <w:rFonts w:ascii="Arial" w:hAnsi="Arial" w:cs="Arial"/>
                <w:i/>
                <w:color w:val="000000"/>
                <w:sz w:val="24"/>
                <w:szCs w:val="24"/>
                <w:lang w:val="en"/>
              </w:rPr>
              <w:t xml:space="preserve"> below)</w:t>
            </w:r>
            <w:r w:rsidRPr="00E83274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.  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I</w:t>
            </w:r>
            <w:r w:rsidR="00285002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t is also known as the Single </w:t>
            </w:r>
            <w:r w:rsidRPr="00E83274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Status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A</w:t>
            </w:r>
            <w:r w:rsidRPr="00E83274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greement as it comprises the </w:t>
            </w:r>
            <w:proofErr w:type="spellStart"/>
            <w:r w:rsidRPr="00E83274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harmonised</w:t>
            </w:r>
            <w:proofErr w:type="spellEnd"/>
            <w:r w:rsidRPr="00E83274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terms and condition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s</w:t>
            </w:r>
            <w:r w:rsidRPr="00E83274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which were previously in place for Manual workers and other staff which were termed as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‘</w:t>
            </w:r>
            <w:r w:rsidRPr="00E83274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Administrative, Professional and Technical’.   </w:t>
            </w:r>
          </w:p>
          <w:p w14:paraId="3ED85B92" w14:textId="77777777" w:rsidR="00CB3944" w:rsidRDefault="00CB3944" w:rsidP="00CB3944">
            <w:pPr>
              <w:tabs>
                <w:tab w:val="left" w:pos="1500"/>
              </w:tabs>
              <w:rPr>
                <w:rFonts w:ascii="Arial" w:hAnsi="Arial" w:cs="Arial"/>
              </w:rPr>
            </w:pPr>
          </w:p>
        </w:tc>
      </w:tr>
      <w:tr w:rsidR="00CB3944" w14:paraId="7DEB8D9D" w14:textId="77777777" w:rsidTr="00CB3944">
        <w:tc>
          <w:tcPr>
            <w:tcW w:w="2943" w:type="dxa"/>
          </w:tcPr>
          <w:p w14:paraId="14E9E043" w14:textId="77777777" w:rsidR="00CB3944" w:rsidRDefault="00CB3944" w:rsidP="00CB3944">
            <w:pPr>
              <w:tabs>
                <w:tab w:val="left" w:pos="1500"/>
              </w:tabs>
              <w:rPr>
                <w:rFonts w:ascii="Arial" w:hAnsi="Arial" w:cs="Arial"/>
              </w:rPr>
            </w:pPr>
            <w:r w:rsidRPr="00E83274">
              <w:rPr>
                <w:rFonts w:ascii="Arial" w:hAnsi="Arial" w:cs="Arial"/>
                <w:sz w:val="24"/>
                <w:szCs w:val="24"/>
              </w:rPr>
              <w:t>NJC Pay Spine</w:t>
            </w:r>
          </w:p>
        </w:tc>
        <w:tc>
          <w:tcPr>
            <w:tcW w:w="6299" w:type="dxa"/>
          </w:tcPr>
          <w:p w14:paraId="6B4D169F" w14:textId="1E2D8EC7" w:rsidR="00CB3944" w:rsidRDefault="00CB3944" w:rsidP="00250880">
            <w:pPr>
              <w:rPr>
                <w:rFonts w:ascii="Arial" w:hAnsi="Arial" w:cs="Arial"/>
                <w:sz w:val="24"/>
                <w:szCs w:val="24"/>
              </w:rPr>
            </w:pPr>
            <w:r w:rsidRPr="00E83274">
              <w:rPr>
                <w:rFonts w:ascii="Arial" w:hAnsi="Arial" w:cs="Arial"/>
                <w:sz w:val="24"/>
                <w:szCs w:val="24"/>
              </w:rPr>
              <w:t>This relates to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274">
              <w:rPr>
                <w:rFonts w:ascii="Arial" w:hAnsi="Arial" w:cs="Arial"/>
                <w:sz w:val="24"/>
                <w:szCs w:val="24"/>
              </w:rPr>
              <w:t xml:space="preserve">salary levels that are negotiated </w:t>
            </w:r>
            <w:r>
              <w:rPr>
                <w:rFonts w:ascii="Arial" w:hAnsi="Arial" w:cs="Arial"/>
                <w:sz w:val="24"/>
                <w:szCs w:val="24"/>
              </w:rPr>
              <w:t>through</w:t>
            </w:r>
            <w:r w:rsidRPr="00E83274">
              <w:rPr>
                <w:rFonts w:ascii="Arial" w:hAnsi="Arial" w:cs="Arial"/>
                <w:sz w:val="24"/>
                <w:szCs w:val="24"/>
              </w:rPr>
              <w:t xml:space="preserve"> the Local Government Association </w:t>
            </w:r>
            <w:r w:rsidR="00285002">
              <w:rPr>
                <w:rFonts w:ascii="Arial" w:hAnsi="Arial" w:cs="Arial"/>
                <w:sz w:val="24"/>
                <w:szCs w:val="24"/>
              </w:rPr>
              <w:t xml:space="preserve">(as the ‘National Employer’) </w:t>
            </w:r>
            <w:r w:rsidRPr="00E83274">
              <w:rPr>
                <w:rFonts w:ascii="Arial" w:hAnsi="Arial" w:cs="Arial"/>
                <w:sz w:val="24"/>
                <w:szCs w:val="24"/>
              </w:rPr>
              <w:t>and the trade unions</w:t>
            </w:r>
            <w:r w:rsidR="00285002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D211F4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="00D211F4">
              <w:rPr>
                <w:rFonts w:ascii="Arial" w:hAnsi="Arial" w:cs="Arial"/>
                <w:sz w:val="24"/>
                <w:szCs w:val="24"/>
              </w:rPr>
              <w:t>.</w:t>
            </w:r>
            <w:r w:rsidR="00285002">
              <w:rPr>
                <w:rFonts w:ascii="Arial" w:hAnsi="Arial" w:cs="Arial"/>
                <w:sz w:val="24"/>
                <w:szCs w:val="24"/>
              </w:rPr>
              <w:t xml:space="preserve"> Unison, GMB</w:t>
            </w:r>
            <w:r w:rsidR="00D211F4">
              <w:rPr>
                <w:rFonts w:ascii="Arial" w:hAnsi="Arial" w:cs="Arial"/>
                <w:sz w:val="24"/>
                <w:szCs w:val="24"/>
              </w:rPr>
              <w:t>, Unite</w:t>
            </w:r>
            <w:r w:rsidR="00285002">
              <w:rPr>
                <w:rFonts w:ascii="Arial" w:hAnsi="Arial" w:cs="Arial"/>
                <w:sz w:val="24"/>
                <w:szCs w:val="24"/>
              </w:rPr>
              <w:t>)</w:t>
            </w:r>
            <w:r w:rsidRPr="00E83274">
              <w:rPr>
                <w:rFonts w:ascii="Arial" w:hAnsi="Arial" w:cs="Arial"/>
                <w:sz w:val="24"/>
                <w:szCs w:val="24"/>
              </w:rPr>
              <w:t>.    Rutland’s salary scales for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274">
              <w:rPr>
                <w:rFonts w:ascii="Arial" w:hAnsi="Arial" w:cs="Arial"/>
                <w:sz w:val="24"/>
                <w:szCs w:val="24"/>
              </w:rPr>
              <w:t>posts on grades 1 through to P0</w:t>
            </w:r>
            <w:r w:rsidR="00D211F4">
              <w:rPr>
                <w:rFonts w:ascii="Arial" w:hAnsi="Arial" w:cs="Arial"/>
                <w:sz w:val="24"/>
                <w:szCs w:val="24"/>
              </w:rPr>
              <w:t>4</w:t>
            </w:r>
            <w:r w:rsidRPr="00E83274">
              <w:rPr>
                <w:rFonts w:ascii="Arial" w:hAnsi="Arial" w:cs="Arial"/>
                <w:sz w:val="24"/>
                <w:szCs w:val="24"/>
              </w:rPr>
              <w:t xml:space="preserve"> are determined by this pay scale and we are therefore subject to national pay bargaining</w:t>
            </w:r>
            <w:r>
              <w:rPr>
                <w:rFonts w:ascii="Arial" w:hAnsi="Arial" w:cs="Arial"/>
                <w:sz w:val="24"/>
                <w:szCs w:val="24"/>
              </w:rPr>
              <w:t xml:space="preserve"> which is led by the Local Government Association and negotiated with the trade un</w:t>
            </w:r>
            <w:r w:rsidR="00285002">
              <w:rPr>
                <w:rFonts w:ascii="Arial" w:hAnsi="Arial" w:cs="Arial"/>
                <w:sz w:val="24"/>
                <w:szCs w:val="24"/>
              </w:rPr>
              <w:t>ions</w:t>
            </w:r>
            <w:r w:rsidRPr="00E83274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14:paraId="0769B904" w14:textId="77777777" w:rsidR="00250880" w:rsidRDefault="00250880" w:rsidP="00250880">
            <w:pPr>
              <w:rPr>
                <w:rFonts w:ascii="Arial" w:hAnsi="Arial" w:cs="Arial"/>
              </w:rPr>
            </w:pPr>
          </w:p>
        </w:tc>
      </w:tr>
      <w:tr w:rsidR="00CB3944" w14:paraId="07F0DF53" w14:textId="77777777" w:rsidTr="00CB3944">
        <w:tc>
          <w:tcPr>
            <w:tcW w:w="2943" w:type="dxa"/>
          </w:tcPr>
          <w:p w14:paraId="50A4C4F5" w14:textId="10D3D51E" w:rsidR="00CB3944" w:rsidRDefault="00CB3944" w:rsidP="00CB3944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E83274">
              <w:rPr>
                <w:rFonts w:ascii="Arial" w:hAnsi="Arial" w:cs="Arial"/>
                <w:sz w:val="24"/>
                <w:szCs w:val="24"/>
              </w:rPr>
              <w:t xml:space="preserve">Spinal Column </w:t>
            </w:r>
            <w:r w:rsidR="00D211F4">
              <w:rPr>
                <w:rFonts w:ascii="Arial" w:hAnsi="Arial" w:cs="Arial"/>
                <w:sz w:val="24"/>
                <w:szCs w:val="24"/>
              </w:rPr>
              <w:t>P</w:t>
            </w:r>
            <w:r w:rsidRPr="00E83274">
              <w:rPr>
                <w:rFonts w:ascii="Arial" w:hAnsi="Arial" w:cs="Arial"/>
                <w:sz w:val="24"/>
                <w:szCs w:val="24"/>
              </w:rPr>
              <w:t>oints</w:t>
            </w:r>
          </w:p>
          <w:p w14:paraId="5C24CDD5" w14:textId="52399315" w:rsidR="00DF6A4A" w:rsidRPr="00E83274" w:rsidRDefault="00D211F4" w:rsidP="00CB3944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(SCP)</w:t>
            </w:r>
          </w:p>
        </w:tc>
        <w:tc>
          <w:tcPr>
            <w:tcW w:w="6299" w:type="dxa"/>
          </w:tcPr>
          <w:p w14:paraId="0AF954A0" w14:textId="77777777" w:rsidR="00CB3944" w:rsidRDefault="00CB3944" w:rsidP="00CB3944">
            <w:pPr>
              <w:jc w:val="both"/>
              <w:rPr>
                <w:rStyle w:val="tgc"/>
                <w:rFonts w:ascii="Arial" w:hAnsi="Arial" w:cs="Arial"/>
                <w:color w:val="222222"/>
                <w:sz w:val="24"/>
                <w:szCs w:val="24"/>
              </w:rPr>
            </w:pPr>
            <w:r w:rsidRPr="00E83274">
              <w:rPr>
                <w:rFonts w:ascii="Arial" w:hAnsi="Arial" w:cs="Arial"/>
                <w:sz w:val="24"/>
                <w:szCs w:val="24"/>
              </w:rPr>
              <w:t xml:space="preserve">The pay spine is made up of </w:t>
            </w:r>
            <w:proofErr w:type="gramStart"/>
            <w:r w:rsidRPr="00E83274">
              <w:rPr>
                <w:rFonts w:ascii="Arial" w:hAnsi="Arial" w:cs="Arial"/>
                <w:sz w:val="24"/>
                <w:szCs w:val="24"/>
              </w:rPr>
              <w:t>a number of</w:t>
            </w:r>
            <w:proofErr w:type="gramEnd"/>
            <w:r w:rsidRPr="00E832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274">
              <w:rPr>
                <w:rStyle w:val="tgc"/>
                <w:rFonts w:ascii="Arial" w:hAnsi="Arial" w:cs="Arial"/>
                <w:bCs/>
                <w:color w:val="222222"/>
                <w:sz w:val="24"/>
                <w:szCs w:val="24"/>
              </w:rPr>
              <w:t>Spinal</w:t>
            </w:r>
            <w:r w:rsidRPr="00E83274">
              <w:rPr>
                <w:rStyle w:val="tgc"/>
                <w:rFonts w:ascii="Arial" w:hAnsi="Arial" w:cs="Arial"/>
                <w:color w:val="222222"/>
                <w:sz w:val="24"/>
                <w:szCs w:val="24"/>
              </w:rPr>
              <w:t xml:space="preserve"> Column Points (SCPs) and each has an associated salary value.   These national </w:t>
            </w:r>
            <w:r w:rsidRPr="00E83274">
              <w:rPr>
                <w:rStyle w:val="tgc"/>
                <w:rFonts w:ascii="Arial" w:hAnsi="Arial" w:cs="Arial"/>
                <w:bCs/>
                <w:color w:val="222222"/>
                <w:sz w:val="24"/>
                <w:szCs w:val="24"/>
              </w:rPr>
              <w:t>spinal</w:t>
            </w:r>
            <w:r w:rsidRPr="00E83274">
              <w:rPr>
                <w:rStyle w:val="tgc"/>
                <w:rFonts w:ascii="Arial" w:hAnsi="Arial" w:cs="Arial"/>
                <w:color w:val="222222"/>
                <w:sz w:val="24"/>
                <w:szCs w:val="24"/>
              </w:rPr>
              <w:t xml:space="preserve"> column points are then used to </w:t>
            </w:r>
            <w:r>
              <w:rPr>
                <w:rStyle w:val="tgc"/>
                <w:rFonts w:ascii="Arial" w:hAnsi="Arial" w:cs="Arial"/>
                <w:color w:val="222222"/>
                <w:sz w:val="24"/>
                <w:szCs w:val="24"/>
              </w:rPr>
              <w:t>s</w:t>
            </w:r>
            <w:r w:rsidRPr="00E83274">
              <w:rPr>
                <w:rStyle w:val="tgc"/>
                <w:rFonts w:ascii="Arial" w:hAnsi="Arial" w:cs="Arial"/>
                <w:color w:val="222222"/>
                <w:sz w:val="24"/>
                <w:szCs w:val="24"/>
              </w:rPr>
              <w:t>hape</w:t>
            </w:r>
            <w:r>
              <w:rPr>
                <w:rStyle w:val="tgc"/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Pr="00E83274">
              <w:rPr>
                <w:rStyle w:val="tgc"/>
                <w:rFonts w:ascii="Arial" w:hAnsi="Arial" w:cs="Arial"/>
                <w:color w:val="222222"/>
                <w:sz w:val="24"/>
                <w:szCs w:val="24"/>
              </w:rPr>
              <w:t xml:space="preserve">pay grades – therefore each grade has a number </w:t>
            </w:r>
          </w:p>
          <w:p w14:paraId="1A30355A" w14:textId="77777777" w:rsidR="00CB3944" w:rsidRPr="00E83274" w:rsidRDefault="00CB3944" w:rsidP="00CB3944">
            <w:pPr>
              <w:jc w:val="both"/>
              <w:rPr>
                <w:rStyle w:val="tgc"/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Style w:val="tgc"/>
                <w:rFonts w:ascii="Arial" w:hAnsi="Arial" w:cs="Arial"/>
                <w:color w:val="222222"/>
                <w:sz w:val="24"/>
                <w:szCs w:val="24"/>
              </w:rPr>
              <w:t>of</w:t>
            </w:r>
            <w:r w:rsidRPr="00E83274">
              <w:rPr>
                <w:rStyle w:val="tgc"/>
                <w:rFonts w:ascii="Arial" w:hAnsi="Arial" w:cs="Arial"/>
                <w:color w:val="222222"/>
                <w:sz w:val="24"/>
                <w:szCs w:val="24"/>
              </w:rPr>
              <w:t xml:space="preserve"> spinal</w:t>
            </w:r>
            <w:r>
              <w:rPr>
                <w:rStyle w:val="tgc"/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Pr="00E83274">
              <w:rPr>
                <w:rStyle w:val="tgc"/>
                <w:rFonts w:ascii="Arial" w:hAnsi="Arial" w:cs="Arial"/>
                <w:color w:val="222222"/>
                <w:sz w:val="24"/>
                <w:szCs w:val="24"/>
              </w:rPr>
              <w:t>column points.   SCPs are also som</w:t>
            </w:r>
            <w:r>
              <w:rPr>
                <w:rStyle w:val="tgc"/>
                <w:rFonts w:ascii="Arial" w:hAnsi="Arial" w:cs="Arial"/>
                <w:color w:val="222222"/>
                <w:sz w:val="24"/>
                <w:szCs w:val="24"/>
              </w:rPr>
              <w:t>et</w:t>
            </w:r>
            <w:r w:rsidRPr="00E83274">
              <w:rPr>
                <w:rStyle w:val="tgc"/>
                <w:rFonts w:ascii="Arial" w:hAnsi="Arial" w:cs="Arial"/>
                <w:color w:val="222222"/>
                <w:sz w:val="24"/>
                <w:szCs w:val="24"/>
              </w:rPr>
              <w:t xml:space="preserve">imes </w:t>
            </w:r>
            <w:r>
              <w:rPr>
                <w:rStyle w:val="tgc"/>
                <w:rFonts w:ascii="Arial" w:hAnsi="Arial" w:cs="Arial"/>
                <w:color w:val="222222"/>
                <w:sz w:val="24"/>
                <w:szCs w:val="24"/>
              </w:rPr>
              <w:t>k</w:t>
            </w:r>
            <w:r w:rsidRPr="00E83274">
              <w:rPr>
                <w:rStyle w:val="tgc"/>
                <w:rFonts w:ascii="Arial" w:hAnsi="Arial" w:cs="Arial"/>
                <w:color w:val="222222"/>
                <w:sz w:val="24"/>
                <w:szCs w:val="24"/>
              </w:rPr>
              <w:t>nown as</w:t>
            </w:r>
            <w:r>
              <w:rPr>
                <w:rStyle w:val="tgc"/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Pr="00E83274">
              <w:rPr>
                <w:rStyle w:val="tgc"/>
                <w:rFonts w:ascii="Arial" w:hAnsi="Arial" w:cs="Arial"/>
                <w:color w:val="222222"/>
                <w:sz w:val="24"/>
                <w:szCs w:val="24"/>
              </w:rPr>
              <w:t>incremental steps.</w:t>
            </w:r>
          </w:p>
          <w:p w14:paraId="467B6C27" w14:textId="77777777" w:rsidR="00CB3944" w:rsidRPr="00E83274" w:rsidRDefault="00CB3944" w:rsidP="00CB3944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944" w14:paraId="69E48801" w14:textId="77777777" w:rsidTr="00CB3944">
        <w:tc>
          <w:tcPr>
            <w:tcW w:w="2943" w:type="dxa"/>
          </w:tcPr>
          <w:p w14:paraId="3EB42DBF" w14:textId="77777777" w:rsidR="00CB3944" w:rsidRPr="00E83274" w:rsidRDefault="00CB3944" w:rsidP="00CB3944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E83274">
              <w:rPr>
                <w:rFonts w:ascii="Arial" w:hAnsi="Arial" w:cs="Arial"/>
                <w:sz w:val="24"/>
                <w:szCs w:val="24"/>
              </w:rPr>
              <w:t>Annual progression</w:t>
            </w:r>
            <w:r w:rsidRPr="00E8327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299" w:type="dxa"/>
          </w:tcPr>
          <w:p w14:paraId="214BD3E0" w14:textId="77777777" w:rsidR="00285002" w:rsidRDefault="00CB3944" w:rsidP="00CB3944">
            <w:pPr>
              <w:rPr>
                <w:rFonts w:ascii="Arial" w:hAnsi="Arial" w:cs="Arial"/>
                <w:sz w:val="24"/>
                <w:szCs w:val="24"/>
              </w:rPr>
            </w:pPr>
            <w:r w:rsidRPr="00E83274">
              <w:rPr>
                <w:rFonts w:ascii="Arial" w:hAnsi="Arial" w:cs="Arial"/>
                <w:sz w:val="24"/>
                <w:szCs w:val="24"/>
              </w:rPr>
              <w:t>This is linked to the SCPs and provides for progression to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274">
              <w:rPr>
                <w:rFonts w:ascii="Arial" w:hAnsi="Arial" w:cs="Arial"/>
                <w:sz w:val="24"/>
                <w:szCs w:val="24"/>
              </w:rPr>
              <w:t xml:space="preserve">next SCP within the </w:t>
            </w:r>
            <w:r>
              <w:rPr>
                <w:rFonts w:ascii="Arial" w:hAnsi="Arial" w:cs="Arial"/>
                <w:sz w:val="24"/>
                <w:szCs w:val="24"/>
              </w:rPr>
              <w:t xml:space="preserve">job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holders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grade.   This takes p</w:t>
            </w:r>
            <w:r w:rsidRPr="00E83274">
              <w:rPr>
                <w:rFonts w:ascii="Arial" w:hAnsi="Arial" w:cs="Arial"/>
                <w:sz w:val="24"/>
                <w:szCs w:val="24"/>
              </w:rPr>
              <w:t>lace on 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274">
              <w:rPr>
                <w:rFonts w:ascii="Arial" w:hAnsi="Arial" w:cs="Arial"/>
                <w:sz w:val="24"/>
                <w:szCs w:val="24"/>
              </w:rPr>
              <w:t>April each year until the employee reaches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274">
              <w:rPr>
                <w:rFonts w:ascii="Arial" w:hAnsi="Arial" w:cs="Arial"/>
                <w:sz w:val="24"/>
                <w:szCs w:val="24"/>
              </w:rPr>
              <w:t>top of their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274">
              <w:rPr>
                <w:rFonts w:ascii="Arial" w:hAnsi="Arial" w:cs="Arial"/>
                <w:sz w:val="24"/>
                <w:szCs w:val="24"/>
              </w:rPr>
              <w:t>grade – there is then no further SCP/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274">
              <w:rPr>
                <w:rFonts w:ascii="Arial" w:hAnsi="Arial" w:cs="Arial"/>
                <w:sz w:val="24"/>
                <w:szCs w:val="24"/>
              </w:rPr>
              <w:t>incremental progression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274">
              <w:rPr>
                <w:rFonts w:ascii="Arial" w:hAnsi="Arial" w:cs="Arial"/>
                <w:sz w:val="24"/>
                <w:szCs w:val="24"/>
              </w:rPr>
              <w:t xml:space="preserve">and any pay increase is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E83274">
              <w:rPr>
                <w:rFonts w:ascii="Arial" w:hAnsi="Arial" w:cs="Arial"/>
                <w:sz w:val="24"/>
                <w:szCs w:val="24"/>
              </w:rPr>
              <w:t>ssociated with any annu</w:t>
            </w:r>
            <w:r>
              <w:rPr>
                <w:rFonts w:ascii="Arial" w:hAnsi="Arial" w:cs="Arial"/>
                <w:sz w:val="24"/>
                <w:szCs w:val="24"/>
              </w:rPr>
              <w:t xml:space="preserve">al pay award that is negotiated </w:t>
            </w:r>
            <w:r w:rsidRPr="00E83274">
              <w:rPr>
                <w:rFonts w:ascii="Arial" w:hAnsi="Arial" w:cs="Arial"/>
                <w:sz w:val="24"/>
                <w:szCs w:val="24"/>
              </w:rPr>
              <w:t xml:space="preserve">nationally.     </w:t>
            </w:r>
            <w:r w:rsidR="00285002">
              <w:rPr>
                <w:rFonts w:ascii="Arial" w:hAnsi="Arial" w:cs="Arial"/>
                <w:sz w:val="24"/>
                <w:szCs w:val="24"/>
              </w:rPr>
              <w:t xml:space="preserve">Part of the national pay conditions means that an employee joining between October and March receive their first </w:t>
            </w:r>
            <w:r w:rsidR="00250880">
              <w:rPr>
                <w:rFonts w:ascii="Arial" w:hAnsi="Arial" w:cs="Arial"/>
                <w:sz w:val="24"/>
                <w:szCs w:val="24"/>
              </w:rPr>
              <w:t>SCP</w:t>
            </w:r>
            <w:r w:rsidR="00285002">
              <w:rPr>
                <w:rFonts w:ascii="Arial" w:hAnsi="Arial" w:cs="Arial"/>
                <w:sz w:val="24"/>
                <w:szCs w:val="24"/>
              </w:rPr>
              <w:t xml:space="preserve"> progression/increment, 6 months after joining. </w:t>
            </w:r>
          </w:p>
          <w:p w14:paraId="750C09E5" w14:textId="77777777" w:rsidR="00CB3944" w:rsidRPr="00E83274" w:rsidRDefault="00CB3944" w:rsidP="002508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944" w14:paraId="0E464341" w14:textId="77777777" w:rsidTr="00CB3944">
        <w:tc>
          <w:tcPr>
            <w:tcW w:w="2943" w:type="dxa"/>
          </w:tcPr>
          <w:p w14:paraId="7F428B44" w14:textId="77777777" w:rsidR="00CB3944" w:rsidRDefault="00CB3944" w:rsidP="00CB3944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E83274">
              <w:rPr>
                <w:rFonts w:ascii="Arial" w:hAnsi="Arial" w:cs="Arial"/>
                <w:sz w:val="24"/>
                <w:szCs w:val="24"/>
              </w:rPr>
              <w:t>JNC for Chief Executives</w:t>
            </w:r>
          </w:p>
        </w:tc>
        <w:tc>
          <w:tcPr>
            <w:tcW w:w="6299" w:type="dxa"/>
          </w:tcPr>
          <w:p w14:paraId="36E5A80A" w14:textId="77777777" w:rsidR="00CB3944" w:rsidRPr="00E83274" w:rsidRDefault="00CB3944" w:rsidP="00CB3944">
            <w:pPr>
              <w:rPr>
                <w:rFonts w:ascii="Arial" w:hAnsi="Arial" w:cs="Arial"/>
                <w:sz w:val="24"/>
                <w:szCs w:val="24"/>
              </w:rPr>
            </w:pPr>
            <w:r w:rsidRPr="00E83274">
              <w:rPr>
                <w:rFonts w:ascii="Arial" w:hAnsi="Arial" w:cs="Arial"/>
                <w:sz w:val="24"/>
                <w:szCs w:val="24"/>
              </w:rPr>
              <w:t xml:space="preserve">This is the Joint Negotiating Committee (JNC) for Chief Executives and is the national negotiating body for the pay </w:t>
            </w:r>
            <w:r w:rsidR="00285002" w:rsidRPr="00E83274">
              <w:rPr>
                <w:rFonts w:ascii="Arial" w:hAnsi="Arial" w:cs="Arial"/>
                <w:sz w:val="24"/>
                <w:szCs w:val="24"/>
              </w:rPr>
              <w:t>and</w:t>
            </w:r>
            <w:r w:rsidR="002850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5002" w:rsidRPr="00E83274">
              <w:rPr>
                <w:rFonts w:ascii="Arial" w:hAnsi="Arial" w:cs="Arial"/>
                <w:sz w:val="24"/>
                <w:szCs w:val="24"/>
              </w:rPr>
              <w:t>conditions</w:t>
            </w:r>
            <w:r w:rsidRPr="00E83274">
              <w:rPr>
                <w:rFonts w:ascii="Arial" w:hAnsi="Arial" w:cs="Arial"/>
                <w:sz w:val="24"/>
                <w:szCs w:val="24"/>
              </w:rPr>
              <w:t xml:space="preserve"> of service of Chief Executives in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E83274">
              <w:rPr>
                <w:rFonts w:ascii="Arial" w:hAnsi="Arial" w:cs="Arial"/>
                <w:sz w:val="24"/>
                <w:szCs w:val="24"/>
              </w:rPr>
              <w:t xml:space="preserve">ngland and </w:t>
            </w:r>
            <w:r w:rsidRPr="00E83274">
              <w:rPr>
                <w:rFonts w:ascii="Arial" w:hAnsi="Arial" w:cs="Arial"/>
                <w:sz w:val="24"/>
                <w:szCs w:val="24"/>
              </w:rPr>
              <w:tab/>
              <w:t xml:space="preserve">Wales.    It is made up of representatives from the Local </w:t>
            </w:r>
            <w:r>
              <w:rPr>
                <w:rFonts w:ascii="Arial" w:hAnsi="Arial" w:cs="Arial"/>
                <w:sz w:val="24"/>
                <w:szCs w:val="24"/>
              </w:rPr>
              <w:t xml:space="preserve">Government Association as the </w:t>
            </w:r>
            <w:r w:rsidRPr="00E83274">
              <w:rPr>
                <w:rFonts w:ascii="Arial" w:hAnsi="Arial" w:cs="Arial"/>
                <w:sz w:val="24"/>
                <w:szCs w:val="24"/>
              </w:rPr>
              <w:t>national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274">
              <w:rPr>
                <w:rFonts w:ascii="Arial" w:hAnsi="Arial" w:cs="Arial"/>
                <w:sz w:val="24"/>
                <w:szCs w:val="24"/>
              </w:rPr>
              <w:t xml:space="preserve">employer </w:t>
            </w:r>
            <w:proofErr w:type="gramStart"/>
            <w:r w:rsidRPr="00E83274">
              <w:rPr>
                <w:rFonts w:ascii="Arial" w:hAnsi="Arial" w:cs="Arial"/>
                <w:sz w:val="24"/>
                <w:szCs w:val="24"/>
              </w:rPr>
              <w:t>and also</w:t>
            </w:r>
            <w:proofErr w:type="gramEnd"/>
            <w:r w:rsidRPr="00E83274">
              <w:rPr>
                <w:rFonts w:ascii="Arial" w:hAnsi="Arial" w:cs="Arial"/>
                <w:sz w:val="24"/>
                <w:szCs w:val="24"/>
              </w:rPr>
              <w:t xml:space="preserve"> representatives of Chief Executives and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274">
              <w:rPr>
                <w:rFonts w:ascii="Arial" w:hAnsi="Arial" w:cs="Arial"/>
                <w:sz w:val="24"/>
                <w:szCs w:val="24"/>
              </w:rPr>
              <w:t xml:space="preserve">registered independent trade union (ALACE). </w:t>
            </w:r>
          </w:p>
          <w:p w14:paraId="236C56AF" w14:textId="77777777" w:rsidR="00CB3944" w:rsidRPr="00E83274" w:rsidRDefault="00CB3944" w:rsidP="00CB3944">
            <w:pPr>
              <w:tabs>
                <w:tab w:val="left" w:pos="17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944" w14:paraId="7FFF6B7E" w14:textId="77777777" w:rsidTr="00CB3944">
        <w:tc>
          <w:tcPr>
            <w:tcW w:w="2943" w:type="dxa"/>
          </w:tcPr>
          <w:p w14:paraId="388ED99F" w14:textId="77777777" w:rsidR="00CB3944" w:rsidRDefault="00CB3944" w:rsidP="00CB3944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E83274">
              <w:rPr>
                <w:rFonts w:ascii="Arial" w:hAnsi="Arial" w:cs="Arial"/>
                <w:sz w:val="24"/>
                <w:szCs w:val="24"/>
              </w:rPr>
              <w:lastRenderedPageBreak/>
              <w:t>JNC for Chief Officers</w:t>
            </w:r>
          </w:p>
        </w:tc>
        <w:tc>
          <w:tcPr>
            <w:tcW w:w="6299" w:type="dxa"/>
          </w:tcPr>
          <w:p w14:paraId="5B3F8DC4" w14:textId="18FE2542" w:rsidR="00CB3944" w:rsidRPr="00E83274" w:rsidRDefault="00CB3944" w:rsidP="00CB3944">
            <w:pPr>
              <w:tabs>
                <w:tab w:val="left" w:pos="273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83274">
              <w:rPr>
                <w:rFonts w:ascii="Arial" w:hAnsi="Arial" w:cs="Arial"/>
                <w:sz w:val="24"/>
                <w:szCs w:val="24"/>
              </w:rPr>
              <w:t>Similar to</w:t>
            </w:r>
            <w:proofErr w:type="gramEnd"/>
            <w:r w:rsidRPr="00E83274">
              <w:rPr>
                <w:rFonts w:ascii="Arial" w:hAnsi="Arial" w:cs="Arial"/>
                <w:sz w:val="24"/>
                <w:szCs w:val="24"/>
              </w:rPr>
              <w:t xml:space="preserve"> the JNC for Chief Executives but this relates to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274">
              <w:rPr>
                <w:rFonts w:ascii="Arial" w:hAnsi="Arial" w:cs="Arial"/>
                <w:sz w:val="24"/>
                <w:szCs w:val="24"/>
              </w:rPr>
              <w:t xml:space="preserve">terms and conditions of posts that are attached </w:t>
            </w:r>
            <w:r w:rsidR="00285002" w:rsidRPr="00E83274">
              <w:rPr>
                <w:rFonts w:ascii="Arial" w:hAnsi="Arial" w:cs="Arial"/>
                <w:sz w:val="24"/>
                <w:szCs w:val="24"/>
              </w:rPr>
              <w:t>to a Chief</w:t>
            </w:r>
            <w:r w:rsidR="002850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5002" w:rsidRPr="00E83274">
              <w:rPr>
                <w:rFonts w:ascii="Arial" w:hAnsi="Arial" w:cs="Arial"/>
                <w:sz w:val="24"/>
                <w:szCs w:val="24"/>
              </w:rPr>
              <w:t xml:space="preserve">Officer </w:t>
            </w:r>
            <w:r w:rsidR="00285002">
              <w:rPr>
                <w:rFonts w:ascii="Arial" w:hAnsi="Arial" w:cs="Arial"/>
                <w:sz w:val="24"/>
                <w:szCs w:val="24"/>
              </w:rPr>
              <w:t>position</w:t>
            </w:r>
            <w:r>
              <w:rPr>
                <w:rFonts w:ascii="Arial" w:hAnsi="Arial" w:cs="Arial"/>
                <w:sz w:val="24"/>
                <w:szCs w:val="24"/>
              </w:rPr>
              <w:t>.   I</w:t>
            </w:r>
            <w:r w:rsidRPr="00E83274">
              <w:rPr>
                <w:rFonts w:ascii="Arial" w:hAnsi="Arial" w:cs="Arial"/>
                <w:sz w:val="24"/>
                <w:szCs w:val="24"/>
              </w:rPr>
              <w:t>n Rutland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274">
              <w:rPr>
                <w:rFonts w:ascii="Arial" w:hAnsi="Arial" w:cs="Arial"/>
                <w:sz w:val="24"/>
                <w:szCs w:val="24"/>
              </w:rPr>
              <w:t xml:space="preserve">this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E83274">
              <w:rPr>
                <w:rFonts w:ascii="Arial" w:hAnsi="Arial" w:cs="Arial"/>
                <w:sz w:val="24"/>
                <w:szCs w:val="24"/>
              </w:rPr>
              <w:t>ncludes</w:t>
            </w:r>
            <w:r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Pr="00E83274">
              <w:rPr>
                <w:rFonts w:ascii="Arial" w:hAnsi="Arial" w:cs="Arial"/>
                <w:sz w:val="24"/>
                <w:szCs w:val="24"/>
              </w:rPr>
              <w:t xml:space="preserve">irectors and the two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E83274">
              <w:rPr>
                <w:rFonts w:ascii="Arial" w:hAnsi="Arial" w:cs="Arial"/>
                <w:sz w:val="24"/>
                <w:szCs w:val="24"/>
              </w:rPr>
              <w:t>eads of Service grades</w:t>
            </w:r>
            <w:r w:rsidR="0025088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2E6C59" w14:textId="77777777" w:rsidR="00CB3944" w:rsidRPr="00E83274" w:rsidRDefault="00CB3944" w:rsidP="00CB3944">
            <w:pPr>
              <w:tabs>
                <w:tab w:val="left" w:pos="17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B8F" w14:paraId="52802A30" w14:textId="77777777" w:rsidTr="00CB3944">
        <w:tc>
          <w:tcPr>
            <w:tcW w:w="2943" w:type="dxa"/>
          </w:tcPr>
          <w:p w14:paraId="04CBC6D3" w14:textId="77777777" w:rsidR="00C41B8F" w:rsidRDefault="00C41B8F" w:rsidP="00CB3944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 Supplements</w:t>
            </w:r>
          </w:p>
        </w:tc>
        <w:tc>
          <w:tcPr>
            <w:tcW w:w="6299" w:type="dxa"/>
          </w:tcPr>
          <w:p w14:paraId="18973E7B" w14:textId="77777777" w:rsidR="00C41B8F" w:rsidRDefault="00C41B8F" w:rsidP="00C41B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Market supplements are payable where the ‘going rate’ for a specific job or specialism is higher than that offered by the Council.    The enhancement brings the base salary to a comparable market rate that enables the Council to recruit and retain key skills.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7D44C680" w14:textId="77777777" w:rsidR="00C41B8F" w:rsidRDefault="00C41B8F" w:rsidP="00CB3944">
            <w:pPr>
              <w:tabs>
                <w:tab w:val="left" w:pos="2820"/>
                <w:tab w:val="left" w:pos="3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DF5FDD" w14:textId="77777777" w:rsidR="007C7539" w:rsidRDefault="007C7539" w:rsidP="00D52EE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C7539" w:rsidSect="000C59A4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97487" w14:textId="77777777" w:rsidR="000C59A4" w:rsidRDefault="000C59A4" w:rsidP="000C59A4">
      <w:pPr>
        <w:spacing w:after="0" w:line="240" w:lineRule="auto"/>
      </w:pPr>
      <w:r>
        <w:separator/>
      </w:r>
    </w:p>
  </w:endnote>
  <w:endnote w:type="continuationSeparator" w:id="0">
    <w:p w14:paraId="1BCFB1FA" w14:textId="77777777" w:rsidR="000C59A4" w:rsidRDefault="000C59A4" w:rsidP="000C5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D4E65" w14:textId="77777777" w:rsidR="000C59A4" w:rsidRDefault="000C59A4" w:rsidP="000C59A4">
      <w:pPr>
        <w:spacing w:after="0" w:line="240" w:lineRule="auto"/>
      </w:pPr>
      <w:r>
        <w:separator/>
      </w:r>
    </w:p>
  </w:footnote>
  <w:footnote w:type="continuationSeparator" w:id="0">
    <w:p w14:paraId="035BE847" w14:textId="77777777" w:rsidR="000C59A4" w:rsidRDefault="000C59A4" w:rsidP="000C5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588B" w14:textId="77777777" w:rsidR="000C59A4" w:rsidRPr="000C59A4" w:rsidRDefault="000C59A4" w:rsidP="000C59A4">
    <w:pPr>
      <w:pStyle w:val="Header"/>
      <w:jc w:val="right"/>
      <w:rPr>
        <w:rFonts w:ascii="Arial" w:hAnsi="Arial" w:cs="Arial"/>
        <w:b/>
        <w:sz w:val="24"/>
        <w:szCs w:val="24"/>
      </w:rPr>
    </w:pPr>
    <w:r w:rsidRPr="000C59A4">
      <w:rPr>
        <w:rFonts w:ascii="Arial" w:hAnsi="Arial" w:cs="Arial"/>
        <w:b/>
        <w:sz w:val="24"/>
        <w:szCs w:val="24"/>
      </w:rPr>
      <w:t>Appendix 1</w:t>
    </w:r>
  </w:p>
  <w:p w14:paraId="1D089A6D" w14:textId="77777777" w:rsidR="000C59A4" w:rsidRDefault="000C59A4" w:rsidP="000C59A4">
    <w:pPr>
      <w:pStyle w:val="Header"/>
      <w:jc w:val="right"/>
      <w:rPr>
        <w:b/>
      </w:rPr>
    </w:pPr>
  </w:p>
  <w:p w14:paraId="6E18F779" w14:textId="77777777" w:rsidR="000C59A4" w:rsidRPr="000C59A4" w:rsidRDefault="000C59A4" w:rsidP="000C59A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419E"/>
    <w:multiLevelType w:val="hybridMultilevel"/>
    <w:tmpl w:val="0C965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677110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EEB"/>
    <w:rsid w:val="000C59A4"/>
    <w:rsid w:val="00216286"/>
    <w:rsid w:val="00250880"/>
    <w:rsid w:val="00273643"/>
    <w:rsid w:val="00285002"/>
    <w:rsid w:val="002C184B"/>
    <w:rsid w:val="002E498D"/>
    <w:rsid w:val="002F4AB9"/>
    <w:rsid w:val="00387675"/>
    <w:rsid w:val="00413D5B"/>
    <w:rsid w:val="00442882"/>
    <w:rsid w:val="004B061C"/>
    <w:rsid w:val="004B75FA"/>
    <w:rsid w:val="005522A7"/>
    <w:rsid w:val="005919E6"/>
    <w:rsid w:val="005E4497"/>
    <w:rsid w:val="006771FB"/>
    <w:rsid w:val="0072174B"/>
    <w:rsid w:val="007C7539"/>
    <w:rsid w:val="007F3EDB"/>
    <w:rsid w:val="00806A9E"/>
    <w:rsid w:val="008C30A3"/>
    <w:rsid w:val="00936669"/>
    <w:rsid w:val="009600B6"/>
    <w:rsid w:val="009A4F6A"/>
    <w:rsid w:val="009F1B1F"/>
    <w:rsid w:val="00AA6DF5"/>
    <w:rsid w:val="00AB25BA"/>
    <w:rsid w:val="00B5231C"/>
    <w:rsid w:val="00BC60B8"/>
    <w:rsid w:val="00BE53C8"/>
    <w:rsid w:val="00C41B8F"/>
    <w:rsid w:val="00C80975"/>
    <w:rsid w:val="00CB3944"/>
    <w:rsid w:val="00CF3272"/>
    <w:rsid w:val="00D211F4"/>
    <w:rsid w:val="00D52EEB"/>
    <w:rsid w:val="00DF6A4A"/>
    <w:rsid w:val="00E83274"/>
    <w:rsid w:val="00F3728B"/>
    <w:rsid w:val="00F621EF"/>
    <w:rsid w:val="00F870DD"/>
    <w:rsid w:val="00FA3C23"/>
    <w:rsid w:val="00FC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2026047"/>
  <w15:docId w15:val="{86E1F324-A2E9-47DA-9DE3-6EF37EC5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CF3272"/>
  </w:style>
  <w:style w:type="character" w:styleId="Emphasis">
    <w:name w:val="Emphasis"/>
    <w:basedOn w:val="DefaultParagraphFont"/>
    <w:uiPriority w:val="20"/>
    <w:qFormat/>
    <w:rsid w:val="00CF3272"/>
    <w:rPr>
      <w:b/>
      <w:bCs/>
      <w:i w:val="0"/>
      <w:iCs w:val="0"/>
    </w:rPr>
  </w:style>
  <w:style w:type="character" w:customStyle="1" w:styleId="st1">
    <w:name w:val="st1"/>
    <w:basedOn w:val="DefaultParagraphFont"/>
    <w:rsid w:val="00CF3272"/>
  </w:style>
  <w:style w:type="paragraph" w:customStyle="1" w:styleId="Body">
    <w:name w:val="Body"/>
    <w:rsid w:val="00CF327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06A9E"/>
    <w:pPr>
      <w:spacing w:before="100" w:beforeAutospacing="1" w:after="150" w:line="336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standfirst">
    <w:name w:val="standfirst"/>
    <w:basedOn w:val="Normal"/>
    <w:rsid w:val="00806A9E"/>
    <w:pPr>
      <w:spacing w:before="100" w:beforeAutospacing="1" w:after="150" w:line="336" w:lineRule="auto"/>
    </w:pPr>
    <w:rPr>
      <w:rFonts w:ascii="Times New Roman" w:eastAsia="Times New Roman" w:hAnsi="Times New Roman" w:cs="Times New Roman"/>
      <w:b/>
      <w:bCs/>
      <w:color w:val="666666"/>
      <w:sz w:val="21"/>
      <w:szCs w:val="21"/>
      <w:lang w:eastAsia="en-GB"/>
    </w:rPr>
  </w:style>
  <w:style w:type="table" w:styleId="TableGrid">
    <w:name w:val="Table Grid"/>
    <w:basedOn w:val="TableNormal"/>
    <w:uiPriority w:val="59"/>
    <w:rsid w:val="00CB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9A4"/>
  </w:style>
  <w:style w:type="paragraph" w:styleId="Footer">
    <w:name w:val="footer"/>
    <w:basedOn w:val="Normal"/>
    <w:link w:val="FooterChar"/>
    <w:uiPriority w:val="99"/>
    <w:unhideWhenUsed/>
    <w:rsid w:val="000C5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9A4"/>
  </w:style>
  <w:style w:type="paragraph" w:styleId="BalloonText">
    <w:name w:val="Balloon Text"/>
    <w:basedOn w:val="Normal"/>
    <w:link w:val="BalloonTextChar"/>
    <w:uiPriority w:val="99"/>
    <w:semiHidden/>
    <w:unhideWhenUsed/>
    <w:rsid w:val="00DF6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1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2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701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4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8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9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4818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996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4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9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6D3FC-C823-4942-991A-E4B74C36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Snell</dc:creator>
  <cp:lastModifiedBy>Lorraine Barker-Johnson</cp:lastModifiedBy>
  <cp:revision>2</cp:revision>
  <cp:lastPrinted>2019-12-13T11:59:00Z</cp:lastPrinted>
  <dcterms:created xsi:type="dcterms:W3CDTF">2022-11-08T11:43:00Z</dcterms:created>
  <dcterms:modified xsi:type="dcterms:W3CDTF">2022-11-08T11:43:00Z</dcterms:modified>
</cp:coreProperties>
</file>